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4A0" w:firstRow="1" w:lastRow="0" w:firstColumn="1" w:lastColumn="0" w:noHBand="0" w:noVBand="1"/>
      </w:tblPr>
      <w:tblGrid>
        <w:gridCol w:w="4561"/>
        <w:gridCol w:w="863"/>
        <w:gridCol w:w="919"/>
        <w:gridCol w:w="1313"/>
        <w:gridCol w:w="670"/>
        <w:gridCol w:w="793"/>
        <w:gridCol w:w="477"/>
        <w:gridCol w:w="871"/>
      </w:tblGrid>
      <w:tr w:rsidR="006B5C31" w14:paraId="7B759AE9" w14:textId="77777777" w:rsidTr="007D40EC">
        <w:trPr>
          <w:gridAfter w:val="2"/>
          <w:wAfter w:w="644" w:type="pct"/>
          <w:trHeight w:hRule="exact" w:val="227"/>
        </w:trPr>
        <w:tc>
          <w:tcPr>
            <w:tcW w:w="4356" w:type="pct"/>
            <w:gridSpan w:val="6"/>
            <w:tcBorders>
              <w:top w:val="nil"/>
              <w:left w:val="nil"/>
              <w:bottom w:val="nil"/>
              <w:right w:val="nil"/>
            </w:tcBorders>
            <w:shd w:val="clear" w:color="auto" w:fill="auto"/>
            <w:noWrap/>
            <w:vAlign w:val="bottom"/>
            <w:hideMark/>
          </w:tcPr>
          <w:p w14:paraId="4D16B6F4" w14:textId="77777777" w:rsidR="006B5C31" w:rsidRPr="00AF45DE" w:rsidRDefault="006B5C31">
            <w:pPr>
              <w:jc w:val="center"/>
              <w:rPr>
                <w:rFonts w:asciiTheme="majorHAnsi" w:hAnsiTheme="majorHAnsi" w:cstheme="majorHAnsi"/>
                <w:b/>
                <w:bCs/>
                <w:sz w:val="16"/>
                <w:szCs w:val="16"/>
              </w:rPr>
            </w:pPr>
            <w:r w:rsidRPr="00AF45DE">
              <w:rPr>
                <w:rFonts w:asciiTheme="majorHAnsi" w:hAnsiTheme="majorHAnsi" w:cstheme="majorHAnsi"/>
                <w:b/>
                <w:bCs/>
                <w:sz w:val="16"/>
                <w:szCs w:val="16"/>
              </w:rPr>
              <w:t>BALANÇO PATRIMONIAL</w:t>
            </w:r>
          </w:p>
        </w:tc>
      </w:tr>
      <w:tr w:rsidR="006B5C31" w14:paraId="3D4E458D" w14:textId="77777777" w:rsidTr="007D40EC">
        <w:trPr>
          <w:gridAfter w:val="2"/>
          <w:wAfter w:w="644" w:type="pct"/>
          <w:trHeight w:hRule="exact" w:val="227"/>
        </w:trPr>
        <w:tc>
          <w:tcPr>
            <w:tcW w:w="4356" w:type="pct"/>
            <w:gridSpan w:val="6"/>
            <w:tcBorders>
              <w:top w:val="nil"/>
              <w:left w:val="nil"/>
              <w:bottom w:val="nil"/>
              <w:right w:val="nil"/>
            </w:tcBorders>
            <w:shd w:val="clear" w:color="auto" w:fill="auto"/>
            <w:noWrap/>
            <w:vAlign w:val="bottom"/>
            <w:hideMark/>
          </w:tcPr>
          <w:p w14:paraId="69C4C88A" w14:textId="77777777" w:rsidR="006B5C31" w:rsidRPr="00AF45DE" w:rsidRDefault="006B5C31">
            <w:pPr>
              <w:jc w:val="center"/>
              <w:rPr>
                <w:rFonts w:asciiTheme="majorHAnsi" w:hAnsiTheme="majorHAnsi" w:cstheme="majorHAnsi"/>
                <w:b/>
                <w:bCs/>
                <w:sz w:val="16"/>
                <w:szCs w:val="16"/>
              </w:rPr>
            </w:pPr>
            <w:r w:rsidRPr="00AF45DE">
              <w:rPr>
                <w:rFonts w:asciiTheme="majorHAnsi" w:hAnsiTheme="majorHAnsi" w:cstheme="majorHAnsi"/>
                <w:b/>
                <w:bCs/>
                <w:sz w:val="16"/>
                <w:szCs w:val="16"/>
              </w:rPr>
              <w:t>3º TRIMESTRE 2022</w:t>
            </w:r>
          </w:p>
        </w:tc>
      </w:tr>
      <w:tr w:rsidR="00A06450" w14:paraId="23255435"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377EE9A5" w14:textId="43BBDC8F" w:rsidR="006B5C31" w:rsidRPr="00AF45DE" w:rsidRDefault="00A06450" w:rsidP="00A06450">
            <w:pPr>
              <w:rPr>
                <w:rFonts w:asciiTheme="majorHAnsi" w:hAnsiTheme="majorHAnsi" w:cstheme="majorHAnsi"/>
                <w:sz w:val="16"/>
                <w:szCs w:val="16"/>
                <w:u w:val="single"/>
              </w:rPr>
            </w:pPr>
            <w:r w:rsidRPr="00AF45DE">
              <w:rPr>
                <w:rFonts w:asciiTheme="majorHAnsi" w:hAnsiTheme="majorHAnsi" w:cstheme="majorHAnsi"/>
                <w:b/>
                <w:bCs/>
                <w:sz w:val="16"/>
                <w:szCs w:val="16"/>
                <w:u w:val="single"/>
              </w:rPr>
              <w:t>A T I V O (R$)</w:t>
            </w:r>
          </w:p>
        </w:tc>
        <w:tc>
          <w:tcPr>
            <w:tcW w:w="851" w:type="pct"/>
            <w:gridSpan w:val="2"/>
            <w:tcBorders>
              <w:top w:val="nil"/>
              <w:left w:val="nil"/>
              <w:bottom w:val="nil"/>
              <w:right w:val="nil"/>
            </w:tcBorders>
            <w:shd w:val="clear" w:color="auto" w:fill="auto"/>
            <w:noWrap/>
            <w:vAlign w:val="bottom"/>
            <w:hideMark/>
          </w:tcPr>
          <w:p w14:paraId="1AD625D3" w14:textId="77777777" w:rsidR="006B5C31" w:rsidRPr="006B5C31" w:rsidRDefault="006B5C31" w:rsidP="006B5C31">
            <w:pPr>
              <w:jc w:val="right"/>
              <w:rPr>
                <w:rFonts w:asciiTheme="majorHAnsi" w:hAnsiTheme="majorHAnsi" w:cstheme="majorHAnsi"/>
                <w:b/>
                <w:bCs/>
                <w:sz w:val="16"/>
                <w:szCs w:val="16"/>
              </w:rPr>
            </w:pPr>
            <w:r w:rsidRPr="006B5C31">
              <w:rPr>
                <w:rFonts w:asciiTheme="majorHAnsi" w:hAnsiTheme="majorHAnsi" w:cstheme="majorHAnsi"/>
                <w:b/>
                <w:bCs/>
                <w:sz w:val="16"/>
                <w:szCs w:val="16"/>
              </w:rPr>
              <w:t>30/09/2022</w:t>
            </w:r>
          </w:p>
        </w:tc>
        <w:tc>
          <w:tcPr>
            <w:tcW w:w="947" w:type="pct"/>
            <w:gridSpan w:val="2"/>
            <w:tcBorders>
              <w:top w:val="nil"/>
              <w:left w:val="nil"/>
              <w:bottom w:val="nil"/>
              <w:right w:val="nil"/>
            </w:tcBorders>
            <w:shd w:val="clear" w:color="auto" w:fill="auto"/>
            <w:noWrap/>
            <w:vAlign w:val="bottom"/>
            <w:hideMark/>
          </w:tcPr>
          <w:p w14:paraId="2475E30D" w14:textId="77777777" w:rsidR="006B5C31" w:rsidRPr="006B5C31" w:rsidRDefault="006B5C31" w:rsidP="006B5C31">
            <w:pPr>
              <w:jc w:val="right"/>
              <w:rPr>
                <w:rFonts w:asciiTheme="majorHAnsi" w:hAnsiTheme="majorHAnsi" w:cstheme="majorHAnsi"/>
                <w:b/>
                <w:bCs/>
                <w:sz w:val="16"/>
                <w:szCs w:val="16"/>
              </w:rPr>
            </w:pPr>
            <w:r w:rsidRPr="006B5C31">
              <w:rPr>
                <w:rFonts w:asciiTheme="majorHAnsi" w:hAnsiTheme="majorHAnsi" w:cstheme="majorHAnsi"/>
                <w:b/>
                <w:bCs/>
                <w:sz w:val="16"/>
                <w:szCs w:val="16"/>
              </w:rPr>
              <w:t>31/12/2021</w:t>
            </w:r>
          </w:p>
        </w:tc>
        <w:tc>
          <w:tcPr>
            <w:tcW w:w="379" w:type="pct"/>
            <w:tcBorders>
              <w:top w:val="nil"/>
              <w:left w:val="nil"/>
              <w:bottom w:val="nil"/>
              <w:right w:val="nil"/>
            </w:tcBorders>
            <w:shd w:val="clear" w:color="auto" w:fill="auto"/>
            <w:noWrap/>
            <w:vAlign w:val="center"/>
            <w:hideMark/>
          </w:tcPr>
          <w:p w14:paraId="59942391" w14:textId="77777777" w:rsidR="006B5C31" w:rsidRPr="006B5C31" w:rsidRDefault="006B5C31" w:rsidP="006B5C31">
            <w:pPr>
              <w:jc w:val="right"/>
              <w:rPr>
                <w:rFonts w:asciiTheme="majorHAnsi" w:hAnsiTheme="majorHAnsi" w:cstheme="majorHAnsi"/>
                <w:b/>
                <w:bCs/>
                <w:sz w:val="16"/>
                <w:szCs w:val="16"/>
              </w:rPr>
            </w:pPr>
          </w:p>
        </w:tc>
      </w:tr>
      <w:tr w:rsidR="00A06450" w14:paraId="2F29FE75"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73C185FB" w14:textId="77777777" w:rsidR="006B5C31" w:rsidRPr="006B5C31" w:rsidRDefault="006B5C31">
            <w:pPr>
              <w:rPr>
                <w:rFonts w:asciiTheme="majorHAnsi" w:hAnsiTheme="majorHAnsi" w:cstheme="majorHAnsi"/>
                <w:b/>
                <w:bCs/>
                <w:sz w:val="16"/>
                <w:szCs w:val="16"/>
              </w:rPr>
            </w:pPr>
            <w:r w:rsidRPr="006B5C31">
              <w:rPr>
                <w:rFonts w:asciiTheme="majorHAnsi" w:hAnsiTheme="majorHAnsi" w:cstheme="majorHAnsi"/>
                <w:b/>
                <w:bCs/>
                <w:sz w:val="16"/>
                <w:szCs w:val="16"/>
              </w:rPr>
              <w:t>ATIVO CIRCULANTE</w:t>
            </w:r>
          </w:p>
        </w:tc>
        <w:tc>
          <w:tcPr>
            <w:tcW w:w="851" w:type="pct"/>
            <w:gridSpan w:val="2"/>
            <w:tcBorders>
              <w:top w:val="nil"/>
              <w:left w:val="nil"/>
              <w:bottom w:val="nil"/>
              <w:right w:val="nil"/>
            </w:tcBorders>
            <w:shd w:val="clear" w:color="auto" w:fill="auto"/>
            <w:noWrap/>
            <w:vAlign w:val="bottom"/>
            <w:hideMark/>
          </w:tcPr>
          <w:p w14:paraId="623DD429" w14:textId="77777777" w:rsidR="006B5C31" w:rsidRPr="006B5C31" w:rsidRDefault="006B5C31" w:rsidP="006B5C31">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172.774.286 </w:t>
            </w:r>
          </w:p>
        </w:tc>
        <w:tc>
          <w:tcPr>
            <w:tcW w:w="947" w:type="pct"/>
            <w:gridSpan w:val="2"/>
            <w:tcBorders>
              <w:top w:val="nil"/>
              <w:left w:val="nil"/>
              <w:bottom w:val="nil"/>
              <w:right w:val="nil"/>
            </w:tcBorders>
            <w:shd w:val="clear" w:color="auto" w:fill="auto"/>
            <w:noWrap/>
            <w:vAlign w:val="bottom"/>
            <w:hideMark/>
          </w:tcPr>
          <w:p w14:paraId="79010AF9" w14:textId="77777777" w:rsidR="006B5C31" w:rsidRPr="006B5C31" w:rsidRDefault="006B5C31" w:rsidP="006B5C31">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75.567.487 </w:t>
            </w:r>
          </w:p>
        </w:tc>
        <w:tc>
          <w:tcPr>
            <w:tcW w:w="379" w:type="pct"/>
            <w:tcBorders>
              <w:top w:val="nil"/>
              <w:left w:val="nil"/>
              <w:bottom w:val="nil"/>
              <w:right w:val="nil"/>
            </w:tcBorders>
            <w:shd w:val="clear" w:color="auto" w:fill="auto"/>
            <w:noWrap/>
            <w:vAlign w:val="center"/>
            <w:hideMark/>
          </w:tcPr>
          <w:p w14:paraId="380EE9BE" w14:textId="77777777" w:rsidR="006B5C31" w:rsidRPr="006B5C31" w:rsidRDefault="006B5C31" w:rsidP="006B5C31">
            <w:pPr>
              <w:jc w:val="right"/>
              <w:rPr>
                <w:rFonts w:asciiTheme="majorHAnsi" w:hAnsiTheme="majorHAnsi" w:cstheme="majorHAnsi"/>
                <w:b/>
                <w:bCs/>
                <w:sz w:val="16"/>
                <w:szCs w:val="16"/>
              </w:rPr>
            </w:pPr>
            <w:r w:rsidRPr="006B5C31">
              <w:rPr>
                <w:rFonts w:asciiTheme="majorHAnsi" w:hAnsiTheme="majorHAnsi" w:cstheme="majorHAnsi"/>
                <w:b/>
                <w:bCs/>
                <w:sz w:val="16"/>
                <w:szCs w:val="16"/>
              </w:rPr>
              <w:t>Nota</w:t>
            </w:r>
          </w:p>
        </w:tc>
      </w:tr>
      <w:tr w:rsidR="00A06450" w:rsidRPr="00C6505F" w14:paraId="3B2CFDA1"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1646F6D7" w14:textId="77777777" w:rsidR="006B5C31" w:rsidRPr="00A21EB0" w:rsidRDefault="006B5C31">
            <w:pPr>
              <w:rPr>
                <w:rFonts w:asciiTheme="majorHAnsi" w:hAnsiTheme="majorHAnsi" w:cstheme="majorHAnsi"/>
                <w:sz w:val="16"/>
                <w:szCs w:val="16"/>
              </w:rPr>
            </w:pPr>
            <w:r w:rsidRPr="00A21EB0">
              <w:rPr>
                <w:rFonts w:asciiTheme="majorHAnsi" w:hAnsiTheme="majorHAnsi" w:cstheme="majorHAnsi"/>
                <w:sz w:val="16"/>
                <w:szCs w:val="16"/>
              </w:rPr>
              <w:t xml:space="preserve">               Caixa e equivalentes de caixa</w:t>
            </w:r>
          </w:p>
        </w:tc>
        <w:tc>
          <w:tcPr>
            <w:tcW w:w="851" w:type="pct"/>
            <w:gridSpan w:val="2"/>
            <w:tcBorders>
              <w:top w:val="nil"/>
              <w:left w:val="nil"/>
              <w:bottom w:val="nil"/>
              <w:right w:val="nil"/>
            </w:tcBorders>
            <w:shd w:val="clear" w:color="auto" w:fill="auto"/>
            <w:noWrap/>
            <w:vAlign w:val="bottom"/>
            <w:hideMark/>
          </w:tcPr>
          <w:p w14:paraId="3B784769" w14:textId="77777777" w:rsidR="006B5C31" w:rsidRPr="00A21EB0" w:rsidRDefault="006B5C31" w:rsidP="006B5C31">
            <w:pPr>
              <w:jc w:val="right"/>
              <w:rPr>
                <w:rFonts w:asciiTheme="majorHAnsi" w:hAnsiTheme="majorHAnsi" w:cstheme="majorHAnsi"/>
                <w:sz w:val="16"/>
                <w:szCs w:val="16"/>
              </w:rPr>
            </w:pPr>
            <w:r w:rsidRPr="00A21EB0">
              <w:rPr>
                <w:rFonts w:asciiTheme="majorHAnsi" w:hAnsiTheme="majorHAnsi" w:cstheme="majorHAnsi"/>
                <w:sz w:val="16"/>
                <w:szCs w:val="16"/>
              </w:rPr>
              <w:t xml:space="preserve">                     134.945.075 </w:t>
            </w:r>
          </w:p>
        </w:tc>
        <w:tc>
          <w:tcPr>
            <w:tcW w:w="947" w:type="pct"/>
            <w:gridSpan w:val="2"/>
            <w:tcBorders>
              <w:top w:val="nil"/>
              <w:left w:val="nil"/>
              <w:bottom w:val="nil"/>
              <w:right w:val="nil"/>
            </w:tcBorders>
            <w:shd w:val="clear" w:color="auto" w:fill="auto"/>
            <w:noWrap/>
            <w:vAlign w:val="bottom"/>
            <w:hideMark/>
          </w:tcPr>
          <w:p w14:paraId="10584E8E" w14:textId="77777777" w:rsidR="006B5C31" w:rsidRPr="00A21EB0" w:rsidRDefault="006B5C31" w:rsidP="006B5C31">
            <w:pPr>
              <w:jc w:val="right"/>
              <w:rPr>
                <w:rFonts w:asciiTheme="majorHAnsi" w:hAnsiTheme="majorHAnsi" w:cstheme="majorHAnsi"/>
                <w:sz w:val="16"/>
                <w:szCs w:val="16"/>
              </w:rPr>
            </w:pPr>
            <w:r w:rsidRPr="00A21EB0">
              <w:rPr>
                <w:rFonts w:asciiTheme="majorHAnsi" w:hAnsiTheme="majorHAnsi" w:cstheme="majorHAnsi"/>
                <w:sz w:val="16"/>
                <w:szCs w:val="16"/>
              </w:rPr>
              <w:t xml:space="preserve">                    56.732.574 </w:t>
            </w:r>
          </w:p>
        </w:tc>
        <w:tc>
          <w:tcPr>
            <w:tcW w:w="379" w:type="pct"/>
            <w:tcBorders>
              <w:top w:val="nil"/>
              <w:left w:val="nil"/>
              <w:bottom w:val="nil"/>
              <w:right w:val="nil"/>
            </w:tcBorders>
            <w:shd w:val="clear" w:color="auto" w:fill="auto"/>
            <w:noWrap/>
            <w:vAlign w:val="bottom"/>
            <w:hideMark/>
          </w:tcPr>
          <w:p w14:paraId="26CA5509" w14:textId="77777777" w:rsidR="006B5C31" w:rsidRPr="00A21EB0" w:rsidRDefault="006B5C31" w:rsidP="006B5C31">
            <w:pPr>
              <w:jc w:val="right"/>
              <w:rPr>
                <w:rFonts w:asciiTheme="majorHAnsi" w:hAnsiTheme="majorHAnsi" w:cstheme="majorHAnsi"/>
                <w:sz w:val="16"/>
                <w:szCs w:val="16"/>
              </w:rPr>
            </w:pPr>
            <w:r w:rsidRPr="00A21EB0">
              <w:rPr>
                <w:rFonts w:asciiTheme="majorHAnsi" w:hAnsiTheme="majorHAnsi" w:cstheme="majorHAnsi"/>
                <w:sz w:val="16"/>
                <w:szCs w:val="16"/>
              </w:rPr>
              <w:t xml:space="preserve">         (3)</w:t>
            </w:r>
          </w:p>
        </w:tc>
      </w:tr>
      <w:tr w:rsidR="00A06450" w14:paraId="300DBAFF"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480AEEA4" w14:textId="1C89A462" w:rsidR="006B5C31" w:rsidRPr="00C6505F" w:rsidRDefault="006B5C31">
            <w:pPr>
              <w:rPr>
                <w:rFonts w:asciiTheme="majorHAnsi" w:hAnsiTheme="majorHAnsi" w:cstheme="majorHAnsi"/>
                <w:sz w:val="16"/>
                <w:szCs w:val="16"/>
              </w:rPr>
            </w:pPr>
            <w:r w:rsidRPr="00C6505F">
              <w:rPr>
                <w:rFonts w:asciiTheme="majorHAnsi" w:hAnsiTheme="majorHAnsi" w:cstheme="majorHAnsi"/>
                <w:sz w:val="16"/>
                <w:szCs w:val="16"/>
              </w:rPr>
              <w:t xml:space="preserve">               Adiantamentos Concedidos</w:t>
            </w:r>
          </w:p>
        </w:tc>
        <w:tc>
          <w:tcPr>
            <w:tcW w:w="851" w:type="pct"/>
            <w:gridSpan w:val="2"/>
            <w:tcBorders>
              <w:top w:val="nil"/>
              <w:left w:val="nil"/>
              <w:bottom w:val="nil"/>
              <w:right w:val="nil"/>
            </w:tcBorders>
            <w:shd w:val="clear" w:color="auto" w:fill="auto"/>
            <w:noWrap/>
            <w:vAlign w:val="bottom"/>
            <w:hideMark/>
          </w:tcPr>
          <w:p w14:paraId="6671EBA8" w14:textId="77777777" w:rsidR="006B5C31" w:rsidRPr="00C6505F" w:rsidRDefault="006B5C31" w:rsidP="006B5C31">
            <w:pPr>
              <w:jc w:val="right"/>
              <w:rPr>
                <w:rFonts w:asciiTheme="majorHAnsi" w:hAnsiTheme="majorHAnsi" w:cstheme="majorHAnsi"/>
                <w:sz w:val="16"/>
                <w:szCs w:val="16"/>
              </w:rPr>
            </w:pPr>
            <w:r w:rsidRPr="00C6505F">
              <w:rPr>
                <w:rFonts w:asciiTheme="majorHAnsi" w:hAnsiTheme="majorHAnsi" w:cstheme="majorHAnsi"/>
                <w:sz w:val="16"/>
                <w:szCs w:val="16"/>
              </w:rPr>
              <w:t xml:space="preserve">                         3.816.277 </w:t>
            </w:r>
          </w:p>
        </w:tc>
        <w:tc>
          <w:tcPr>
            <w:tcW w:w="947" w:type="pct"/>
            <w:gridSpan w:val="2"/>
            <w:tcBorders>
              <w:top w:val="nil"/>
              <w:left w:val="nil"/>
              <w:bottom w:val="nil"/>
              <w:right w:val="nil"/>
            </w:tcBorders>
            <w:shd w:val="clear" w:color="auto" w:fill="auto"/>
            <w:noWrap/>
            <w:vAlign w:val="bottom"/>
            <w:hideMark/>
          </w:tcPr>
          <w:p w14:paraId="3B6A8351" w14:textId="77777777" w:rsidR="006B5C31" w:rsidRPr="00C6505F" w:rsidRDefault="006B5C31" w:rsidP="006B5C31">
            <w:pPr>
              <w:jc w:val="right"/>
              <w:rPr>
                <w:rFonts w:asciiTheme="majorHAnsi" w:hAnsiTheme="majorHAnsi" w:cstheme="majorHAnsi"/>
                <w:sz w:val="16"/>
                <w:szCs w:val="16"/>
              </w:rPr>
            </w:pPr>
            <w:r w:rsidRPr="00C6505F">
              <w:rPr>
                <w:rFonts w:asciiTheme="majorHAnsi" w:hAnsiTheme="majorHAnsi" w:cstheme="majorHAnsi"/>
                <w:sz w:val="16"/>
                <w:szCs w:val="16"/>
              </w:rPr>
              <w:t xml:space="preserve">                         742.722 </w:t>
            </w:r>
          </w:p>
        </w:tc>
        <w:tc>
          <w:tcPr>
            <w:tcW w:w="379" w:type="pct"/>
            <w:tcBorders>
              <w:top w:val="nil"/>
              <w:left w:val="nil"/>
              <w:bottom w:val="nil"/>
              <w:right w:val="nil"/>
            </w:tcBorders>
            <w:shd w:val="clear" w:color="auto" w:fill="auto"/>
            <w:noWrap/>
            <w:vAlign w:val="center"/>
            <w:hideMark/>
          </w:tcPr>
          <w:p w14:paraId="003C9ADD" w14:textId="77777777" w:rsidR="006B5C31" w:rsidRPr="006B5C31" w:rsidRDefault="006B5C31" w:rsidP="006B5C31">
            <w:pPr>
              <w:jc w:val="right"/>
              <w:rPr>
                <w:rFonts w:asciiTheme="majorHAnsi" w:hAnsiTheme="majorHAnsi" w:cstheme="majorHAnsi"/>
                <w:sz w:val="16"/>
                <w:szCs w:val="16"/>
              </w:rPr>
            </w:pPr>
            <w:r w:rsidRPr="00C6505F">
              <w:rPr>
                <w:rFonts w:asciiTheme="majorHAnsi" w:hAnsiTheme="majorHAnsi" w:cstheme="majorHAnsi"/>
                <w:sz w:val="16"/>
                <w:szCs w:val="16"/>
              </w:rPr>
              <w:t>(4a)</w:t>
            </w:r>
          </w:p>
        </w:tc>
      </w:tr>
      <w:tr w:rsidR="00A06450" w:rsidRPr="000C7386" w14:paraId="69E6F768"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19CB90A6" w14:textId="77777777" w:rsidR="006B5C31" w:rsidRPr="00C14C67" w:rsidRDefault="006B5C31">
            <w:pPr>
              <w:rPr>
                <w:rFonts w:asciiTheme="majorHAnsi" w:hAnsiTheme="majorHAnsi" w:cstheme="majorHAnsi"/>
                <w:sz w:val="16"/>
                <w:szCs w:val="16"/>
              </w:rPr>
            </w:pPr>
            <w:r w:rsidRPr="00C14C67">
              <w:rPr>
                <w:rFonts w:asciiTheme="majorHAnsi" w:hAnsiTheme="majorHAnsi" w:cstheme="majorHAnsi"/>
                <w:sz w:val="16"/>
                <w:szCs w:val="16"/>
              </w:rPr>
              <w:t xml:space="preserve">               Permissões p/uso de pátios a receber</w:t>
            </w:r>
          </w:p>
        </w:tc>
        <w:tc>
          <w:tcPr>
            <w:tcW w:w="851" w:type="pct"/>
            <w:gridSpan w:val="2"/>
            <w:tcBorders>
              <w:top w:val="nil"/>
              <w:left w:val="nil"/>
              <w:bottom w:val="nil"/>
              <w:right w:val="nil"/>
            </w:tcBorders>
            <w:shd w:val="clear" w:color="auto" w:fill="auto"/>
            <w:noWrap/>
            <w:vAlign w:val="bottom"/>
            <w:hideMark/>
          </w:tcPr>
          <w:p w14:paraId="3178E129" w14:textId="77777777" w:rsidR="006B5C31" w:rsidRPr="00C14C67" w:rsidRDefault="006B5C31" w:rsidP="006B5C31">
            <w:pPr>
              <w:jc w:val="right"/>
              <w:rPr>
                <w:rFonts w:asciiTheme="majorHAnsi" w:hAnsiTheme="majorHAnsi" w:cstheme="majorHAnsi"/>
                <w:sz w:val="16"/>
                <w:szCs w:val="16"/>
              </w:rPr>
            </w:pPr>
            <w:r w:rsidRPr="00C14C67">
              <w:rPr>
                <w:rFonts w:asciiTheme="majorHAnsi" w:hAnsiTheme="majorHAnsi" w:cstheme="majorHAnsi"/>
                <w:sz w:val="16"/>
                <w:szCs w:val="16"/>
              </w:rPr>
              <w:t xml:space="preserve">                         2.872.702 </w:t>
            </w:r>
          </w:p>
        </w:tc>
        <w:tc>
          <w:tcPr>
            <w:tcW w:w="947" w:type="pct"/>
            <w:gridSpan w:val="2"/>
            <w:tcBorders>
              <w:top w:val="nil"/>
              <w:left w:val="nil"/>
              <w:bottom w:val="nil"/>
              <w:right w:val="nil"/>
            </w:tcBorders>
            <w:shd w:val="clear" w:color="auto" w:fill="auto"/>
            <w:noWrap/>
            <w:vAlign w:val="bottom"/>
            <w:hideMark/>
          </w:tcPr>
          <w:p w14:paraId="0562A5DC" w14:textId="77777777" w:rsidR="006B5C31" w:rsidRPr="00C14C67" w:rsidRDefault="006B5C31" w:rsidP="006B5C31">
            <w:pPr>
              <w:jc w:val="right"/>
              <w:rPr>
                <w:rFonts w:asciiTheme="majorHAnsi" w:hAnsiTheme="majorHAnsi" w:cstheme="majorHAnsi"/>
                <w:sz w:val="16"/>
                <w:szCs w:val="16"/>
              </w:rPr>
            </w:pPr>
            <w:r w:rsidRPr="00C14C67">
              <w:rPr>
                <w:rFonts w:asciiTheme="majorHAnsi" w:hAnsiTheme="majorHAnsi" w:cstheme="majorHAnsi"/>
                <w:sz w:val="16"/>
                <w:szCs w:val="16"/>
              </w:rPr>
              <w:t xml:space="preserve">                      2.144.892 </w:t>
            </w:r>
          </w:p>
        </w:tc>
        <w:tc>
          <w:tcPr>
            <w:tcW w:w="379" w:type="pct"/>
            <w:tcBorders>
              <w:top w:val="nil"/>
              <w:left w:val="nil"/>
              <w:bottom w:val="nil"/>
              <w:right w:val="nil"/>
            </w:tcBorders>
            <w:shd w:val="clear" w:color="auto" w:fill="auto"/>
            <w:noWrap/>
            <w:vAlign w:val="center"/>
            <w:hideMark/>
          </w:tcPr>
          <w:p w14:paraId="348192BC" w14:textId="5C68BFF3" w:rsidR="006B5C31" w:rsidRPr="00C14C67" w:rsidRDefault="00AD7CF3" w:rsidP="006B5C31">
            <w:pPr>
              <w:jc w:val="right"/>
              <w:rPr>
                <w:rFonts w:asciiTheme="majorHAnsi" w:hAnsiTheme="majorHAnsi" w:cstheme="majorHAnsi"/>
                <w:sz w:val="16"/>
                <w:szCs w:val="16"/>
              </w:rPr>
            </w:pPr>
            <w:r w:rsidRPr="00C14C67">
              <w:rPr>
                <w:rFonts w:asciiTheme="majorHAnsi" w:hAnsiTheme="majorHAnsi" w:cstheme="majorHAnsi"/>
                <w:sz w:val="16"/>
                <w:szCs w:val="16"/>
              </w:rPr>
              <w:t>(7a)</w:t>
            </w:r>
          </w:p>
        </w:tc>
      </w:tr>
      <w:tr w:rsidR="00A06450" w14:paraId="1F175A49"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5CAE4B10" w14:textId="77777777" w:rsidR="006B5C31" w:rsidRPr="00C14C67" w:rsidRDefault="006B5C31">
            <w:pPr>
              <w:rPr>
                <w:rFonts w:asciiTheme="majorHAnsi" w:hAnsiTheme="majorHAnsi" w:cstheme="majorHAnsi"/>
                <w:sz w:val="16"/>
                <w:szCs w:val="16"/>
              </w:rPr>
            </w:pPr>
            <w:r w:rsidRPr="00C14C67">
              <w:rPr>
                <w:rFonts w:asciiTheme="majorHAnsi" w:hAnsiTheme="majorHAnsi" w:cstheme="majorHAnsi"/>
                <w:sz w:val="16"/>
                <w:szCs w:val="16"/>
              </w:rPr>
              <w:t xml:space="preserve">               Créditos tributários e previdenciários a compensar</w:t>
            </w:r>
          </w:p>
        </w:tc>
        <w:tc>
          <w:tcPr>
            <w:tcW w:w="851" w:type="pct"/>
            <w:gridSpan w:val="2"/>
            <w:tcBorders>
              <w:top w:val="nil"/>
              <w:left w:val="nil"/>
              <w:bottom w:val="nil"/>
              <w:right w:val="nil"/>
            </w:tcBorders>
            <w:shd w:val="clear" w:color="auto" w:fill="auto"/>
            <w:noWrap/>
            <w:vAlign w:val="bottom"/>
            <w:hideMark/>
          </w:tcPr>
          <w:p w14:paraId="25828F70" w14:textId="77777777" w:rsidR="006B5C31" w:rsidRPr="00C14C67" w:rsidRDefault="006B5C31" w:rsidP="006B5C31">
            <w:pPr>
              <w:jc w:val="right"/>
              <w:rPr>
                <w:rFonts w:asciiTheme="majorHAnsi" w:hAnsiTheme="majorHAnsi" w:cstheme="majorHAnsi"/>
                <w:sz w:val="16"/>
                <w:szCs w:val="16"/>
              </w:rPr>
            </w:pPr>
            <w:r w:rsidRPr="00C14C67">
              <w:rPr>
                <w:rFonts w:asciiTheme="majorHAnsi" w:hAnsiTheme="majorHAnsi" w:cstheme="majorHAnsi"/>
                <w:sz w:val="16"/>
                <w:szCs w:val="16"/>
              </w:rPr>
              <w:t xml:space="preserve">                         1.607.286 </w:t>
            </w:r>
          </w:p>
        </w:tc>
        <w:tc>
          <w:tcPr>
            <w:tcW w:w="947" w:type="pct"/>
            <w:gridSpan w:val="2"/>
            <w:tcBorders>
              <w:top w:val="nil"/>
              <w:left w:val="nil"/>
              <w:bottom w:val="nil"/>
              <w:right w:val="nil"/>
            </w:tcBorders>
            <w:shd w:val="clear" w:color="auto" w:fill="auto"/>
            <w:noWrap/>
            <w:vAlign w:val="bottom"/>
            <w:hideMark/>
          </w:tcPr>
          <w:p w14:paraId="1CC58160" w14:textId="77777777" w:rsidR="006B5C31" w:rsidRPr="00C14C67" w:rsidRDefault="006B5C31" w:rsidP="006B5C31">
            <w:pPr>
              <w:jc w:val="right"/>
              <w:rPr>
                <w:rFonts w:asciiTheme="majorHAnsi" w:hAnsiTheme="majorHAnsi" w:cstheme="majorHAnsi"/>
                <w:sz w:val="16"/>
                <w:szCs w:val="16"/>
              </w:rPr>
            </w:pPr>
            <w:r w:rsidRPr="00C14C67">
              <w:rPr>
                <w:rFonts w:asciiTheme="majorHAnsi" w:hAnsiTheme="majorHAnsi" w:cstheme="majorHAnsi"/>
                <w:sz w:val="16"/>
                <w:szCs w:val="16"/>
              </w:rPr>
              <w:t xml:space="preserve">                      1.773.615 </w:t>
            </w:r>
          </w:p>
        </w:tc>
        <w:tc>
          <w:tcPr>
            <w:tcW w:w="379" w:type="pct"/>
            <w:tcBorders>
              <w:top w:val="nil"/>
              <w:left w:val="nil"/>
              <w:bottom w:val="nil"/>
              <w:right w:val="nil"/>
            </w:tcBorders>
            <w:shd w:val="clear" w:color="auto" w:fill="auto"/>
            <w:noWrap/>
            <w:vAlign w:val="center"/>
            <w:hideMark/>
          </w:tcPr>
          <w:p w14:paraId="6000F080" w14:textId="77777777" w:rsidR="006B5C31" w:rsidRPr="00C14C67" w:rsidRDefault="006B5C31" w:rsidP="006B5C31">
            <w:pPr>
              <w:jc w:val="right"/>
              <w:rPr>
                <w:rFonts w:asciiTheme="majorHAnsi" w:hAnsiTheme="majorHAnsi" w:cstheme="majorHAnsi"/>
                <w:sz w:val="16"/>
                <w:szCs w:val="16"/>
              </w:rPr>
            </w:pPr>
            <w:r w:rsidRPr="00C14C67">
              <w:rPr>
                <w:rFonts w:asciiTheme="majorHAnsi" w:hAnsiTheme="majorHAnsi" w:cstheme="majorHAnsi"/>
                <w:sz w:val="16"/>
                <w:szCs w:val="16"/>
              </w:rPr>
              <w:t>(4b)</w:t>
            </w:r>
          </w:p>
        </w:tc>
      </w:tr>
      <w:tr w:rsidR="00A06450" w:rsidRPr="00C14C67" w14:paraId="3251662B"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5DEF58B1" w14:textId="4B7955E3" w:rsidR="006B5C31" w:rsidRPr="00C14C67" w:rsidRDefault="006B5C31">
            <w:pPr>
              <w:rPr>
                <w:rFonts w:asciiTheme="majorHAnsi" w:hAnsiTheme="majorHAnsi" w:cstheme="majorHAnsi"/>
                <w:sz w:val="16"/>
                <w:szCs w:val="16"/>
              </w:rPr>
            </w:pPr>
            <w:r w:rsidRPr="00C14C67">
              <w:rPr>
                <w:rFonts w:asciiTheme="majorHAnsi" w:hAnsiTheme="majorHAnsi" w:cstheme="majorHAnsi"/>
                <w:sz w:val="16"/>
                <w:szCs w:val="16"/>
              </w:rPr>
              <w:t xml:space="preserve">               </w:t>
            </w:r>
            <w:r w:rsidR="007D40EC" w:rsidRPr="00C14C67">
              <w:rPr>
                <w:rFonts w:asciiTheme="majorHAnsi" w:hAnsiTheme="majorHAnsi" w:cstheme="majorHAnsi"/>
                <w:sz w:val="16"/>
                <w:szCs w:val="16"/>
              </w:rPr>
              <w:t>Termo de Execução Descentralizada</w:t>
            </w:r>
          </w:p>
        </w:tc>
        <w:tc>
          <w:tcPr>
            <w:tcW w:w="851" w:type="pct"/>
            <w:gridSpan w:val="2"/>
            <w:tcBorders>
              <w:top w:val="nil"/>
              <w:left w:val="nil"/>
              <w:bottom w:val="nil"/>
              <w:right w:val="nil"/>
            </w:tcBorders>
            <w:shd w:val="clear" w:color="auto" w:fill="auto"/>
            <w:noWrap/>
            <w:vAlign w:val="bottom"/>
            <w:hideMark/>
          </w:tcPr>
          <w:p w14:paraId="422A64A7" w14:textId="09364E62" w:rsidR="006B5C31" w:rsidRPr="00C14C67" w:rsidRDefault="00662DDF" w:rsidP="006B5C31">
            <w:pPr>
              <w:jc w:val="right"/>
              <w:rPr>
                <w:rFonts w:asciiTheme="majorHAnsi" w:hAnsiTheme="majorHAnsi" w:cstheme="majorHAnsi"/>
                <w:sz w:val="16"/>
                <w:szCs w:val="16"/>
              </w:rPr>
            </w:pPr>
            <w:r w:rsidRPr="00C14C67">
              <w:rPr>
                <w:rFonts w:asciiTheme="majorHAnsi" w:hAnsiTheme="majorHAnsi" w:cstheme="majorHAnsi"/>
                <w:sz w:val="16"/>
                <w:szCs w:val="16"/>
              </w:rPr>
              <w:t>15.283.619</w:t>
            </w:r>
            <w:r w:rsidR="006B5C31" w:rsidRPr="00C14C67">
              <w:rPr>
                <w:rFonts w:asciiTheme="majorHAnsi" w:hAnsiTheme="majorHAnsi" w:cstheme="majorHAnsi"/>
                <w:sz w:val="16"/>
                <w:szCs w:val="16"/>
              </w:rPr>
              <w:t xml:space="preserve"> </w:t>
            </w:r>
          </w:p>
        </w:tc>
        <w:tc>
          <w:tcPr>
            <w:tcW w:w="947" w:type="pct"/>
            <w:gridSpan w:val="2"/>
            <w:tcBorders>
              <w:top w:val="nil"/>
              <w:left w:val="nil"/>
              <w:bottom w:val="nil"/>
              <w:right w:val="nil"/>
            </w:tcBorders>
            <w:shd w:val="clear" w:color="auto" w:fill="auto"/>
            <w:noWrap/>
            <w:vAlign w:val="bottom"/>
            <w:hideMark/>
          </w:tcPr>
          <w:p w14:paraId="6F643926" w14:textId="77777777" w:rsidR="006B5C31" w:rsidRPr="00C14C67" w:rsidRDefault="006B5C31" w:rsidP="006B5C31">
            <w:pPr>
              <w:jc w:val="right"/>
              <w:rPr>
                <w:rFonts w:asciiTheme="majorHAnsi" w:hAnsiTheme="majorHAnsi" w:cstheme="majorHAnsi"/>
                <w:sz w:val="16"/>
                <w:szCs w:val="16"/>
              </w:rPr>
            </w:pPr>
            <w:r w:rsidRPr="00C14C67">
              <w:rPr>
                <w:rFonts w:asciiTheme="majorHAnsi" w:hAnsiTheme="majorHAnsi" w:cstheme="majorHAnsi"/>
                <w:sz w:val="16"/>
                <w:szCs w:val="16"/>
              </w:rPr>
              <w:t xml:space="preserve">                                    -   </w:t>
            </w:r>
          </w:p>
        </w:tc>
        <w:tc>
          <w:tcPr>
            <w:tcW w:w="379" w:type="pct"/>
            <w:tcBorders>
              <w:top w:val="nil"/>
              <w:left w:val="nil"/>
              <w:bottom w:val="nil"/>
              <w:right w:val="nil"/>
            </w:tcBorders>
            <w:shd w:val="clear" w:color="auto" w:fill="auto"/>
            <w:noWrap/>
            <w:vAlign w:val="center"/>
            <w:hideMark/>
          </w:tcPr>
          <w:p w14:paraId="72F168E1" w14:textId="77777777" w:rsidR="006B5C31" w:rsidRPr="00C14C67" w:rsidRDefault="006B5C31" w:rsidP="006B5C31">
            <w:pPr>
              <w:jc w:val="right"/>
              <w:rPr>
                <w:rFonts w:asciiTheme="majorHAnsi" w:hAnsiTheme="majorHAnsi" w:cstheme="majorHAnsi"/>
                <w:sz w:val="16"/>
                <w:szCs w:val="16"/>
              </w:rPr>
            </w:pPr>
            <w:r w:rsidRPr="00C14C67">
              <w:rPr>
                <w:rFonts w:asciiTheme="majorHAnsi" w:hAnsiTheme="majorHAnsi" w:cstheme="majorHAnsi"/>
                <w:sz w:val="16"/>
                <w:szCs w:val="16"/>
              </w:rPr>
              <w:t>(4c)</w:t>
            </w:r>
          </w:p>
        </w:tc>
      </w:tr>
      <w:tr w:rsidR="00A06450" w:rsidRPr="00C6505F" w14:paraId="0D590654"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77C93EC8" w14:textId="77777777" w:rsidR="006B5C31" w:rsidRPr="00A21EB0" w:rsidRDefault="006B5C31" w:rsidP="007D40EC">
            <w:pPr>
              <w:rPr>
                <w:rFonts w:asciiTheme="majorHAnsi" w:hAnsiTheme="majorHAnsi" w:cstheme="majorHAnsi"/>
                <w:sz w:val="16"/>
                <w:szCs w:val="16"/>
              </w:rPr>
            </w:pPr>
            <w:r w:rsidRPr="00A21EB0">
              <w:rPr>
                <w:rFonts w:asciiTheme="majorHAnsi" w:hAnsiTheme="majorHAnsi" w:cstheme="majorHAnsi"/>
                <w:sz w:val="16"/>
                <w:szCs w:val="16"/>
              </w:rPr>
              <w:t xml:space="preserve">               Estoques</w:t>
            </w:r>
          </w:p>
        </w:tc>
        <w:tc>
          <w:tcPr>
            <w:tcW w:w="851" w:type="pct"/>
            <w:gridSpan w:val="2"/>
            <w:tcBorders>
              <w:top w:val="nil"/>
              <w:left w:val="nil"/>
              <w:bottom w:val="nil"/>
              <w:right w:val="nil"/>
            </w:tcBorders>
            <w:shd w:val="clear" w:color="auto" w:fill="auto"/>
            <w:noWrap/>
            <w:vAlign w:val="bottom"/>
            <w:hideMark/>
          </w:tcPr>
          <w:p w14:paraId="7E7A8393" w14:textId="77777777" w:rsidR="006B5C31" w:rsidRPr="00A21EB0" w:rsidRDefault="006B5C31" w:rsidP="006B5C31">
            <w:pPr>
              <w:jc w:val="right"/>
              <w:rPr>
                <w:rFonts w:asciiTheme="majorHAnsi" w:hAnsiTheme="majorHAnsi" w:cstheme="majorHAnsi"/>
                <w:sz w:val="16"/>
                <w:szCs w:val="16"/>
              </w:rPr>
            </w:pPr>
            <w:r w:rsidRPr="00A21EB0">
              <w:rPr>
                <w:rFonts w:asciiTheme="majorHAnsi" w:hAnsiTheme="majorHAnsi" w:cstheme="majorHAnsi"/>
                <w:sz w:val="16"/>
                <w:szCs w:val="16"/>
              </w:rPr>
              <w:t xml:space="preserve">                            275.953 </w:t>
            </w:r>
          </w:p>
        </w:tc>
        <w:tc>
          <w:tcPr>
            <w:tcW w:w="947" w:type="pct"/>
            <w:gridSpan w:val="2"/>
            <w:tcBorders>
              <w:top w:val="nil"/>
              <w:left w:val="nil"/>
              <w:bottom w:val="nil"/>
              <w:right w:val="nil"/>
            </w:tcBorders>
            <w:shd w:val="clear" w:color="auto" w:fill="auto"/>
            <w:noWrap/>
            <w:vAlign w:val="bottom"/>
            <w:hideMark/>
          </w:tcPr>
          <w:p w14:paraId="3D16A799" w14:textId="77777777" w:rsidR="006B5C31" w:rsidRPr="00A21EB0" w:rsidRDefault="006B5C31" w:rsidP="006B5C31">
            <w:pPr>
              <w:jc w:val="right"/>
              <w:rPr>
                <w:rFonts w:asciiTheme="majorHAnsi" w:hAnsiTheme="majorHAnsi" w:cstheme="majorHAnsi"/>
                <w:sz w:val="16"/>
                <w:szCs w:val="16"/>
              </w:rPr>
            </w:pPr>
            <w:r w:rsidRPr="00A21EB0">
              <w:rPr>
                <w:rFonts w:asciiTheme="majorHAnsi" w:hAnsiTheme="majorHAnsi" w:cstheme="majorHAnsi"/>
                <w:sz w:val="16"/>
                <w:szCs w:val="16"/>
              </w:rPr>
              <w:t xml:space="preserve">                                    -   </w:t>
            </w:r>
          </w:p>
        </w:tc>
        <w:tc>
          <w:tcPr>
            <w:tcW w:w="379" w:type="pct"/>
            <w:tcBorders>
              <w:top w:val="nil"/>
              <w:left w:val="nil"/>
              <w:bottom w:val="nil"/>
              <w:right w:val="nil"/>
            </w:tcBorders>
            <w:shd w:val="clear" w:color="auto" w:fill="auto"/>
            <w:noWrap/>
            <w:vAlign w:val="center"/>
            <w:hideMark/>
          </w:tcPr>
          <w:p w14:paraId="2928628A" w14:textId="77777777" w:rsidR="006B5C31" w:rsidRPr="00A21EB0" w:rsidRDefault="006B5C31" w:rsidP="006B5C31">
            <w:pPr>
              <w:jc w:val="right"/>
              <w:rPr>
                <w:rFonts w:asciiTheme="majorHAnsi" w:hAnsiTheme="majorHAnsi" w:cstheme="majorHAnsi"/>
                <w:sz w:val="16"/>
                <w:szCs w:val="16"/>
              </w:rPr>
            </w:pPr>
            <w:r w:rsidRPr="00A21EB0">
              <w:rPr>
                <w:rFonts w:asciiTheme="majorHAnsi" w:hAnsiTheme="majorHAnsi" w:cstheme="majorHAnsi"/>
                <w:sz w:val="16"/>
                <w:szCs w:val="16"/>
              </w:rPr>
              <w:t>(5)</w:t>
            </w:r>
          </w:p>
        </w:tc>
      </w:tr>
      <w:tr w:rsidR="00A06450" w:rsidRPr="00C6505F" w14:paraId="22AAD40D"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2B546EDA" w14:textId="77777777" w:rsidR="006B5C31" w:rsidRPr="00A21EB0" w:rsidRDefault="006B5C31">
            <w:pPr>
              <w:rPr>
                <w:rFonts w:asciiTheme="majorHAnsi" w:hAnsiTheme="majorHAnsi" w:cstheme="majorHAnsi"/>
                <w:sz w:val="16"/>
                <w:szCs w:val="16"/>
              </w:rPr>
            </w:pPr>
            <w:r w:rsidRPr="00A21EB0">
              <w:rPr>
                <w:rFonts w:asciiTheme="majorHAnsi" w:hAnsiTheme="majorHAnsi" w:cstheme="majorHAnsi"/>
                <w:sz w:val="16"/>
                <w:szCs w:val="16"/>
              </w:rPr>
              <w:t xml:space="preserve">               Despesas Antecipadas</w:t>
            </w:r>
          </w:p>
        </w:tc>
        <w:tc>
          <w:tcPr>
            <w:tcW w:w="851" w:type="pct"/>
            <w:gridSpan w:val="2"/>
            <w:tcBorders>
              <w:top w:val="nil"/>
              <w:left w:val="nil"/>
              <w:bottom w:val="nil"/>
              <w:right w:val="nil"/>
            </w:tcBorders>
            <w:shd w:val="clear" w:color="auto" w:fill="auto"/>
            <w:noWrap/>
            <w:vAlign w:val="bottom"/>
            <w:hideMark/>
          </w:tcPr>
          <w:p w14:paraId="612D6CB9" w14:textId="77777777" w:rsidR="006B5C31" w:rsidRPr="00A21EB0" w:rsidRDefault="006B5C31" w:rsidP="006B5C31">
            <w:pPr>
              <w:jc w:val="right"/>
              <w:rPr>
                <w:rFonts w:asciiTheme="majorHAnsi" w:hAnsiTheme="majorHAnsi" w:cstheme="majorHAnsi"/>
                <w:sz w:val="16"/>
                <w:szCs w:val="16"/>
              </w:rPr>
            </w:pPr>
            <w:r w:rsidRPr="00A21EB0">
              <w:rPr>
                <w:rFonts w:asciiTheme="majorHAnsi" w:hAnsiTheme="majorHAnsi" w:cstheme="majorHAnsi"/>
                <w:sz w:val="16"/>
                <w:szCs w:val="16"/>
              </w:rPr>
              <w:t xml:space="preserve">                            800.331 </w:t>
            </w:r>
          </w:p>
        </w:tc>
        <w:tc>
          <w:tcPr>
            <w:tcW w:w="947" w:type="pct"/>
            <w:gridSpan w:val="2"/>
            <w:tcBorders>
              <w:top w:val="nil"/>
              <w:left w:val="nil"/>
              <w:bottom w:val="nil"/>
              <w:right w:val="nil"/>
            </w:tcBorders>
            <w:shd w:val="clear" w:color="auto" w:fill="auto"/>
            <w:noWrap/>
            <w:vAlign w:val="bottom"/>
            <w:hideMark/>
          </w:tcPr>
          <w:p w14:paraId="26B0D2A5" w14:textId="77777777" w:rsidR="006B5C31" w:rsidRPr="00A21EB0" w:rsidRDefault="006B5C31" w:rsidP="006B5C31">
            <w:pPr>
              <w:jc w:val="right"/>
              <w:rPr>
                <w:rFonts w:asciiTheme="majorHAnsi" w:hAnsiTheme="majorHAnsi" w:cstheme="majorHAnsi"/>
                <w:sz w:val="16"/>
                <w:szCs w:val="16"/>
              </w:rPr>
            </w:pPr>
            <w:r w:rsidRPr="00A21EB0">
              <w:rPr>
                <w:rFonts w:asciiTheme="majorHAnsi" w:hAnsiTheme="majorHAnsi" w:cstheme="majorHAnsi"/>
                <w:sz w:val="16"/>
                <w:szCs w:val="16"/>
              </w:rPr>
              <w:t xml:space="preserve">                                    -   </w:t>
            </w:r>
          </w:p>
        </w:tc>
        <w:tc>
          <w:tcPr>
            <w:tcW w:w="379" w:type="pct"/>
            <w:tcBorders>
              <w:top w:val="nil"/>
              <w:left w:val="nil"/>
              <w:bottom w:val="nil"/>
              <w:right w:val="nil"/>
            </w:tcBorders>
            <w:shd w:val="clear" w:color="auto" w:fill="auto"/>
            <w:noWrap/>
            <w:vAlign w:val="center"/>
            <w:hideMark/>
          </w:tcPr>
          <w:p w14:paraId="688DCAD2" w14:textId="77777777" w:rsidR="006B5C31" w:rsidRPr="00A21EB0" w:rsidRDefault="006B5C31" w:rsidP="006B5C31">
            <w:pPr>
              <w:jc w:val="right"/>
              <w:rPr>
                <w:rFonts w:asciiTheme="majorHAnsi" w:hAnsiTheme="majorHAnsi" w:cstheme="majorHAnsi"/>
                <w:sz w:val="16"/>
                <w:szCs w:val="16"/>
              </w:rPr>
            </w:pPr>
            <w:r w:rsidRPr="00A21EB0">
              <w:rPr>
                <w:rFonts w:asciiTheme="majorHAnsi" w:hAnsiTheme="majorHAnsi" w:cstheme="majorHAnsi"/>
                <w:sz w:val="16"/>
                <w:szCs w:val="16"/>
              </w:rPr>
              <w:t>(4d)</w:t>
            </w:r>
          </w:p>
        </w:tc>
      </w:tr>
      <w:tr w:rsidR="00A06450" w14:paraId="1B4649B4"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0E95B092" w14:textId="77777777" w:rsidR="006B5C31" w:rsidRPr="006B5C31" w:rsidRDefault="006B5C31">
            <w:pPr>
              <w:rPr>
                <w:rFonts w:asciiTheme="majorHAnsi" w:hAnsiTheme="majorHAnsi" w:cstheme="majorHAnsi"/>
                <w:sz w:val="16"/>
                <w:szCs w:val="16"/>
              </w:rPr>
            </w:pPr>
            <w:r w:rsidRPr="006B5C31">
              <w:rPr>
                <w:rFonts w:asciiTheme="majorHAnsi" w:hAnsiTheme="majorHAnsi" w:cstheme="majorHAnsi"/>
                <w:sz w:val="16"/>
                <w:szCs w:val="16"/>
              </w:rPr>
              <w:t xml:space="preserve">               Outros Créditos a Receber </w:t>
            </w:r>
          </w:p>
        </w:tc>
        <w:tc>
          <w:tcPr>
            <w:tcW w:w="851" w:type="pct"/>
            <w:gridSpan w:val="2"/>
            <w:tcBorders>
              <w:top w:val="nil"/>
              <w:left w:val="nil"/>
              <w:bottom w:val="nil"/>
              <w:right w:val="nil"/>
            </w:tcBorders>
            <w:shd w:val="clear" w:color="auto" w:fill="auto"/>
            <w:noWrap/>
            <w:vAlign w:val="bottom"/>
            <w:hideMark/>
          </w:tcPr>
          <w:p w14:paraId="1FA38D35" w14:textId="77777777" w:rsidR="006B5C31" w:rsidRPr="006B5C31" w:rsidRDefault="006B5C31" w:rsidP="006B5C31">
            <w:pPr>
              <w:jc w:val="right"/>
              <w:rPr>
                <w:rFonts w:asciiTheme="majorHAnsi" w:hAnsiTheme="majorHAnsi" w:cstheme="majorHAnsi"/>
                <w:sz w:val="16"/>
                <w:szCs w:val="16"/>
              </w:rPr>
            </w:pPr>
            <w:r w:rsidRPr="006B5C31">
              <w:rPr>
                <w:rFonts w:asciiTheme="majorHAnsi" w:hAnsiTheme="majorHAnsi" w:cstheme="majorHAnsi"/>
                <w:sz w:val="16"/>
                <w:szCs w:val="16"/>
              </w:rPr>
              <w:t xml:space="preserve">                            179.752 </w:t>
            </w:r>
          </w:p>
        </w:tc>
        <w:tc>
          <w:tcPr>
            <w:tcW w:w="947" w:type="pct"/>
            <w:gridSpan w:val="2"/>
            <w:tcBorders>
              <w:top w:val="nil"/>
              <w:left w:val="nil"/>
              <w:bottom w:val="nil"/>
              <w:right w:val="nil"/>
            </w:tcBorders>
            <w:shd w:val="clear" w:color="auto" w:fill="auto"/>
            <w:noWrap/>
            <w:vAlign w:val="bottom"/>
            <w:hideMark/>
          </w:tcPr>
          <w:p w14:paraId="606CFE9F" w14:textId="77777777" w:rsidR="006B5C31" w:rsidRPr="006B5C31" w:rsidRDefault="006B5C31" w:rsidP="006B5C31">
            <w:pPr>
              <w:jc w:val="right"/>
              <w:rPr>
                <w:rFonts w:asciiTheme="majorHAnsi" w:hAnsiTheme="majorHAnsi" w:cstheme="majorHAnsi"/>
                <w:sz w:val="16"/>
                <w:szCs w:val="16"/>
              </w:rPr>
            </w:pPr>
            <w:r w:rsidRPr="006B5C31">
              <w:rPr>
                <w:rFonts w:asciiTheme="majorHAnsi" w:hAnsiTheme="majorHAnsi" w:cstheme="majorHAnsi"/>
                <w:sz w:val="16"/>
                <w:szCs w:val="16"/>
              </w:rPr>
              <w:t xml:space="preserve">                    14.173.684 </w:t>
            </w:r>
          </w:p>
        </w:tc>
        <w:tc>
          <w:tcPr>
            <w:tcW w:w="379" w:type="pct"/>
            <w:tcBorders>
              <w:top w:val="nil"/>
              <w:left w:val="nil"/>
              <w:bottom w:val="nil"/>
              <w:right w:val="nil"/>
            </w:tcBorders>
            <w:shd w:val="clear" w:color="auto" w:fill="auto"/>
            <w:noWrap/>
            <w:vAlign w:val="center"/>
            <w:hideMark/>
          </w:tcPr>
          <w:p w14:paraId="507107D5" w14:textId="77777777" w:rsidR="006B5C31" w:rsidRPr="006B5C31" w:rsidRDefault="006B5C31" w:rsidP="006B5C31">
            <w:pPr>
              <w:jc w:val="right"/>
              <w:rPr>
                <w:rFonts w:asciiTheme="majorHAnsi" w:hAnsiTheme="majorHAnsi" w:cstheme="majorHAnsi"/>
                <w:sz w:val="16"/>
                <w:szCs w:val="16"/>
              </w:rPr>
            </w:pPr>
            <w:r w:rsidRPr="006B5C31">
              <w:rPr>
                <w:rFonts w:asciiTheme="majorHAnsi" w:hAnsiTheme="majorHAnsi" w:cstheme="majorHAnsi"/>
                <w:sz w:val="16"/>
                <w:szCs w:val="16"/>
              </w:rPr>
              <w:t>(4e)</w:t>
            </w:r>
          </w:p>
        </w:tc>
      </w:tr>
      <w:tr w:rsidR="007D40EC" w:rsidRPr="009E7AA5" w14:paraId="5A6FCEC6"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tcPr>
          <w:p w14:paraId="3CCB176F" w14:textId="7CE5E41C" w:rsidR="007D40EC" w:rsidRPr="009E7AA5" w:rsidRDefault="007D40EC" w:rsidP="007D40EC">
            <w:pPr>
              <w:rPr>
                <w:rFonts w:asciiTheme="majorHAnsi" w:hAnsiTheme="majorHAnsi" w:cstheme="majorHAnsi"/>
                <w:sz w:val="16"/>
                <w:szCs w:val="16"/>
              </w:rPr>
            </w:pPr>
            <w:r w:rsidRPr="009E7AA5">
              <w:rPr>
                <w:rFonts w:asciiTheme="majorHAnsi" w:hAnsiTheme="majorHAnsi" w:cstheme="majorHAnsi"/>
                <w:sz w:val="16"/>
                <w:szCs w:val="16"/>
              </w:rPr>
              <w:t xml:space="preserve">               Acordo de Parceria</w:t>
            </w:r>
          </w:p>
        </w:tc>
        <w:tc>
          <w:tcPr>
            <w:tcW w:w="851" w:type="pct"/>
            <w:gridSpan w:val="2"/>
            <w:tcBorders>
              <w:top w:val="nil"/>
              <w:left w:val="nil"/>
              <w:bottom w:val="nil"/>
              <w:right w:val="nil"/>
            </w:tcBorders>
            <w:shd w:val="clear" w:color="auto" w:fill="auto"/>
            <w:noWrap/>
            <w:vAlign w:val="bottom"/>
          </w:tcPr>
          <w:p w14:paraId="564ECB19" w14:textId="3F65E76C" w:rsidR="007D40EC" w:rsidRPr="009E7AA5" w:rsidRDefault="00662DDF" w:rsidP="007D40EC">
            <w:pPr>
              <w:jc w:val="right"/>
              <w:rPr>
                <w:rFonts w:asciiTheme="majorHAnsi" w:hAnsiTheme="majorHAnsi" w:cstheme="majorHAnsi"/>
                <w:sz w:val="16"/>
                <w:szCs w:val="16"/>
              </w:rPr>
            </w:pPr>
            <w:r w:rsidRPr="009E7AA5">
              <w:rPr>
                <w:rFonts w:asciiTheme="majorHAnsi" w:hAnsiTheme="majorHAnsi" w:cstheme="majorHAnsi"/>
                <w:sz w:val="16"/>
                <w:szCs w:val="16"/>
              </w:rPr>
              <w:t>12.993.292</w:t>
            </w:r>
          </w:p>
        </w:tc>
        <w:tc>
          <w:tcPr>
            <w:tcW w:w="947" w:type="pct"/>
            <w:gridSpan w:val="2"/>
            <w:tcBorders>
              <w:top w:val="nil"/>
              <w:left w:val="nil"/>
              <w:bottom w:val="nil"/>
              <w:right w:val="nil"/>
            </w:tcBorders>
            <w:shd w:val="clear" w:color="auto" w:fill="auto"/>
            <w:noWrap/>
            <w:vAlign w:val="bottom"/>
          </w:tcPr>
          <w:p w14:paraId="27D26CC1" w14:textId="4A962557" w:rsidR="007D40EC" w:rsidRPr="009E7AA5" w:rsidRDefault="00662DDF" w:rsidP="007D40EC">
            <w:pPr>
              <w:jc w:val="right"/>
              <w:rPr>
                <w:rFonts w:asciiTheme="majorHAnsi" w:hAnsiTheme="majorHAnsi" w:cstheme="majorHAnsi"/>
                <w:sz w:val="16"/>
                <w:szCs w:val="16"/>
              </w:rPr>
            </w:pPr>
            <w:r w:rsidRPr="009E7AA5">
              <w:rPr>
                <w:rFonts w:asciiTheme="majorHAnsi" w:hAnsiTheme="majorHAnsi" w:cstheme="majorHAnsi"/>
                <w:sz w:val="16"/>
                <w:szCs w:val="16"/>
              </w:rPr>
              <w:t xml:space="preserve">                                    -</w:t>
            </w:r>
          </w:p>
        </w:tc>
        <w:tc>
          <w:tcPr>
            <w:tcW w:w="379" w:type="pct"/>
            <w:tcBorders>
              <w:top w:val="nil"/>
              <w:left w:val="nil"/>
              <w:bottom w:val="nil"/>
              <w:right w:val="nil"/>
            </w:tcBorders>
            <w:shd w:val="clear" w:color="auto" w:fill="auto"/>
            <w:noWrap/>
            <w:vAlign w:val="center"/>
          </w:tcPr>
          <w:p w14:paraId="4EA2E674" w14:textId="2BDB8322" w:rsidR="007D40EC" w:rsidRPr="009E7AA5" w:rsidRDefault="00662DDF" w:rsidP="007D40EC">
            <w:pPr>
              <w:jc w:val="right"/>
              <w:rPr>
                <w:rFonts w:asciiTheme="majorHAnsi" w:hAnsiTheme="majorHAnsi" w:cstheme="majorHAnsi"/>
                <w:sz w:val="16"/>
                <w:szCs w:val="16"/>
              </w:rPr>
            </w:pPr>
            <w:r w:rsidRPr="009E7AA5">
              <w:rPr>
                <w:rFonts w:asciiTheme="majorHAnsi" w:hAnsiTheme="majorHAnsi" w:cstheme="majorHAnsi"/>
                <w:sz w:val="16"/>
                <w:szCs w:val="16"/>
              </w:rPr>
              <w:t>(4f)</w:t>
            </w:r>
          </w:p>
        </w:tc>
      </w:tr>
      <w:tr w:rsidR="007D40EC" w:rsidRPr="009E7AA5" w14:paraId="369E63D2"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7687706C" w14:textId="77777777" w:rsidR="007D40EC" w:rsidRPr="009E7AA5" w:rsidRDefault="007D40EC" w:rsidP="007D40EC">
            <w:pPr>
              <w:rPr>
                <w:rFonts w:asciiTheme="majorHAnsi" w:hAnsiTheme="majorHAnsi" w:cstheme="majorHAnsi"/>
                <w:b/>
                <w:bCs/>
                <w:sz w:val="16"/>
                <w:szCs w:val="16"/>
              </w:rPr>
            </w:pPr>
            <w:r w:rsidRPr="009E7AA5">
              <w:rPr>
                <w:rFonts w:asciiTheme="majorHAnsi" w:hAnsiTheme="majorHAnsi" w:cstheme="majorHAnsi"/>
                <w:b/>
                <w:bCs/>
                <w:sz w:val="16"/>
                <w:szCs w:val="16"/>
              </w:rPr>
              <w:t>ATIVO NÃO CIRCULANTE</w:t>
            </w:r>
          </w:p>
        </w:tc>
        <w:tc>
          <w:tcPr>
            <w:tcW w:w="851" w:type="pct"/>
            <w:gridSpan w:val="2"/>
            <w:tcBorders>
              <w:top w:val="nil"/>
              <w:left w:val="nil"/>
              <w:bottom w:val="nil"/>
              <w:right w:val="nil"/>
            </w:tcBorders>
            <w:shd w:val="clear" w:color="auto" w:fill="auto"/>
            <w:noWrap/>
            <w:vAlign w:val="bottom"/>
            <w:hideMark/>
          </w:tcPr>
          <w:p w14:paraId="44F0C835" w14:textId="77777777" w:rsidR="007D40EC" w:rsidRPr="009E7AA5" w:rsidRDefault="007D40EC" w:rsidP="007D40EC">
            <w:pPr>
              <w:jc w:val="right"/>
              <w:rPr>
                <w:rFonts w:asciiTheme="majorHAnsi" w:hAnsiTheme="majorHAnsi" w:cstheme="majorHAnsi"/>
                <w:b/>
                <w:bCs/>
                <w:sz w:val="16"/>
                <w:szCs w:val="16"/>
              </w:rPr>
            </w:pPr>
            <w:r w:rsidRPr="009E7AA5">
              <w:rPr>
                <w:rFonts w:asciiTheme="majorHAnsi" w:hAnsiTheme="majorHAnsi" w:cstheme="majorHAnsi"/>
                <w:b/>
                <w:bCs/>
                <w:sz w:val="16"/>
                <w:szCs w:val="16"/>
              </w:rPr>
              <w:t xml:space="preserve">                 4.901.980.493 </w:t>
            </w:r>
          </w:p>
        </w:tc>
        <w:tc>
          <w:tcPr>
            <w:tcW w:w="947" w:type="pct"/>
            <w:gridSpan w:val="2"/>
            <w:tcBorders>
              <w:top w:val="nil"/>
              <w:left w:val="nil"/>
              <w:bottom w:val="nil"/>
              <w:right w:val="nil"/>
            </w:tcBorders>
            <w:shd w:val="clear" w:color="auto" w:fill="auto"/>
            <w:noWrap/>
            <w:vAlign w:val="bottom"/>
            <w:hideMark/>
          </w:tcPr>
          <w:p w14:paraId="643D8586" w14:textId="77777777" w:rsidR="007D40EC" w:rsidRPr="009E7AA5" w:rsidRDefault="007D40EC" w:rsidP="007D40EC">
            <w:pPr>
              <w:jc w:val="right"/>
              <w:rPr>
                <w:rFonts w:asciiTheme="majorHAnsi" w:hAnsiTheme="majorHAnsi" w:cstheme="majorHAnsi"/>
                <w:b/>
                <w:bCs/>
                <w:sz w:val="16"/>
                <w:szCs w:val="16"/>
              </w:rPr>
            </w:pPr>
            <w:r w:rsidRPr="009E7AA5">
              <w:rPr>
                <w:rFonts w:asciiTheme="majorHAnsi" w:hAnsiTheme="majorHAnsi" w:cstheme="majorHAnsi"/>
                <w:b/>
                <w:bCs/>
                <w:sz w:val="16"/>
                <w:szCs w:val="16"/>
              </w:rPr>
              <w:t xml:space="preserve">              4.340.781.082 </w:t>
            </w:r>
          </w:p>
        </w:tc>
        <w:tc>
          <w:tcPr>
            <w:tcW w:w="379" w:type="pct"/>
            <w:tcBorders>
              <w:top w:val="nil"/>
              <w:left w:val="nil"/>
              <w:bottom w:val="nil"/>
              <w:right w:val="nil"/>
            </w:tcBorders>
            <w:shd w:val="clear" w:color="auto" w:fill="auto"/>
            <w:noWrap/>
            <w:vAlign w:val="center"/>
            <w:hideMark/>
          </w:tcPr>
          <w:p w14:paraId="27385194" w14:textId="77777777" w:rsidR="007D40EC" w:rsidRPr="009E7AA5" w:rsidRDefault="007D40EC" w:rsidP="007D40EC">
            <w:pPr>
              <w:jc w:val="right"/>
              <w:rPr>
                <w:rFonts w:asciiTheme="majorHAnsi" w:hAnsiTheme="majorHAnsi" w:cstheme="majorHAnsi"/>
                <w:b/>
                <w:bCs/>
                <w:sz w:val="16"/>
                <w:szCs w:val="16"/>
              </w:rPr>
            </w:pPr>
          </w:p>
        </w:tc>
      </w:tr>
      <w:tr w:rsidR="007D40EC" w14:paraId="3A12AB5D"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29B588FD" w14:textId="77777777" w:rsidR="007D40EC" w:rsidRPr="006B5C31" w:rsidRDefault="007D40EC" w:rsidP="007D40EC">
            <w:pPr>
              <w:rPr>
                <w:rFonts w:asciiTheme="majorHAnsi" w:hAnsiTheme="majorHAnsi" w:cstheme="majorHAnsi"/>
                <w:b/>
                <w:bCs/>
                <w:sz w:val="16"/>
                <w:szCs w:val="16"/>
              </w:rPr>
            </w:pPr>
            <w:r w:rsidRPr="006B5C31">
              <w:rPr>
                <w:rFonts w:asciiTheme="majorHAnsi" w:hAnsiTheme="majorHAnsi" w:cstheme="majorHAnsi"/>
                <w:b/>
                <w:bCs/>
                <w:sz w:val="16"/>
                <w:szCs w:val="16"/>
              </w:rPr>
              <w:t xml:space="preserve">      Realizável a Longo Prazo</w:t>
            </w:r>
          </w:p>
        </w:tc>
        <w:tc>
          <w:tcPr>
            <w:tcW w:w="851" w:type="pct"/>
            <w:gridSpan w:val="2"/>
            <w:tcBorders>
              <w:top w:val="nil"/>
              <w:left w:val="nil"/>
              <w:bottom w:val="nil"/>
              <w:right w:val="nil"/>
            </w:tcBorders>
            <w:shd w:val="clear" w:color="auto" w:fill="auto"/>
            <w:noWrap/>
            <w:vAlign w:val="bottom"/>
            <w:hideMark/>
          </w:tcPr>
          <w:p w14:paraId="34551BDE"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141.921.243 </w:t>
            </w:r>
          </w:p>
        </w:tc>
        <w:tc>
          <w:tcPr>
            <w:tcW w:w="947" w:type="pct"/>
            <w:gridSpan w:val="2"/>
            <w:tcBorders>
              <w:top w:val="nil"/>
              <w:left w:val="nil"/>
              <w:bottom w:val="nil"/>
              <w:right w:val="nil"/>
            </w:tcBorders>
            <w:shd w:val="clear" w:color="auto" w:fill="auto"/>
            <w:noWrap/>
            <w:vAlign w:val="bottom"/>
            <w:hideMark/>
          </w:tcPr>
          <w:p w14:paraId="401AD1D7"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131.118.510 </w:t>
            </w:r>
          </w:p>
        </w:tc>
        <w:tc>
          <w:tcPr>
            <w:tcW w:w="379" w:type="pct"/>
            <w:tcBorders>
              <w:top w:val="nil"/>
              <w:left w:val="nil"/>
              <w:bottom w:val="nil"/>
              <w:right w:val="nil"/>
            </w:tcBorders>
            <w:shd w:val="clear" w:color="auto" w:fill="auto"/>
            <w:noWrap/>
            <w:vAlign w:val="center"/>
            <w:hideMark/>
          </w:tcPr>
          <w:p w14:paraId="5FF0F5CD" w14:textId="77777777" w:rsidR="007D40EC" w:rsidRPr="006B5C31" w:rsidRDefault="007D40EC" w:rsidP="007D40EC">
            <w:pPr>
              <w:jc w:val="right"/>
              <w:rPr>
                <w:rFonts w:asciiTheme="majorHAnsi" w:hAnsiTheme="majorHAnsi" w:cstheme="majorHAnsi"/>
                <w:b/>
                <w:bCs/>
                <w:sz w:val="16"/>
                <w:szCs w:val="16"/>
              </w:rPr>
            </w:pPr>
          </w:p>
        </w:tc>
      </w:tr>
      <w:tr w:rsidR="007D40EC" w14:paraId="59E3CED1"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7944EC38"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Depósitos de Cauções</w:t>
            </w:r>
          </w:p>
        </w:tc>
        <w:tc>
          <w:tcPr>
            <w:tcW w:w="851" w:type="pct"/>
            <w:gridSpan w:val="2"/>
            <w:tcBorders>
              <w:top w:val="nil"/>
              <w:left w:val="nil"/>
              <w:bottom w:val="nil"/>
              <w:right w:val="nil"/>
            </w:tcBorders>
            <w:shd w:val="clear" w:color="auto" w:fill="auto"/>
            <w:noWrap/>
            <w:vAlign w:val="bottom"/>
            <w:hideMark/>
          </w:tcPr>
          <w:p w14:paraId="64270D96"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431.756 </w:t>
            </w:r>
          </w:p>
        </w:tc>
        <w:tc>
          <w:tcPr>
            <w:tcW w:w="947" w:type="pct"/>
            <w:gridSpan w:val="2"/>
            <w:tcBorders>
              <w:top w:val="nil"/>
              <w:left w:val="nil"/>
              <w:bottom w:val="nil"/>
              <w:right w:val="nil"/>
            </w:tcBorders>
            <w:shd w:val="clear" w:color="auto" w:fill="auto"/>
            <w:noWrap/>
            <w:vAlign w:val="bottom"/>
            <w:hideMark/>
          </w:tcPr>
          <w:p w14:paraId="49412D66"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257.472 </w:t>
            </w:r>
          </w:p>
        </w:tc>
        <w:tc>
          <w:tcPr>
            <w:tcW w:w="379" w:type="pct"/>
            <w:tcBorders>
              <w:top w:val="nil"/>
              <w:left w:val="nil"/>
              <w:bottom w:val="nil"/>
              <w:right w:val="nil"/>
            </w:tcBorders>
            <w:shd w:val="clear" w:color="auto" w:fill="auto"/>
            <w:noWrap/>
            <w:vAlign w:val="center"/>
            <w:hideMark/>
          </w:tcPr>
          <w:p w14:paraId="64779033"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(6a)</w:t>
            </w:r>
          </w:p>
        </w:tc>
      </w:tr>
      <w:tr w:rsidR="007D40EC" w14:paraId="351E5B36"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1381FD0C"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Depósitos Judiciais</w:t>
            </w:r>
          </w:p>
        </w:tc>
        <w:tc>
          <w:tcPr>
            <w:tcW w:w="851" w:type="pct"/>
            <w:gridSpan w:val="2"/>
            <w:tcBorders>
              <w:top w:val="nil"/>
              <w:left w:val="nil"/>
              <w:bottom w:val="nil"/>
              <w:right w:val="nil"/>
            </w:tcBorders>
            <w:shd w:val="clear" w:color="auto" w:fill="auto"/>
            <w:noWrap/>
            <w:vAlign w:val="bottom"/>
            <w:hideMark/>
          </w:tcPr>
          <w:p w14:paraId="7CD57605"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90.907.032 </w:t>
            </w:r>
          </w:p>
        </w:tc>
        <w:tc>
          <w:tcPr>
            <w:tcW w:w="947" w:type="pct"/>
            <w:gridSpan w:val="2"/>
            <w:tcBorders>
              <w:top w:val="nil"/>
              <w:left w:val="nil"/>
              <w:bottom w:val="nil"/>
              <w:right w:val="nil"/>
            </w:tcBorders>
            <w:shd w:val="clear" w:color="auto" w:fill="auto"/>
            <w:noWrap/>
            <w:vAlign w:val="bottom"/>
            <w:hideMark/>
          </w:tcPr>
          <w:p w14:paraId="241D94A8"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89.713.629 </w:t>
            </w:r>
          </w:p>
        </w:tc>
        <w:tc>
          <w:tcPr>
            <w:tcW w:w="379" w:type="pct"/>
            <w:tcBorders>
              <w:top w:val="nil"/>
              <w:left w:val="nil"/>
              <w:bottom w:val="nil"/>
              <w:right w:val="nil"/>
            </w:tcBorders>
            <w:shd w:val="clear" w:color="auto" w:fill="auto"/>
            <w:noWrap/>
            <w:vAlign w:val="center"/>
            <w:hideMark/>
          </w:tcPr>
          <w:p w14:paraId="1DDCA7CE"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(6b)</w:t>
            </w:r>
          </w:p>
        </w:tc>
      </w:tr>
      <w:tr w:rsidR="007D40EC" w:rsidRPr="00AD7CF3" w14:paraId="1323BFE4"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689DE422" w14:textId="77777777" w:rsidR="007D40EC" w:rsidRPr="00AD7CF3" w:rsidRDefault="007D40EC" w:rsidP="007D40EC">
            <w:pPr>
              <w:rPr>
                <w:rFonts w:asciiTheme="majorHAnsi" w:hAnsiTheme="majorHAnsi" w:cstheme="majorHAnsi"/>
                <w:sz w:val="16"/>
                <w:szCs w:val="16"/>
              </w:rPr>
            </w:pPr>
            <w:r w:rsidRPr="00AD7CF3">
              <w:rPr>
                <w:rFonts w:asciiTheme="majorHAnsi" w:hAnsiTheme="majorHAnsi" w:cstheme="majorHAnsi"/>
                <w:sz w:val="16"/>
                <w:szCs w:val="16"/>
              </w:rPr>
              <w:t xml:space="preserve">               Permissões p/uso de pátios a receber</w:t>
            </w:r>
          </w:p>
        </w:tc>
        <w:tc>
          <w:tcPr>
            <w:tcW w:w="851" w:type="pct"/>
            <w:gridSpan w:val="2"/>
            <w:tcBorders>
              <w:top w:val="nil"/>
              <w:left w:val="nil"/>
              <w:bottom w:val="nil"/>
              <w:right w:val="nil"/>
            </w:tcBorders>
            <w:shd w:val="clear" w:color="auto" w:fill="auto"/>
            <w:noWrap/>
            <w:vAlign w:val="bottom"/>
            <w:hideMark/>
          </w:tcPr>
          <w:p w14:paraId="0C45CB10" w14:textId="77777777" w:rsidR="007D40EC" w:rsidRPr="00AD7CF3" w:rsidRDefault="007D40EC" w:rsidP="007D40EC">
            <w:pPr>
              <w:jc w:val="right"/>
              <w:rPr>
                <w:rFonts w:asciiTheme="majorHAnsi" w:hAnsiTheme="majorHAnsi" w:cstheme="majorHAnsi"/>
                <w:sz w:val="16"/>
                <w:szCs w:val="16"/>
              </w:rPr>
            </w:pPr>
            <w:r w:rsidRPr="00AD7CF3">
              <w:rPr>
                <w:rFonts w:asciiTheme="majorHAnsi" w:hAnsiTheme="majorHAnsi" w:cstheme="majorHAnsi"/>
                <w:sz w:val="16"/>
                <w:szCs w:val="16"/>
              </w:rPr>
              <w:t xml:space="preserve">                       50.554.434 </w:t>
            </w:r>
          </w:p>
        </w:tc>
        <w:tc>
          <w:tcPr>
            <w:tcW w:w="947" w:type="pct"/>
            <w:gridSpan w:val="2"/>
            <w:tcBorders>
              <w:top w:val="nil"/>
              <w:left w:val="nil"/>
              <w:bottom w:val="nil"/>
              <w:right w:val="nil"/>
            </w:tcBorders>
            <w:shd w:val="clear" w:color="auto" w:fill="auto"/>
            <w:noWrap/>
            <w:vAlign w:val="bottom"/>
            <w:hideMark/>
          </w:tcPr>
          <w:p w14:paraId="6C8BEF10" w14:textId="77777777" w:rsidR="007D40EC" w:rsidRPr="00AD7CF3" w:rsidRDefault="007D40EC" w:rsidP="007D40EC">
            <w:pPr>
              <w:jc w:val="right"/>
              <w:rPr>
                <w:rFonts w:asciiTheme="majorHAnsi" w:hAnsiTheme="majorHAnsi" w:cstheme="majorHAnsi"/>
                <w:sz w:val="16"/>
                <w:szCs w:val="16"/>
              </w:rPr>
            </w:pPr>
            <w:r w:rsidRPr="00AD7CF3">
              <w:rPr>
                <w:rFonts w:asciiTheme="majorHAnsi" w:hAnsiTheme="majorHAnsi" w:cstheme="majorHAnsi"/>
                <w:sz w:val="16"/>
                <w:szCs w:val="16"/>
              </w:rPr>
              <w:t xml:space="preserve">                    41.112.262 </w:t>
            </w:r>
          </w:p>
        </w:tc>
        <w:tc>
          <w:tcPr>
            <w:tcW w:w="379" w:type="pct"/>
            <w:tcBorders>
              <w:top w:val="nil"/>
              <w:left w:val="nil"/>
              <w:bottom w:val="nil"/>
              <w:right w:val="nil"/>
            </w:tcBorders>
            <w:shd w:val="clear" w:color="auto" w:fill="auto"/>
            <w:noWrap/>
            <w:vAlign w:val="center"/>
            <w:hideMark/>
          </w:tcPr>
          <w:p w14:paraId="4F5F393D" w14:textId="73C33F85" w:rsidR="007D40EC" w:rsidRPr="00AD7CF3" w:rsidRDefault="007D40EC" w:rsidP="007D40EC">
            <w:pPr>
              <w:jc w:val="right"/>
              <w:rPr>
                <w:rFonts w:asciiTheme="majorHAnsi" w:hAnsiTheme="majorHAnsi" w:cstheme="majorHAnsi"/>
                <w:sz w:val="16"/>
                <w:szCs w:val="16"/>
              </w:rPr>
            </w:pPr>
            <w:r w:rsidRPr="00AD7CF3">
              <w:rPr>
                <w:rFonts w:asciiTheme="majorHAnsi" w:hAnsiTheme="majorHAnsi" w:cstheme="majorHAnsi"/>
                <w:sz w:val="16"/>
                <w:szCs w:val="16"/>
              </w:rPr>
              <w:t>(7b)</w:t>
            </w:r>
          </w:p>
        </w:tc>
      </w:tr>
      <w:tr w:rsidR="007D40EC" w14:paraId="1B919FEA"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5D85426D" w14:textId="68309C8C"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Valores a Receber (Assist. Médica- Geipot)</w:t>
            </w:r>
          </w:p>
        </w:tc>
        <w:tc>
          <w:tcPr>
            <w:tcW w:w="851" w:type="pct"/>
            <w:gridSpan w:val="2"/>
            <w:tcBorders>
              <w:top w:val="nil"/>
              <w:left w:val="nil"/>
              <w:bottom w:val="nil"/>
              <w:right w:val="nil"/>
            </w:tcBorders>
            <w:shd w:val="clear" w:color="auto" w:fill="auto"/>
            <w:noWrap/>
            <w:vAlign w:val="bottom"/>
            <w:hideMark/>
          </w:tcPr>
          <w:p w14:paraId="5C523D11"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28.020 </w:t>
            </w:r>
          </w:p>
        </w:tc>
        <w:tc>
          <w:tcPr>
            <w:tcW w:w="947" w:type="pct"/>
            <w:gridSpan w:val="2"/>
            <w:tcBorders>
              <w:top w:val="nil"/>
              <w:left w:val="nil"/>
              <w:bottom w:val="nil"/>
              <w:right w:val="nil"/>
            </w:tcBorders>
            <w:shd w:val="clear" w:color="auto" w:fill="auto"/>
            <w:noWrap/>
            <w:vAlign w:val="bottom"/>
            <w:hideMark/>
          </w:tcPr>
          <w:p w14:paraId="59FD9D7A"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35.147 </w:t>
            </w:r>
          </w:p>
        </w:tc>
        <w:tc>
          <w:tcPr>
            <w:tcW w:w="379" w:type="pct"/>
            <w:tcBorders>
              <w:top w:val="nil"/>
              <w:left w:val="nil"/>
              <w:bottom w:val="nil"/>
              <w:right w:val="nil"/>
            </w:tcBorders>
            <w:shd w:val="clear" w:color="auto" w:fill="auto"/>
            <w:noWrap/>
            <w:vAlign w:val="center"/>
            <w:hideMark/>
          </w:tcPr>
          <w:p w14:paraId="718F252A"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(6c)</w:t>
            </w:r>
          </w:p>
        </w:tc>
      </w:tr>
      <w:tr w:rsidR="007D40EC" w14:paraId="31A9BAD9"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1A66DABD" w14:textId="77777777" w:rsidR="007D40EC" w:rsidRPr="006B5C31" w:rsidRDefault="007D40EC" w:rsidP="007D40EC">
            <w:pPr>
              <w:rPr>
                <w:rFonts w:asciiTheme="majorHAnsi" w:hAnsiTheme="majorHAnsi" w:cstheme="majorHAnsi"/>
                <w:b/>
                <w:bCs/>
                <w:sz w:val="16"/>
                <w:szCs w:val="16"/>
              </w:rPr>
            </w:pPr>
            <w:r w:rsidRPr="006B5C31">
              <w:rPr>
                <w:rFonts w:asciiTheme="majorHAnsi" w:hAnsiTheme="majorHAnsi" w:cstheme="majorHAnsi"/>
                <w:b/>
                <w:bCs/>
                <w:sz w:val="16"/>
                <w:szCs w:val="16"/>
              </w:rPr>
              <w:t xml:space="preserve">      Investimentos</w:t>
            </w:r>
          </w:p>
        </w:tc>
        <w:tc>
          <w:tcPr>
            <w:tcW w:w="851" w:type="pct"/>
            <w:gridSpan w:val="2"/>
            <w:tcBorders>
              <w:top w:val="nil"/>
              <w:left w:val="nil"/>
              <w:bottom w:val="nil"/>
              <w:right w:val="nil"/>
            </w:tcBorders>
            <w:shd w:val="clear" w:color="auto" w:fill="auto"/>
            <w:noWrap/>
            <w:vAlign w:val="bottom"/>
            <w:hideMark/>
          </w:tcPr>
          <w:p w14:paraId="76E231B0"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902.547.727 </w:t>
            </w:r>
          </w:p>
        </w:tc>
        <w:tc>
          <w:tcPr>
            <w:tcW w:w="947" w:type="pct"/>
            <w:gridSpan w:val="2"/>
            <w:tcBorders>
              <w:top w:val="nil"/>
              <w:left w:val="nil"/>
              <w:bottom w:val="nil"/>
              <w:right w:val="nil"/>
            </w:tcBorders>
            <w:shd w:val="clear" w:color="auto" w:fill="auto"/>
            <w:noWrap/>
            <w:vAlign w:val="bottom"/>
            <w:hideMark/>
          </w:tcPr>
          <w:p w14:paraId="5E993382"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921.851.397 </w:t>
            </w:r>
          </w:p>
        </w:tc>
        <w:tc>
          <w:tcPr>
            <w:tcW w:w="379" w:type="pct"/>
            <w:tcBorders>
              <w:top w:val="nil"/>
              <w:left w:val="nil"/>
              <w:bottom w:val="nil"/>
              <w:right w:val="nil"/>
            </w:tcBorders>
            <w:shd w:val="clear" w:color="auto" w:fill="auto"/>
            <w:noWrap/>
            <w:vAlign w:val="bottom"/>
            <w:hideMark/>
          </w:tcPr>
          <w:p w14:paraId="3659E4C2"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(8)</w:t>
            </w:r>
          </w:p>
        </w:tc>
      </w:tr>
      <w:tr w:rsidR="007D40EC" w14:paraId="23A367D3"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5771DE8A"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Participação Societária - MEP</w:t>
            </w:r>
          </w:p>
        </w:tc>
        <w:tc>
          <w:tcPr>
            <w:tcW w:w="851" w:type="pct"/>
            <w:gridSpan w:val="2"/>
            <w:tcBorders>
              <w:top w:val="nil"/>
              <w:left w:val="nil"/>
              <w:bottom w:val="nil"/>
              <w:right w:val="nil"/>
            </w:tcBorders>
            <w:shd w:val="clear" w:color="auto" w:fill="auto"/>
            <w:noWrap/>
            <w:vAlign w:val="bottom"/>
            <w:hideMark/>
          </w:tcPr>
          <w:p w14:paraId="46732774"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902.521.449 </w:t>
            </w:r>
          </w:p>
        </w:tc>
        <w:tc>
          <w:tcPr>
            <w:tcW w:w="947" w:type="pct"/>
            <w:gridSpan w:val="2"/>
            <w:tcBorders>
              <w:top w:val="nil"/>
              <w:left w:val="nil"/>
              <w:bottom w:val="nil"/>
              <w:right w:val="nil"/>
            </w:tcBorders>
            <w:shd w:val="clear" w:color="auto" w:fill="auto"/>
            <w:noWrap/>
            <w:vAlign w:val="bottom"/>
            <w:hideMark/>
          </w:tcPr>
          <w:p w14:paraId="4ABD6661"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921.825.119 </w:t>
            </w:r>
          </w:p>
        </w:tc>
        <w:tc>
          <w:tcPr>
            <w:tcW w:w="379" w:type="pct"/>
            <w:tcBorders>
              <w:top w:val="nil"/>
              <w:left w:val="nil"/>
              <w:bottom w:val="nil"/>
              <w:right w:val="nil"/>
            </w:tcBorders>
            <w:shd w:val="clear" w:color="auto" w:fill="auto"/>
            <w:noWrap/>
            <w:vAlign w:val="center"/>
            <w:hideMark/>
          </w:tcPr>
          <w:p w14:paraId="5F0D7DE3"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(8a)</w:t>
            </w:r>
          </w:p>
        </w:tc>
      </w:tr>
      <w:tr w:rsidR="007D40EC" w14:paraId="4643AD9C"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4ED2D4E1"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Participação Societária - CUSTO</w:t>
            </w:r>
          </w:p>
        </w:tc>
        <w:tc>
          <w:tcPr>
            <w:tcW w:w="851" w:type="pct"/>
            <w:gridSpan w:val="2"/>
            <w:tcBorders>
              <w:top w:val="nil"/>
              <w:left w:val="nil"/>
              <w:bottom w:val="nil"/>
              <w:right w:val="nil"/>
            </w:tcBorders>
            <w:shd w:val="clear" w:color="auto" w:fill="auto"/>
            <w:noWrap/>
            <w:vAlign w:val="bottom"/>
            <w:hideMark/>
          </w:tcPr>
          <w:p w14:paraId="093DA3AB"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26.278 </w:t>
            </w:r>
          </w:p>
        </w:tc>
        <w:tc>
          <w:tcPr>
            <w:tcW w:w="947" w:type="pct"/>
            <w:gridSpan w:val="2"/>
            <w:tcBorders>
              <w:top w:val="nil"/>
              <w:left w:val="nil"/>
              <w:bottom w:val="nil"/>
              <w:right w:val="nil"/>
            </w:tcBorders>
            <w:shd w:val="clear" w:color="auto" w:fill="auto"/>
            <w:noWrap/>
            <w:vAlign w:val="bottom"/>
            <w:hideMark/>
          </w:tcPr>
          <w:p w14:paraId="1CBC8820"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26.278 </w:t>
            </w:r>
          </w:p>
        </w:tc>
        <w:tc>
          <w:tcPr>
            <w:tcW w:w="379" w:type="pct"/>
            <w:tcBorders>
              <w:top w:val="nil"/>
              <w:left w:val="nil"/>
              <w:bottom w:val="nil"/>
              <w:right w:val="nil"/>
            </w:tcBorders>
            <w:shd w:val="clear" w:color="auto" w:fill="auto"/>
            <w:noWrap/>
            <w:vAlign w:val="center"/>
            <w:hideMark/>
          </w:tcPr>
          <w:p w14:paraId="07BF0586"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(8b)</w:t>
            </w:r>
          </w:p>
        </w:tc>
      </w:tr>
      <w:tr w:rsidR="007D40EC" w14:paraId="2E400A63"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27C66752" w14:textId="77777777" w:rsidR="007D40EC" w:rsidRPr="006B5C31" w:rsidRDefault="007D40EC" w:rsidP="007D40EC">
            <w:pPr>
              <w:rPr>
                <w:rFonts w:asciiTheme="majorHAnsi" w:hAnsiTheme="majorHAnsi" w:cstheme="majorHAnsi"/>
                <w:b/>
                <w:bCs/>
                <w:sz w:val="16"/>
                <w:szCs w:val="16"/>
              </w:rPr>
            </w:pPr>
            <w:r w:rsidRPr="006B5C31">
              <w:rPr>
                <w:rFonts w:asciiTheme="majorHAnsi" w:hAnsiTheme="majorHAnsi" w:cstheme="majorHAnsi"/>
                <w:b/>
                <w:bCs/>
                <w:sz w:val="16"/>
                <w:szCs w:val="16"/>
              </w:rPr>
              <w:t xml:space="preserve">      Imobilizado</w:t>
            </w:r>
          </w:p>
        </w:tc>
        <w:tc>
          <w:tcPr>
            <w:tcW w:w="851" w:type="pct"/>
            <w:gridSpan w:val="2"/>
            <w:tcBorders>
              <w:top w:val="nil"/>
              <w:left w:val="nil"/>
              <w:bottom w:val="nil"/>
              <w:right w:val="nil"/>
            </w:tcBorders>
            <w:shd w:val="clear" w:color="auto" w:fill="auto"/>
            <w:noWrap/>
            <w:vAlign w:val="bottom"/>
            <w:hideMark/>
          </w:tcPr>
          <w:p w14:paraId="01767DB3"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3.745.657.095 </w:t>
            </w:r>
          </w:p>
        </w:tc>
        <w:tc>
          <w:tcPr>
            <w:tcW w:w="947" w:type="pct"/>
            <w:gridSpan w:val="2"/>
            <w:tcBorders>
              <w:top w:val="nil"/>
              <w:left w:val="nil"/>
              <w:bottom w:val="nil"/>
              <w:right w:val="nil"/>
            </w:tcBorders>
            <w:shd w:val="clear" w:color="auto" w:fill="auto"/>
            <w:noWrap/>
            <w:vAlign w:val="bottom"/>
            <w:hideMark/>
          </w:tcPr>
          <w:p w14:paraId="39C0E563"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3.284.926.863 </w:t>
            </w:r>
          </w:p>
        </w:tc>
        <w:tc>
          <w:tcPr>
            <w:tcW w:w="379" w:type="pct"/>
            <w:tcBorders>
              <w:top w:val="nil"/>
              <w:left w:val="nil"/>
              <w:bottom w:val="nil"/>
              <w:right w:val="nil"/>
            </w:tcBorders>
            <w:shd w:val="clear" w:color="auto" w:fill="auto"/>
            <w:noWrap/>
            <w:vAlign w:val="bottom"/>
            <w:hideMark/>
          </w:tcPr>
          <w:p w14:paraId="382CEAFF"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(9)</w:t>
            </w:r>
          </w:p>
        </w:tc>
      </w:tr>
      <w:tr w:rsidR="007D40EC" w14:paraId="3A066E0E"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69DB31F5" w14:textId="77777777" w:rsidR="007D40EC" w:rsidRPr="006B5C31" w:rsidRDefault="007D40EC" w:rsidP="007D40EC">
            <w:pPr>
              <w:rPr>
                <w:rFonts w:asciiTheme="majorHAnsi" w:hAnsiTheme="majorHAnsi" w:cstheme="majorHAnsi"/>
                <w:b/>
                <w:bCs/>
                <w:sz w:val="16"/>
                <w:szCs w:val="16"/>
              </w:rPr>
            </w:pPr>
            <w:r w:rsidRPr="006B5C31">
              <w:rPr>
                <w:rFonts w:asciiTheme="majorHAnsi" w:hAnsiTheme="majorHAnsi" w:cstheme="majorHAnsi"/>
                <w:b/>
                <w:bCs/>
                <w:sz w:val="16"/>
                <w:szCs w:val="16"/>
              </w:rPr>
              <w:t xml:space="preserve">              Terrenos </w:t>
            </w:r>
          </w:p>
        </w:tc>
        <w:tc>
          <w:tcPr>
            <w:tcW w:w="851" w:type="pct"/>
            <w:gridSpan w:val="2"/>
            <w:tcBorders>
              <w:top w:val="nil"/>
              <w:left w:val="nil"/>
              <w:bottom w:val="nil"/>
              <w:right w:val="nil"/>
            </w:tcBorders>
            <w:shd w:val="clear" w:color="auto" w:fill="auto"/>
            <w:noWrap/>
            <w:vAlign w:val="bottom"/>
            <w:hideMark/>
          </w:tcPr>
          <w:p w14:paraId="19187479"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417.998.086 </w:t>
            </w:r>
          </w:p>
        </w:tc>
        <w:tc>
          <w:tcPr>
            <w:tcW w:w="947" w:type="pct"/>
            <w:gridSpan w:val="2"/>
            <w:tcBorders>
              <w:top w:val="nil"/>
              <w:left w:val="nil"/>
              <w:bottom w:val="nil"/>
              <w:right w:val="nil"/>
            </w:tcBorders>
            <w:shd w:val="clear" w:color="auto" w:fill="auto"/>
            <w:noWrap/>
            <w:vAlign w:val="bottom"/>
            <w:hideMark/>
          </w:tcPr>
          <w:p w14:paraId="5A391215"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407.966.196 </w:t>
            </w:r>
          </w:p>
        </w:tc>
        <w:tc>
          <w:tcPr>
            <w:tcW w:w="379" w:type="pct"/>
            <w:tcBorders>
              <w:top w:val="nil"/>
              <w:left w:val="nil"/>
              <w:bottom w:val="nil"/>
              <w:right w:val="nil"/>
            </w:tcBorders>
            <w:shd w:val="clear" w:color="auto" w:fill="auto"/>
            <w:noWrap/>
            <w:vAlign w:val="center"/>
            <w:hideMark/>
          </w:tcPr>
          <w:p w14:paraId="5A779E72" w14:textId="77777777" w:rsidR="007D40EC" w:rsidRPr="006B5C31" w:rsidRDefault="007D40EC" w:rsidP="007D40EC">
            <w:pPr>
              <w:jc w:val="right"/>
              <w:rPr>
                <w:rFonts w:asciiTheme="majorHAnsi" w:hAnsiTheme="majorHAnsi" w:cstheme="majorHAnsi"/>
                <w:b/>
                <w:bCs/>
                <w:sz w:val="16"/>
                <w:szCs w:val="16"/>
              </w:rPr>
            </w:pPr>
          </w:p>
        </w:tc>
      </w:tr>
      <w:tr w:rsidR="007D40EC" w14:paraId="4B3B205D"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23B8E57B" w14:textId="77777777" w:rsidR="007D40EC" w:rsidRPr="006B5C31" w:rsidRDefault="007D40EC" w:rsidP="007D40EC">
            <w:pPr>
              <w:rPr>
                <w:rFonts w:asciiTheme="majorHAnsi" w:hAnsiTheme="majorHAnsi" w:cstheme="majorHAnsi"/>
                <w:b/>
                <w:bCs/>
                <w:sz w:val="16"/>
                <w:szCs w:val="16"/>
              </w:rPr>
            </w:pPr>
            <w:r w:rsidRPr="006B5C31">
              <w:rPr>
                <w:rFonts w:asciiTheme="majorHAnsi" w:hAnsiTheme="majorHAnsi" w:cstheme="majorHAnsi"/>
                <w:b/>
                <w:bCs/>
                <w:sz w:val="16"/>
                <w:szCs w:val="16"/>
              </w:rPr>
              <w:t xml:space="preserve">              Geral </w:t>
            </w:r>
          </w:p>
        </w:tc>
        <w:tc>
          <w:tcPr>
            <w:tcW w:w="851" w:type="pct"/>
            <w:gridSpan w:val="2"/>
            <w:tcBorders>
              <w:top w:val="nil"/>
              <w:left w:val="nil"/>
              <w:bottom w:val="nil"/>
              <w:right w:val="nil"/>
            </w:tcBorders>
            <w:shd w:val="clear" w:color="auto" w:fill="auto"/>
            <w:noWrap/>
            <w:vAlign w:val="bottom"/>
            <w:hideMark/>
          </w:tcPr>
          <w:p w14:paraId="074863B9"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9.133.602 </w:t>
            </w:r>
          </w:p>
        </w:tc>
        <w:tc>
          <w:tcPr>
            <w:tcW w:w="947" w:type="pct"/>
            <w:gridSpan w:val="2"/>
            <w:tcBorders>
              <w:top w:val="nil"/>
              <w:left w:val="nil"/>
              <w:bottom w:val="nil"/>
              <w:right w:val="nil"/>
            </w:tcBorders>
            <w:shd w:val="clear" w:color="auto" w:fill="auto"/>
            <w:noWrap/>
            <w:vAlign w:val="bottom"/>
            <w:hideMark/>
          </w:tcPr>
          <w:p w14:paraId="7F2660FB"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9.498.275 </w:t>
            </w:r>
          </w:p>
        </w:tc>
        <w:tc>
          <w:tcPr>
            <w:tcW w:w="379" w:type="pct"/>
            <w:tcBorders>
              <w:top w:val="nil"/>
              <w:left w:val="nil"/>
              <w:bottom w:val="nil"/>
              <w:right w:val="nil"/>
            </w:tcBorders>
            <w:shd w:val="clear" w:color="auto" w:fill="auto"/>
            <w:noWrap/>
            <w:vAlign w:val="center"/>
            <w:hideMark/>
          </w:tcPr>
          <w:p w14:paraId="7E6386E6" w14:textId="77777777" w:rsidR="007D40EC" w:rsidRPr="006B5C31" w:rsidRDefault="007D40EC" w:rsidP="007D40EC">
            <w:pPr>
              <w:jc w:val="right"/>
              <w:rPr>
                <w:rFonts w:asciiTheme="majorHAnsi" w:hAnsiTheme="majorHAnsi" w:cstheme="majorHAnsi"/>
                <w:b/>
                <w:bCs/>
                <w:sz w:val="16"/>
                <w:szCs w:val="16"/>
              </w:rPr>
            </w:pPr>
          </w:p>
        </w:tc>
      </w:tr>
      <w:tr w:rsidR="007D40EC" w14:paraId="089267B7"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36555E89"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Bens Imóveis </w:t>
            </w:r>
          </w:p>
        </w:tc>
        <w:tc>
          <w:tcPr>
            <w:tcW w:w="851" w:type="pct"/>
            <w:gridSpan w:val="2"/>
            <w:tcBorders>
              <w:top w:val="nil"/>
              <w:left w:val="nil"/>
              <w:bottom w:val="nil"/>
              <w:right w:val="nil"/>
            </w:tcBorders>
            <w:shd w:val="clear" w:color="auto" w:fill="auto"/>
            <w:noWrap/>
            <w:vAlign w:val="bottom"/>
            <w:hideMark/>
          </w:tcPr>
          <w:p w14:paraId="041883F1"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2.196.421 </w:t>
            </w:r>
          </w:p>
        </w:tc>
        <w:tc>
          <w:tcPr>
            <w:tcW w:w="947" w:type="pct"/>
            <w:gridSpan w:val="2"/>
            <w:tcBorders>
              <w:top w:val="nil"/>
              <w:left w:val="nil"/>
              <w:bottom w:val="nil"/>
              <w:right w:val="nil"/>
            </w:tcBorders>
            <w:shd w:val="clear" w:color="auto" w:fill="auto"/>
            <w:noWrap/>
            <w:vAlign w:val="bottom"/>
            <w:hideMark/>
          </w:tcPr>
          <w:p w14:paraId="3B8A63AE"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2.361.441 </w:t>
            </w:r>
          </w:p>
        </w:tc>
        <w:tc>
          <w:tcPr>
            <w:tcW w:w="379" w:type="pct"/>
            <w:tcBorders>
              <w:top w:val="nil"/>
              <w:left w:val="nil"/>
              <w:bottom w:val="nil"/>
              <w:right w:val="nil"/>
            </w:tcBorders>
            <w:shd w:val="clear" w:color="auto" w:fill="auto"/>
            <w:noWrap/>
            <w:vAlign w:val="center"/>
            <w:hideMark/>
          </w:tcPr>
          <w:p w14:paraId="471EEDB7" w14:textId="77777777" w:rsidR="007D40EC" w:rsidRPr="006B5C31" w:rsidRDefault="007D40EC" w:rsidP="007D40EC">
            <w:pPr>
              <w:jc w:val="right"/>
              <w:rPr>
                <w:rFonts w:asciiTheme="majorHAnsi" w:hAnsiTheme="majorHAnsi" w:cstheme="majorHAnsi"/>
                <w:sz w:val="16"/>
                <w:szCs w:val="16"/>
              </w:rPr>
            </w:pPr>
          </w:p>
        </w:tc>
      </w:tr>
      <w:tr w:rsidR="007D40EC" w14:paraId="019E1B56"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73A18FF9"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Bens Móveis </w:t>
            </w:r>
          </w:p>
        </w:tc>
        <w:tc>
          <w:tcPr>
            <w:tcW w:w="851" w:type="pct"/>
            <w:gridSpan w:val="2"/>
            <w:tcBorders>
              <w:top w:val="nil"/>
              <w:left w:val="nil"/>
              <w:bottom w:val="nil"/>
              <w:right w:val="nil"/>
            </w:tcBorders>
            <w:shd w:val="clear" w:color="auto" w:fill="auto"/>
            <w:noWrap/>
            <w:vAlign w:val="bottom"/>
            <w:hideMark/>
          </w:tcPr>
          <w:p w14:paraId="181D4204"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54.802.501 </w:t>
            </w:r>
          </w:p>
        </w:tc>
        <w:tc>
          <w:tcPr>
            <w:tcW w:w="947" w:type="pct"/>
            <w:gridSpan w:val="2"/>
            <w:tcBorders>
              <w:top w:val="nil"/>
              <w:left w:val="nil"/>
              <w:bottom w:val="nil"/>
              <w:right w:val="nil"/>
            </w:tcBorders>
            <w:shd w:val="clear" w:color="auto" w:fill="auto"/>
            <w:noWrap/>
            <w:vAlign w:val="bottom"/>
            <w:hideMark/>
          </w:tcPr>
          <w:p w14:paraId="357A3EFD"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38.761.200 </w:t>
            </w:r>
          </w:p>
        </w:tc>
        <w:tc>
          <w:tcPr>
            <w:tcW w:w="379" w:type="pct"/>
            <w:tcBorders>
              <w:top w:val="nil"/>
              <w:left w:val="nil"/>
              <w:bottom w:val="nil"/>
              <w:right w:val="nil"/>
            </w:tcBorders>
            <w:shd w:val="clear" w:color="auto" w:fill="auto"/>
            <w:noWrap/>
            <w:vAlign w:val="center"/>
            <w:hideMark/>
          </w:tcPr>
          <w:p w14:paraId="2DCF37D8" w14:textId="77777777" w:rsidR="007D40EC" w:rsidRPr="006B5C31" w:rsidRDefault="007D40EC" w:rsidP="007D40EC">
            <w:pPr>
              <w:jc w:val="right"/>
              <w:rPr>
                <w:rFonts w:asciiTheme="majorHAnsi" w:hAnsiTheme="majorHAnsi" w:cstheme="majorHAnsi"/>
                <w:sz w:val="16"/>
                <w:szCs w:val="16"/>
              </w:rPr>
            </w:pPr>
          </w:p>
        </w:tc>
      </w:tr>
      <w:tr w:rsidR="007D40EC" w14:paraId="1894E55D"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298B58C2"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(Depreciações Acumuladas -Bens Imóveis)</w:t>
            </w:r>
          </w:p>
        </w:tc>
        <w:tc>
          <w:tcPr>
            <w:tcW w:w="851" w:type="pct"/>
            <w:gridSpan w:val="2"/>
            <w:tcBorders>
              <w:top w:val="nil"/>
              <w:left w:val="nil"/>
              <w:bottom w:val="nil"/>
              <w:right w:val="nil"/>
            </w:tcBorders>
            <w:shd w:val="clear" w:color="auto" w:fill="auto"/>
            <w:noWrap/>
            <w:vAlign w:val="bottom"/>
            <w:hideMark/>
          </w:tcPr>
          <w:p w14:paraId="61D8CBE3"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(2.059.045)</w:t>
            </w:r>
          </w:p>
        </w:tc>
        <w:tc>
          <w:tcPr>
            <w:tcW w:w="947" w:type="pct"/>
            <w:gridSpan w:val="2"/>
            <w:tcBorders>
              <w:top w:val="nil"/>
              <w:left w:val="nil"/>
              <w:bottom w:val="nil"/>
              <w:right w:val="nil"/>
            </w:tcBorders>
            <w:shd w:val="clear" w:color="auto" w:fill="auto"/>
            <w:noWrap/>
            <w:vAlign w:val="bottom"/>
            <w:hideMark/>
          </w:tcPr>
          <w:p w14:paraId="5512BEC2"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(2.160.227)</w:t>
            </w:r>
          </w:p>
        </w:tc>
        <w:tc>
          <w:tcPr>
            <w:tcW w:w="379" w:type="pct"/>
            <w:tcBorders>
              <w:top w:val="nil"/>
              <w:left w:val="nil"/>
              <w:bottom w:val="nil"/>
              <w:right w:val="nil"/>
            </w:tcBorders>
            <w:shd w:val="clear" w:color="auto" w:fill="auto"/>
            <w:noWrap/>
            <w:vAlign w:val="center"/>
            <w:hideMark/>
          </w:tcPr>
          <w:p w14:paraId="4B2D013A" w14:textId="77777777" w:rsidR="007D40EC" w:rsidRPr="006B5C31" w:rsidRDefault="007D40EC" w:rsidP="007D40EC">
            <w:pPr>
              <w:jc w:val="right"/>
              <w:rPr>
                <w:rFonts w:asciiTheme="majorHAnsi" w:hAnsiTheme="majorHAnsi" w:cstheme="majorHAnsi"/>
                <w:sz w:val="16"/>
                <w:szCs w:val="16"/>
              </w:rPr>
            </w:pPr>
          </w:p>
        </w:tc>
      </w:tr>
      <w:tr w:rsidR="007D40EC" w14:paraId="254EEC5C"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232FEBB7"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(Depreciações Acumuladas -Bens Móveis)</w:t>
            </w:r>
          </w:p>
        </w:tc>
        <w:tc>
          <w:tcPr>
            <w:tcW w:w="851" w:type="pct"/>
            <w:gridSpan w:val="2"/>
            <w:tcBorders>
              <w:top w:val="nil"/>
              <w:left w:val="nil"/>
              <w:bottom w:val="nil"/>
              <w:right w:val="nil"/>
            </w:tcBorders>
            <w:shd w:val="clear" w:color="auto" w:fill="auto"/>
            <w:noWrap/>
            <w:vAlign w:val="bottom"/>
            <w:hideMark/>
          </w:tcPr>
          <w:p w14:paraId="00729789"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(45.787.735)</w:t>
            </w:r>
          </w:p>
        </w:tc>
        <w:tc>
          <w:tcPr>
            <w:tcW w:w="947" w:type="pct"/>
            <w:gridSpan w:val="2"/>
            <w:tcBorders>
              <w:top w:val="nil"/>
              <w:left w:val="nil"/>
              <w:bottom w:val="nil"/>
              <w:right w:val="nil"/>
            </w:tcBorders>
            <w:shd w:val="clear" w:color="auto" w:fill="auto"/>
            <w:noWrap/>
            <w:vAlign w:val="bottom"/>
            <w:hideMark/>
          </w:tcPr>
          <w:p w14:paraId="472C2442"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(29.429.165)</w:t>
            </w:r>
          </w:p>
        </w:tc>
        <w:tc>
          <w:tcPr>
            <w:tcW w:w="379" w:type="pct"/>
            <w:tcBorders>
              <w:top w:val="nil"/>
              <w:left w:val="nil"/>
              <w:bottom w:val="nil"/>
              <w:right w:val="nil"/>
            </w:tcBorders>
            <w:shd w:val="clear" w:color="auto" w:fill="auto"/>
            <w:noWrap/>
            <w:vAlign w:val="center"/>
            <w:hideMark/>
          </w:tcPr>
          <w:p w14:paraId="0377C861" w14:textId="77777777" w:rsidR="007D40EC" w:rsidRPr="006B5C31" w:rsidRDefault="007D40EC" w:rsidP="007D40EC">
            <w:pPr>
              <w:jc w:val="right"/>
              <w:rPr>
                <w:rFonts w:asciiTheme="majorHAnsi" w:hAnsiTheme="majorHAnsi" w:cstheme="majorHAnsi"/>
                <w:sz w:val="16"/>
                <w:szCs w:val="16"/>
              </w:rPr>
            </w:pPr>
          </w:p>
        </w:tc>
      </w:tr>
      <w:tr w:rsidR="007D40EC" w14:paraId="1B7CBEE2"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5FCE44F6"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(Redução ao Valor Recuperável - Bens Móveis)</w:t>
            </w:r>
          </w:p>
        </w:tc>
        <w:tc>
          <w:tcPr>
            <w:tcW w:w="851" w:type="pct"/>
            <w:gridSpan w:val="2"/>
            <w:tcBorders>
              <w:top w:val="nil"/>
              <w:left w:val="nil"/>
              <w:bottom w:val="nil"/>
              <w:right w:val="nil"/>
            </w:tcBorders>
            <w:shd w:val="clear" w:color="auto" w:fill="auto"/>
            <w:noWrap/>
            <w:vAlign w:val="bottom"/>
            <w:hideMark/>
          </w:tcPr>
          <w:p w14:paraId="07386C69"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(18.541)</w:t>
            </w:r>
          </w:p>
        </w:tc>
        <w:tc>
          <w:tcPr>
            <w:tcW w:w="947" w:type="pct"/>
            <w:gridSpan w:val="2"/>
            <w:tcBorders>
              <w:top w:val="nil"/>
              <w:left w:val="nil"/>
              <w:bottom w:val="nil"/>
              <w:right w:val="nil"/>
            </w:tcBorders>
            <w:shd w:val="clear" w:color="auto" w:fill="auto"/>
            <w:noWrap/>
            <w:vAlign w:val="bottom"/>
            <w:hideMark/>
          </w:tcPr>
          <w:p w14:paraId="1AA39FDC"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(34.974)</w:t>
            </w:r>
          </w:p>
        </w:tc>
        <w:tc>
          <w:tcPr>
            <w:tcW w:w="379" w:type="pct"/>
            <w:tcBorders>
              <w:top w:val="nil"/>
              <w:left w:val="nil"/>
              <w:bottom w:val="nil"/>
              <w:right w:val="nil"/>
            </w:tcBorders>
            <w:shd w:val="clear" w:color="auto" w:fill="auto"/>
            <w:noWrap/>
            <w:vAlign w:val="center"/>
            <w:hideMark/>
          </w:tcPr>
          <w:p w14:paraId="123878BE" w14:textId="77777777" w:rsidR="007D40EC" w:rsidRPr="006B5C31" w:rsidRDefault="007D40EC" w:rsidP="007D40EC">
            <w:pPr>
              <w:jc w:val="right"/>
              <w:rPr>
                <w:rFonts w:asciiTheme="majorHAnsi" w:hAnsiTheme="majorHAnsi" w:cstheme="majorHAnsi"/>
                <w:sz w:val="16"/>
                <w:szCs w:val="16"/>
              </w:rPr>
            </w:pPr>
          </w:p>
        </w:tc>
      </w:tr>
      <w:tr w:rsidR="007D40EC" w14:paraId="53499416"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0576ED4D"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w:t>
            </w:r>
            <w:r w:rsidRPr="006B5C31">
              <w:rPr>
                <w:rFonts w:asciiTheme="majorHAnsi" w:hAnsiTheme="majorHAnsi" w:cstheme="majorHAnsi"/>
                <w:b/>
                <w:bCs/>
                <w:sz w:val="16"/>
                <w:szCs w:val="16"/>
              </w:rPr>
              <w:t>FIOL - Ferrovia de Integração Oeste Leste</w:t>
            </w:r>
          </w:p>
        </w:tc>
        <w:tc>
          <w:tcPr>
            <w:tcW w:w="851" w:type="pct"/>
            <w:gridSpan w:val="2"/>
            <w:tcBorders>
              <w:top w:val="nil"/>
              <w:left w:val="nil"/>
              <w:bottom w:val="nil"/>
              <w:right w:val="nil"/>
            </w:tcBorders>
            <w:shd w:val="clear" w:color="auto" w:fill="auto"/>
            <w:noWrap/>
            <w:vAlign w:val="bottom"/>
            <w:hideMark/>
          </w:tcPr>
          <w:p w14:paraId="3E7A625D"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3.037.315.025 </w:t>
            </w:r>
          </w:p>
        </w:tc>
        <w:tc>
          <w:tcPr>
            <w:tcW w:w="947" w:type="pct"/>
            <w:gridSpan w:val="2"/>
            <w:tcBorders>
              <w:top w:val="nil"/>
              <w:left w:val="nil"/>
              <w:bottom w:val="nil"/>
              <w:right w:val="nil"/>
            </w:tcBorders>
            <w:shd w:val="clear" w:color="auto" w:fill="auto"/>
            <w:noWrap/>
            <w:vAlign w:val="bottom"/>
            <w:hideMark/>
          </w:tcPr>
          <w:p w14:paraId="781C56E2"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2.674.948.289 </w:t>
            </w:r>
          </w:p>
        </w:tc>
        <w:tc>
          <w:tcPr>
            <w:tcW w:w="379" w:type="pct"/>
            <w:tcBorders>
              <w:top w:val="nil"/>
              <w:left w:val="nil"/>
              <w:bottom w:val="nil"/>
              <w:right w:val="nil"/>
            </w:tcBorders>
            <w:shd w:val="clear" w:color="auto" w:fill="auto"/>
            <w:noWrap/>
            <w:vAlign w:val="center"/>
            <w:hideMark/>
          </w:tcPr>
          <w:p w14:paraId="723E18C8" w14:textId="77777777" w:rsidR="007D40EC" w:rsidRPr="006B5C31" w:rsidRDefault="007D40EC" w:rsidP="007D40EC">
            <w:pPr>
              <w:jc w:val="right"/>
              <w:rPr>
                <w:rFonts w:asciiTheme="majorHAnsi" w:hAnsiTheme="majorHAnsi" w:cstheme="majorHAnsi"/>
                <w:b/>
                <w:bCs/>
                <w:sz w:val="16"/>
                <w:szCs w:val="16"/>
              </w:rPr>
            </w:pPr>
          </w:p>
        </w:tc>
      </w:tr>
      <w:tr w:rsidR="007D40EC" w14:paraId="153D9BD9"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48C2EB54"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Implantação de Ferrovias - FIOL</w:t>
            </w:r>
          </w:p>
        </w:tc>
        <w:tc>
          <w:tcPr>
            <w:tcW w:w="851" w:type="pct"/>
            <w:gridSpan w:val="2"/>
            <w:tcBorders>
              <w:top w:val="nil"/>
              <w:left w:val="nil"/>
              <w:bottom w:val="nil"/>
              <w:right w:val="nil"/>
            </w:tcBorders>
            <w:shd w:val="clear" w:color="auto" w:fill="auto"/>
            <w:noWrap/>
            <w:vAlign w:val="bottom"/>
            <w:hideMark/>
          </w:tcPr>
          <w:p w14:paraId="78CADF76"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2.341.292.993 </w:t>
            </w:r>
          </w:p>
        </w:tc>
        <w:tc>
          <w:tcPr>
            <w:tcW w:w="947" w:type="pct"/>
            <w:gridSpan w:val="2"/>
            <w:tcBorders>
              <w:top w:val="nil"/>
              <w:left w:val="nil"/>
              <w:bottom w:val="nil"/>
              <w:right w:val="nil"/>
            </w:tcBorders>
            <w:shd w:val="clear" w:color="auto" w:fill="auto"/>
            <w:noWrap/>
            <w:vAlign w:val="bottom"/>
            <w:hideMark/>
          </w:tcPr>
          <w:p w14:paraId="19EBABEE"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2.134.403.275 </w:t>
            </w:r>
          </w:p>
        </w:tc>
        <w:tc>
          <w:tcPr>
            <w:tcW w:w="379" w:type="pct"/>
            <w:tcBorders>
              <w:top w:val="nil"/>
              <w:left w:val="nil"/>
              <w:bottom w:val="nil"/>
              <w:right w:val="nil"/>
            </w:tcBorders>
            <w:shd w:val="clear" w:color="auto" w:fill="auto"/>
            <w:noWrap/>
            <w:vAlign w:val="center"/>
            <w:hideMark/>
          </w:tcPr>
          <w:p w14:paraId="012F78E5" w14:textId="77777777" w:rsidR="007D40EC" w:rsidRPr="006B5C31" w:rsidRDefault="007D40EC" w:rsidP="007D40EC">
            <w:pPr>
              <w:jc w:val="right"/>
              <w:rPr>
                <w:rFonts w:asciiTheme="majorHAnsi" w:hAnsiTheme="majorHAnsi" w:cstheme="majorHAnsi"/>
                <w:sz w:val="16"/>
                <w:szCs w:val="16"/>
              </w:rPr>
            </w:pPr>
          </w:p>
        </w:tc>
      </w:tr>
      <w:tr w:rsidR="007D40EC" w14:paraId="02B0DF49"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77907F37"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Estudos e Projetos - FIOL</w:t>
            </w:r>
          </w:p>
        </w:tc>
        <w:tc>
          <w:tcPr>
            <w:tcW w:w="851" w:type="pct"/>
            <w:gridSpan w:val="2"/>
            <w:tcBorders>
              <w:top w:val="nil"/>
              <w:left w:val="nil"/>
              <w:bottom w:val="nil"/>
              <w:right w:val="nil"/>
            </w:tcBorders>
            <w:shd w:val="clear" w:color="auto" w:fill="auto"/>
            <w:noWrap/>
            <w:vAlign w:val="bottom"/>
            <w:hideMark/>
          </w:tcPr>
          <w:p w14:paraId="7D6D4CD6"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2.030.070 </w:t>
            </w:r>
          </w:p>
        </w:tc>
        <w:tc>
          <w:tcPr>
            <w:tcW w:w="947" w:type="pct"/>
            <w:gridSpan w:val="2"/>
            <w:tcBorders>
              <w:top w:val="nil"/>
              <w:left w:val="nil"/>
              <w:bottom w:val="nil"/>
              <w:right w:val="nil"/>
            </w:tcBorders>
            <w:shd w:val="clear" w:color="auto" w:fill="auto"/>
            <w:noWrap/>
            <w:vAlign w:val="bottom"/>
            <w:hideMark/>
          </w:tcPr>
          <w:p w14:paraId="6529ACE5"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640.741 </w:t>
            </w:r>
          </w:p>
        </w:tc>
        <w:tc>
          <w:tcPr>
            <w:tcW w:w="379" w:type="pct"/>
            <w:tcBorders>
              <w:top w:val="nil"/>
              <w:left w:val="nil"/>
              <w:bottom w:val="nil"/>
              <w:right w:val="nil"/>
            </w:tcBorders>
            <w:shd w:val="clear" w:color="auto" w:fill="auto"/>
            <w:noWrap/>
            <w:vAlign w:val="center"/>
            <w:hideMark/>
          </w:tcPr>
          <w:p w14:paraId="0ADAB07A" w14:textId="77777777" w:rsidR="007D40EC" w:rsidRPr="006B5C31" w:rsidRDefault="007D40EC" w:rsidP="007D40EC">
            <w:pPr>
              <w:jc w:val="right"/>
              <w:rPr>
                <w:rFonts w:asciiTheme="majorHAnsi" w:hAnsiTheme="majorHAnsi" w:cstheme="majorHAnsi"/>
                <w:sz w:val="16"/>
                <w:szCs w:val="16"/>
              </w:rPr>
            </w:pPr>
          </w:p>
        </w:tc>
      </w:tr>
      <w:tr w:rsidR="007D40EC" w14:paraId="5CB367EC"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5672B861"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Impl. De Ferrovias - Investimento Cruzado - FIOL</w:t>
            </w:r>
          </w:p>
        </w:tc>
        <w:tc>
          <w:tcPr>
            <w:tcW w:w="851" w:type="pct"/>
            <w:gridSpan w:val="2"/>
            <w:tcBorders>
              <w:top w:val="nil"/>
              <w:left w:val="nil"/>
              <w:bottom w:val="nil"/>
              <w:right w:val="nil"/>
            </w:tcBorders>
            <w:shd w:val="clear" w:color="auto" w:fill="auto"/>
            <w:noWrap/>
            <w:vAlign w:val="bottom"/>
            <w:hideMark/>
          </w:tcPr>
          <w:p w14:paraId="0A183850"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412.619.807 </w:t>
            </w:r>
          </w:p>
        </w:tc>
        <w:tc>
          <w:tcPr>
            <w:tcW w:w="947" w:type="pct"/>
            <w:gridSpan w:val="2"/>
            <w:tcBorders>
              <w:top w:val="nil"/>
              <w:left w:val="nil"/>
              <w:bottom w:val="nil"/>
              <w:right w:val="nil"/>
            </w:tcBorders>
            <w:shd w:val="clear" w:color="auto" w:fill="auto"/>
            <w:noWrap/>
            <w:vAlign w:val="bottom"/>
            <w:hideMark/>
          </w:tcPr>
          <w:p w14:paraId="5E34FBB9"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258.532.118 </w:t>
            </w:r>
          </w:p>
        </w:tc>
        <w:tc>
          <w:tcPr>
            <w:tcW w:w="379" w:type="pct"/>
            <w:tcBorders>
              <w:top w:val="nil"/>
              <w:left w:val="nil"/>
              <w:bottom w:val="nil"/>
              <w:right w:val="nil"/>
            </w:tcBorders>
            <w:shd w:val="clear" w:color="auto" w:fill="auto"/>
            <w:noWrap/>
            <w:vAlign w:val="center"/>
            <w:hideMark/>
          </w:tcPr>
          <w:p w14:paraId="31A9DDEC" w14:textId="77777777" w:rsidR="007D40EC" w:rsidRPr="006B5C31" w:rsidRDefault="007D40EC" w:rsidP="007D40EC">
            <w:pPr>
              <w:jc w:val="right"/>
              <w:rPr>
                <w:rFonts w:asciiTheme="majorHAnsi" w:hAnsiTheme="majorHAnsi" w:cstheme="majorHAnsi"/>
                <w:sz w:val="16"/>
                <w:szCs w:val="16"/>
              </w:rPr>
            </w:pPr>
          </w:p>
        </w:tc>
      </w:tr>
      <w:tr w:rsidR="007D40EC" w14:paraId="2D73F4E1"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69A6A39F"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Ativos de Concessão Imóveis - FIOL I</w:t>
            </w:r>
          </w:p>
        </w:tc>
        <w:tc>
          <w:tcPr>
            <w:tcW w:w="851" w:type="pct"/>
            <w:gridSpan w:val="2"/>
            <w:tcBorders>
              <w:top w:val="nil"/>
              <w:left w:val="nil"/>
              <w:bottom w:val="nil"/>
              <w:right w:val="nil"/>
            </w:tcBorders>
            <w:shd w:val="clear" w:color="auto" w:fill="auto"/>
            <w:noWrap/>
            <w:vAlign w:val="bottom"/>
            <w:hideMark/>
          </w:tcPr>
          <w:p w14:paraId="38DFF144"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3.498.893.434 </w:t>
            </w:r>
          </w:p>
        </w:tc>
        <w:tc>
          <w:tcPr>
            <w:tcW w:w="947" w:type="pct"/>
            <w:gridSpan w:val="2"/>
            <w:tcBorders>
              <w:top w:val="nil"/>
              <w:left w:val="nil"/>
              <w:bottom w:val="nil"/>
              <w:right w:val="nil"/>
            </w:tcBorders>
            <w:shd w:val="clear" w:color="auto" w:fill="auto"/>
            <w:noWrap/>
            <w:vAlign w:val="bottom"/>
            <w:hideMark/>
          </w:tcPr>
          <w:p w14:paraId="023783C4"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3.498.893.434 </w:t>
            </w:r>
          </w:p>
        </w:tc>
        <w:tc>
          <w:tcPr>
            <w:tcW w:w="379" w:type="pct"/>
            <w:tcBorders>
              <w:top w:val="nil"/>
              <w:left w:val="nil"/>
              <w:bottom w:val="nil"/>
              <w:right w:val="nil"/>
            </w:tcBorders>
            <w:shd w:val="clear" w:color="auto" w:fill="auto"/>
            <w:noWrap/>
            <w:vAlign w:val="center"/>
            <w:hideMark/>
          </w:tcPr>
          <w:p w14:paraId="26C6A350" w14:textId="77777777" w:rsidR="007D40EC" w:rsidRPr="006B5C31" w:rsidRDefault="007D40EC" w:rsidP="007D40EC">
            <w:pPr>
              <w:jc w:val="right"/>
              <w:rPr>
                <w:rFonts w:asciiTheme="majorHAnsi" w:hAnsiTheme="majorHAnsi" w:cstheme="majorHAnsi"/>
                <w:sz w:val="16"/>
                <w:szCs w:val="16"/>
              </w:rPr>
            </w:pPr>
          </w:p>
        </w:tc>
      </w:tr>
      <w:tr w:rsidR="007D40EC" w14:paraId="437B7364"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54862AC9"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(Redução ao Valor Recuperável -FIOL I )</w:t>
            </w:r>
          </w:p>
        </w:tc>
        <w:tc>
          <w:tcPr>
            <w:tcW w:w="851" w:type="pct"/>
            <w:gridSpan w:val="2"/>
            <w:tcBorders>
              <w:top w:val="nil"/>
              <w:left w:val="nil"/>
              <w:bottom w:val="nil"/>
              <w:right w:val="nil"/>
            </w:tcBorders>
            <w:shd w:val="clear" w:color="auto" w:fill="auto"/>
            <w:noWrap/>
            <w:vAlign w:val="bottom"/>
            <w:hideMark/>
          </w:tcPr>
          <w:p w14:paraId="3A245310"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(3.217.521.280)</w:t>
            </w:r>
          </w:p>
        </w:tc>
        <w:tc>
          <w:tcPr>
            <w:tcW w:w="947" w:type="pct"/>
            <w:gridSpan w:val="2"/>
            <w:tcBorders>
              <w:top w:val="nil"/>
              <w:left w:val="nil"/>
              <w:bottom w:val="nil"/>
              <w:right w:val="nil"/>
            </w:tcBorders>
            <w:shd w:val="clear" w:color="auto" w:fill="auto"/>
            <w:noWrap/>
            <w:vAlign w:val="bottom"/>
            <w:hideMark/>
          </w:tcPr>
          <w:p w14:paraId="1E9351D3"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(3.217.521.279)</w:t>
            </w:r>
          </w:p>
        </w:tc>
        <w:tc>
          <w:tcPr>
            <w:tcW w:w="379" w:type="pct"/>
            <w:tcBorders>
              <w:top w:val="nil"/>
              <w:left w:val="nil"/>
              <w:bottom w:val="nil"/>
              <w:right w:val="nil"/>
            </w:tcBorders>
            <w:shd w:val="clear" w:color="auto" w:fill="auto"/>
            <w:noWrap/>
            <w:vAlign w:val="center"/>
            <w:hideMark/>
          </w:tcPr>
          <w:p w14:paraId="14B6CA4C" w14:textId="77777777" w:rsidR="007D40EC" w:rsidRPr="006B5C31" w:rsidRDefault="007D40EC" w:rsidP="007D40EC">
            <w:pPr>
              <w:jc w:val="right"/>
              <w:rPr>
                <w:rFonts w:asciiTheme="majorHAnsi" w:hAnsiTheme="majorHAnsi" w:cstheme="majorHAnsi"/>
                <w:sz w:val="16"/>
                <w:szCs w:val="16"/>
              </w:rPr>
            </w:pPr>
          </w:p>
        </w:tc>
      </w:tr>
      <w:tr w:rsidR="007D40EC" w14:paraId="5675DA73"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72069C7D" w14:textId="77777777" w:rsidR="007D40EC" w:rsidRPr="006B5C31" w:rsidRDefault="007D40EC" w:rsidP="007D40EC">
            <w:pPr>
              <w:rPr>
                <w:rFonts w:asciiTheme="majorHAnsi" w:hAnsiTheme="majorHAnsi" w:cstheme="majorHAnsi"/>
                <w:b/>
                <w:bCs/>
                <w:sz w:val="16"/>
                <w:szCs w:val="16"/>
              </w:rPr>
            </w:pPr>
            <w:r w:rsidRPr="006B5C31">
              <w:rPr>
                <w:rFonts w:asciiTheme="majorHAnsi" w:hAnsiTheme="majorHAnsi" w:cstheme="majorHAnsi"/>
                <w:b/>
                <w:bCs/>
                <w:sz w:val="16"/>
                <w:szCs w:val="16"/>
              </w:rPr>
              <w:t xml:space="preserve">              Outros</w:t>
            </w:r>
          </w:p>
        </w:tc>
        <w:tc>
          <w:tcPr>
            <w:tcW w:w="851" w:type="pct"/>
            <w:gridSpan w:val="2"/>
            <w:tcBorders>
              <w:top w:val="nil"/>
              <w:left w:val="nil"/>
              <w:bottom w:val="nil"/>
              <w:right w:val="nil"/>
            </w:tcBorders>
            <w:shd w:val="clear" w:color="auto" w:fill="auto"/>
            <w:noWrap/>
            <w:vAlign w:val="bottom"/>
            <w:hideMark/>
          </w:tcPr>
          <w:p w14:paraId="02AE6D76"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265.575.958 </w:t>
            </w:r>
          </w:p>
        </w:tc>
        <w:tc>
          <w:tcPr>
            <w:tcW w:w="947" w:type="pct"/>
            <w:gridSpan w:val="2"/>
            <w:tcBorders>
              <w:top w:val="nil"/>
              <w:left w:val="nil"/>
              <w:bottom w:val="nil"/>
              <w:right w:val="nil"/>
            </w:tcBorders>
            <w:shd w:val="clear" w:color="auto" w:fill="auto"/>
            <w:noWrap/>
            <w:vAlign w:val="bottom"/>
            <w:hideMark/>
          </w:tcPr>
          <w:p w14:paraId="78A9F9B1"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170.842.803 </w:t>
            </w:r>
          </w:p>
        </w:tc>
        <w:tc>
          <w:tcPr>
            <w:tcW w:w="379" w:type="pct"/>
            <w:tcBorders>
              <w:top w:val="nil"/>
              <w:left w:val="nil"/>
              <w:bottom w:val="nil"/>
              <w:right w:val="nil"/>
            </w:tcBorders>
            <w:shd w:val="clear" w:color="auto" w:fill="auto"/>
            <w:noWrap/>
            <w:vAlign w:val="center"/>
            <w:hideMark/>
          </w:tcPr>
          <w:p w14:paraId="2BDCF37D" w14:textId="77777777" w:rsidR="007D40EC" w:rsidRPr="006B5C31" w:rsidRDefault="007D40EC" w:rsidP="007D40EC">
            <w:pPr>
              <w:jc w:val="right"/>
              <w:rPr>
                <w:rFonts w:asciiTheme="majorHAnsi" w:hAnsiTheme="majorHAnsi" w:cstheme="majorHAnsi"/>
                <w:b/>
                <w:bCs/>
                <w:sz w:val="16"/>
                <w:szCs w:val="16"/>
              </w:rPr>
            </w:pPr>
          </w:p>
        </w:tc>
      </w:tr>
      <w:tr w:rsidR="007D40EC" w14:paraId="2396EEAB"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024A5808"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Implantação de Ferrovias - FICO</w:t>
            </w:r>
          </w:p>
        </w:tc>
        <w:tc>
          <w:tcPr>
            <w:tcW w:w="851" w:type="pct"/>
            <w:gridSpan w:val="2"/>
            <w:tcBorders>
              <w:top w:val="nil"/>
              <w:left w:val="nil"/>
              <w:bottom w:val="nil"/>
              <w:right w:val="nil"/>
            </w:tcBorders>
            <w:shd w:val="clear" w:color="auto" w:fill="auto"/>
            <w:noWrap/>
            <w:vAlign w:val="bottom"/>
            <w:hideMark/>
          </w:tcPr>
          <w:p w14:paraId="791FCDBF"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2.914.553 </w:t>
            </w:r>
          </w:p>
        </w:tc>
        <w:tc>
          <w:tcPr>
            <w:tcW w:w="947" w:type="pct"/>
            <w:gridSpan w:val="2"/>
            <w:tcBorders>
              <w:top w:val="nil"/>
              <w:left w:val="nil"/>
              <w:bottom w:val="nil"/>
              <w:right w:val="nil"/>
            </w:tcBorders>
            <w:shd w:val="clear" w:color="auto" w:fill="auto"/>
            <w:noWrap/>
            <w:vAlign w:val="bottom"/>
            <w:hideMark/>
          </w:tcPr>
          <w:p w14:paraId="542503FC"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504.021 </w:t>
            </w:r>
          </w:p>
        </w:tc>
        <w:tc>
          <w:tcPr>
            <w:tcW w:w="379" w:type="pct"/>
            <w:tcBorders>
              <w:top w:val="nil"/>
              <w:left w:val="nil"/>
              <w:bottom w:val="nil"/>
              <w:right w:val="nil"/>
            </w:tcBorders>
            <w:shd w:val="clear" w:color="auto" w:fill="auto"/>
            <w:noWrap/>
            <w:vAlign w:val="center"/>
            <w:hideMark/>
          </w:tcPr>
          <w:p w14:paraId="2B16C52C" w14:textId="77777777" w:rsidR="007D40EC" w:rsidRPr="006B5C31" w:rsidRDefault="007D40EC" w:rsidP="007D40EC">
            <w:pPr>
              <w:jc w:val="right"/>
              <w:rPr>
                <w:rFonts w:asciiTheme="majorHAnsi" w:hAnsiTheme="majorHAnsi" w:cstheme="majorHAnsi"/>
                <w:sz w:val="16"/>
                <w:szCs w:val="16"/>
              </w:rPr>
            </w:pPr>
          </w:p>
        </w:tc>
      </w:tr>
      <w:tr w:rsidR="007D40EC" w14:paraId="21323884"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704EED1C"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Impl. De Ferrovias - Investimento Cruzado - FICO</w:t>
            </w:r>
          </w:p>
        </w:tc>
        <w:tc>
          <w:tcPr>
            <w:tcW w:w="851" w:type="pct"/>
            <w:gridSpan w:val="2"/>
            <w:tcBorders>
              <w:top w:val="nil"/>
              <w:left w:val="nil"/>
              <w:bottom w:val="nil"/>
              <w:right w:val="nil"/>
            </w:tcBorders>
            <w:shd w:val="clear" w:color="auto" w:fill="auto"/>
            <w:noWrap/>
            <w:vAlign w:val="bottom"/>
            <w:hideMark/>
          </w:tcPr>
          <w:p w14:paraId="1EEB46F5"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97.565.166 </w:t>
            </w:r>
          </w:p>
        </w:tc>
        <w:tc>
          <w:tcPr>
            <w:tcW w:w="947" w:type="pct"/>
            <w:gridSpan w:val="2"/>
            <w:tcBorders>
              <w:top w:val="nil"/>
              <w:left w:val="nil"/>
              <w:bottom w:val="nil"/>
              <w:right w:val="nil"/>
            </w:tcBorders>
            <w:shd w:val="clear" w:color="auto" w:fill="auto"/>
            <w:noWrap/>
            <w:vAlign w:val="bottom"/>
            <w:hideMark/>
          </w:tcPr>
          <w:p w14:paraId="430DDB2D"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5.398.692 </w:t>
            </w:r>
          </w:p>
        </w:tc>
        <w:tc>
          <w:tcPr>
            <w:tcW w:w="379" w:type="pct"/>
            <w:tcBorders>
              <w:top w:val="nil"/>
              <w:left w:val="nil"/>
              <w:bottom w:val="nil"/>
              <w:right w:val="nil"/>
            </w:tcBorders>
            <w:shd w:val="clear" w:color="auto" w:fill="auto"/>
            <w:noWrap/>
            <w:vAlign w:val="center"/>
            <w:hideMark/>
          </w:tcPr>
          <w:p w14:paraId="059E33B4" w14:textId="77777777" w:rsidR="007D40EC" w:rsidRPr="006B5C31" w:rsidRDefault="007D40EC" w:rsidP="007D40EC">
            <w:pPr>
              <w:jc w:val="right"/>
              <w:rPr>
                <w:rFonts w:asciiTheme="majorHAnsi" w:hAnsiTheme="majorHAnsi" w:cstheme="majorHAnsi"/>
                <w:sz w:val="16"/>
                <w:szCs w:val="16"/>
              </w:rPr>
            </w:pPr>
          </w:p>
        </w:tc>
      </w:tr>
      <w:tr w:rsidR="007D40EC" w14:paraId="1E9535BB"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1EAED54E"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Estudos e Projetos - Outros</w:t>
            </w:r>
          </w:p>
        </w:tc>
        <w:tc>
          <w:tcPr>
            <w:tcW w:w="851" w:type="pct"/>
            <w:gridSpan w:val="2"/>
            <w:tcBorders>
              <w:top w:val="nil"/>
              <w:left w:val="nil"/>
              <w:bottom w:val="nil"/>
              <w:right w:val="nil"/>
            </w:tcBorders>
            <w:shd w:val="clear" w:color="auto" w:fill="auto"/>
            <w:noWrap/>
            <w:vAlign w:val="bottom"/>
            <w:hideMark/>
          </w:tcPr>
          <w:p w14:paraId="3439D167"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157.533.542 </w:t>
            </w:r>
          </w:p>
        </w:tc>
        <w:tc>
          <w:tcPr>
            <w:tcW w:w="947" w:type="pct"/>
            <w:gridSpan w:val="2"/>
            <w:tcBorders>
              <w:top w:val="nil"/>
              <w:left w:val="nil"/>
              <w:bottom w:val="nil"/>
              <w:right w:val="nil"/>
            </w:tcBorders>
            <w:shd w:val="clear" w:color="auto" w:fill="auto"/>
            <w:noWrap/>
            <w:vAlign w:val="bottom"/>
            <w:hideMark/>
          </w:tcPr>
          <w:p w14:paraId="29231B82"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157.106.125 </w:t>
            </w:r>
          </w:p>
        </w:tc>
        <w:tc>
          <w:tcPr>
            <w:tcW w:w="379" w:type="pct"/>
            <w:tcBorders>
              <w:top w:val="nil"/>
              <w:left w:val="nil"/>
              <w:bottom w:val="nil"/>
              <w:right w:val="nil"/>
            </w:tcBorders>
            <w:shd w:val="clear" w:color="auto" w:fill="auto"/>
            <w:noWrap/>
            <w:vAlign w:val="center"/>
            <w:hideMark/>
          </w:tcPr>
          <w:p w14:paraId="42E321D1" w14:textId="77777777" w:rsidR="007D40EC" w:rsidRPr="006B5C31" w:rsidRDefault="007D40EC" w:rsidP="007D40EC">
            <w:pPr>
              <w:jc w:val="right"/>
              <w:rPr>
                <w:rFonts w:asciiTheme="majorHAnsi" w:hAnsiTheme="majorHAnsi" w:cstheme="majorHAnsi"/>
                <w:sz w:val="16"/>
                <w:szCs w:val="16"/>
              </w:rPr>
            </w:pPr>
          </w:p>
        </w:tc>
      </w:tr>
      <w:tr w:rsidR="007D40EC" w14:paraId="1DB5D946"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5D3B0280"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Ativo de Concessão Imóveis - Pátios</w:t>
            </w:r>
          </w:p>
        </w:tc>
        <w:tc>
          <w:tcPr>
            <w:tcW w:w="851" w:type="pct"/>
            <w:gridSpan w:val="2"/>
            <w:tcBorders>
              <w:top w:val="nil"/>
              <w:left w:val="nil"/>
              <w:bottom w:val="nil"/>
              <w:right w:val="nil"/>
            </w:tcBorders>
            <w:shd w:val="clear" w:color="auto" w:fill="auto"/>
            <w:noWrap/>
            <w:vAlign w:val="bottom"/>
            <w:hideMark/>
          </w:tcPr>
          <w:p w14:paraId="3BDBD1DA"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9.009.461 </w:t>
            </w:r>
          </w:p>
        </w:tc>
        <w:tc>
          <w:tcPr>
            <w:tcW w:w="947" w:type="pct"/>
            <w:gridSpan w:val="2"/>
            <w:tcBorders>
              <w:top w:val="nil"/>
              <w:left w:val="nil"/>
              <w:bottom w:val="nil"/>
              <w:right w:val="nil"/>
            </w:tcBorders>
            <w:shd w:val="clear" w:color="auto" w:fill="auto"/>
            <w:noWrap/>
            <w:vAlign w:val="bottom"/>
            <w:hideMark/>
          </w:tcPr>
          <w:p w14:paraId="7B0E5A81"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9.009.461 </w:t>
            </w:r>
          </w:p>
        </w:tc>
        <w:tc>
          <w:tcPr>
            <w:tcW w:w="379" w:type="pct"/>
            <w:tcBorders>
              <w:top w:val="nil"/>
              <w:left w:val="nil"/>
              <w:bottom w:val="nil"/>
              <w:right w:val="nil"/>
            </w:tcBorders>
            <w:shd w:val="clear" w:color="auto" w:fill="auto"/>
            <w:noWrap/>
            <w:vAlign w:val="center"/>
            <w:hideMark/>
          </w:tcPr>
          <w:p w14:paraId="70B2FD8C" w14:textId="77777777" w:rsidR="007D40EC" w:rsidRPr="006B5C31" w:rsidRDefault="007D40EC" w:rsidP="007D40EC">
            <w:pPr>
              <w:jc w:val="right"/>
              <w:rPr>
                <w:rFonts w:asciiTheme="majorHAnsi" w:hAnsiTheme="majorHAnsi" w:cstheme="majorHAnsi"/>
                <w:sz w:val="16"/>
                <w:szCs w:val="16"/>
              </w:rPr>
            </w:pPr>
          </w:p>
        </w:tc>
      </w:tr>
      <w:tr w:rsidR="007D40EC" w14:paraId="52370CA8"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645D1E2E"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(Depreciações Acumuladas - Pátios)</w:t>
            </w:r>
          </w:p>
        </w:tc>
        <w:tc>
          <w:tcPr>
            <w:tcW w:w="851" w:type="pct"/>
            <w:gridSpan w:val="2"/>
            <w:tcBorders>
              <w:top w:val="nil"/>
              <w:left w:val="nil"/>
              <w:bottom w:val="nil"/>
              <w:right w:val="nil"/>
            </w:tcBorders>
            <w:shd w:val="clear" w:color="auto" w:fill="auto"/>
            <w:noWrap/>
            <w:vAlign w:val="bottom"/>
            <w:hideMark/>
          </w:tcPr>
          <w:p w14:paraId="635BBD0D"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(1.446.764)</w:t>
            </w:r>
          </w:p>
        </w:tc>
        <w:tc>
          <w:tcPr>
            <w:tcW w:w="947" w:type="pct"/>
            <w:gridSpan w:val="2"/>
            <w:tcBorders>
              <w:top w:val="nil"/>
              <w:left w:val="nil"/>
              <w:bottom w:val="nil"/>
              <w:right w:val="nil"/>
            </w:tcBorders>
            <w:shd w:val="clear" w:color="auto" w:fill="auto"/>
            <w:noWrap/>
            <w:vAlign w:val="bottom"/>
            <w:hideMark/>
          </w:tcPr>
          <w:p w14:paraId="51707C9B"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(1.175.496)</w:t>
            </w:r>
          </w:p>
        </w:tc>
        <w:tc>
          <w:tcPr>
            <w:tcW w:w="379" w:type="pct"/>
            <w:tcBorders>
              <w:top w:val="nil"/>
              <w:left w:val="nil"/>
              <w:bottom w:val="nil"/>
              <w:right w:val="nil"/>
            </w:tcBorders>
            <w:shd w:val="clear" w:color="auto" w:fill="auto"/>
            <w:noWrap/>
            <w:vAlign w:val="center"/>
            <w:hideMark/>
          </w:tcPr>
          <w:p w14:paraId="63691AD3" w14:textId="77777777" w:rsidR="007D40EC" w:rsidRPr="006B5C31" w:rsidRDefault="007D40EC" w:rsidP="007D40EC">
            <w:pPr>
              <w:jc w:val="right"/>
              <w:rPr>
                <w:rFonts w:asciiTheme="majorHAnsi" w:hAnsiTheme="majorHAnsi" w:cstheme="majorHAnsi"/>
                <w:sz w:val="16"/>
                <w:szCs w:val="16"/>
              </w:rPr>
            </w:pPr>
          </w:p>
        </w:tc>
      </w:tr>
      <w:tr w:rsidR="007D40EC" w14:paraId="2432C0FE"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24ED7A7A" w14:textId="77777777" w:rsidR="007D40EC" w:rsidRPr="006B5C31" w:rsidRDefault="007D40EC" w:rsidP="007D40EC">
            <w:pPr>
              <w:rPr>
                <w:rFonts w:asciiTheme="majorHAnsi" w:hAnsiTheme="majorHAnsi" w:cstheme="majorHAnsi"/>
                <w:b/>
                <w:bCs/>
                <w:sz w:val="16"/>
                <w:szCs w:val="16"/>
              </w:rPr>
            </w:pPr>
            <w:r w:rsidRPr="006B5C31">
              <w:rPr>
                <w:rFonts w:asciiTheme="majorHAnsi" w:hAnsiTheme="majorHAnsi" w:cstheme="majorHAnsi"/>
                <w:b/>
                <w:bCs/>
                <w:sz w:val="16"/>
                <w:szCs w:val="16"/>
              </w:rPr>
              <w:t xml:space="preserve">              Direito de Uso</w:t>
            </w:r>
          </w:p>
        </w:tc>
        <w:tc>
          <w:tcPr>
            <w:tcW w:w="851" w:type="pct"/>
            <w:gridSpan w:val="2"/>
            <w:tcBorders>
              <w:top w:val="nil"/>
              <w:left w:val="nil"/>
              <w:bottom w:val="nil"/>
              <w:right w:val="nil"/>
            </w:tcBorders>
            <w:shd w:val="clear" w:color="auto" w:fill="auto"/>
            <w:noWrap/>
            <w:vAlign w:val="bottom"/>
            <w:hideMark/>
          </w:tcPr>
          <w:p w14:paraId="45804DF2"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15.634.425 </w:t>
            </w:r>
          </w:p>
        </w:tc>
        <w:tc>
          <w:tcPr>
            <w:tcW w:w="947" w:type="pct"/>
            <w:gridSpan w:val="2"/>
            <w:tcBorders>
              <w:top w:val="nil"/>
              <w:left w:val="nil"/>
              <w:bottom w:val="nil"/>
              <w:right w:val="nil"/>
            </w:tcBorders>
            <w:shd w:val="clear" w:color="auto" w:fill="auto"/>
            <w:noWrap/>
            <w:vAlign w:val="bottom"/>
            <w:hideMark/>
          </w:tcPr>
          <w:p w14:paraId="663B1C85"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21.671.300 </w:t>
            </w:r>
          </w:p>
        </w:tc>
        <w:tc>
          <w:tcPr>
            <w:tcW w:w="379" w:type="pct"/>
            <w:tcBorders>
              <w:top w:val="nil"/>
              <w:left w:val="nil"/>
              <w:bottom w:val="nil"/>
              <w:right w:val="nil"/>
            </w:tcBorders>
            <w:shd w:val="clear" w:color="auto" w:fill="auto"/>
            <w:noWrap/>
            <w:vAlign w:val="bottom"/>
            <w:hideMark/>
          </w:tcPr>
          <w:p w14:paraId="04C211D5"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(16)</w:t>
            </w:r>
          </w:p>
        </w:tc>
      </w:tr>
      <w:tr w:rsidR="007D40EC" w14:paraId="56059D51"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4A2294FB"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Direito de Uso de Imóveis</w:t>
            </w:r>
          </w:p>
        </w:tc>
        <w:tc>
          <w:tcPr>
            <w:tcW w:w="851" w:type="pct"/>
            <w:gridSpan w:val="2"/>
            <w:tcBorders>
              <w:top w:val="nil"/>
              <w:left w:val="nil"/>
              <w:bottom w:val="nil"/>
              <w:right w:val="nil"/>
            </w:tcBorders>
            <w:shd w:val="clear" w:color="auto" w:fill="auto"/>
            <w:noWrap/>
            <w:vAlign w:val="bottom"/>
            <w:hideMark/>
          </w:tcPr>
          <w:p w14:paraId="2BBA50AE"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24.072.257 </w:t>
            </w:r>
          </w:p>
        </w:tc>
        <w:tc>
          <w:tcPr>
            <w:tcW w:w="947" w:type="pct"/>
            <w:gridSpan w:val="2"/>
            <w:tcBorders>
              <w:top w:val="nil"/>
              <w:left w:val="nil"/>
              <w:bottom w:val="nil"/>
              <w:right w:val="nil"/>
            </w:tcBorders>
            <w:shd w:val="clear" w:color="auto" w:fill="auto"/>
            <w:noWrap/>
            <w:vAlign w:val="bottom"/>
            <w:hideMark/>
          </w:tcPr>
          <w:p w14:paraId="25B5E17A"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57.207.327 </w:t>
            </w:r>
          </w:p>
        </w:tc>
        <w:tc>
          <w:tcPr>
            <w:tcW w:w="379" w:type="pct"/>
            <w:tcBorders>
              <w:top w:val="nil"/>
              <w:left w:val="nil"/>
              <w:bottom w:val="nil"/>
              <w:right w:val="nil"/>
            </w:tcBorders>
            <w:shd w:val="clear" w:color="auto" w:fill="auto"/>
            <w:noWrap/>
            <w:vAlign w:val="center"/>
            <w:hideMark/>
          </w:tcPr>
          <w:p w14:paraId="4D97DCFC" w14:textId="77777777" w:rsidR="007D40EC" w:rsidRPr="006B5C31" w:rsidRDefault="007D40EC" w:rsidP="007D40EC">
            <w:pPr>
              <w:jc w:val="right"/>
              <w:rPr>
                <w:rFonts w:asciiTheme="majorHAnsi" w:hAnsiTheme="majorHAnsi" w:cstheme="majorHAnsi"/>
                <w:sz w:val="16"/>
                <w:szCs w:val="16"/>
              </w:rPr>
            </w:pPr>
          </w:p>
        </w:tc>
      </w:tr>
      <w:tr w:rsidR="007D40EC" w14:paraId="4FF21E83"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30710A3D" w14:textId="3855003E"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(Depreciação Acumulada - Direito de Uso)</w:t>
            </w:r>
          </w:p>
        </w:tc>
        <w:tc>
          <w:tcPr>
            <w:tcW w:w="851" w:type="pct"/>
            <w:gridSpan w:val="2"/>
            <w:tcBorders>
              <w:top w:val="nil"/>
              <w:left w:val="nil"/>
              <w:bottom w:val="nil"/>
              <w:right w:val="nil"/>
            </w:tcBorders>
            <w:shd w:val="clear" w:color="auto" w:fill="auto"/>
            <w:noWrap/>
            <w:vAlign w:val="bottom"/>
            <w:hideMark/>
          </w:tcPr>
          <w:p w14:paraId="7BA28984"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(8.437.833)</w:t>
            </w:r>
          </w:p>
        </w:tc>
        <w:tc>
          <w:tcPr>
            <w:tcW w:w="947" w:type="pct"/>
            <w:gridSpan w:val="2"/>
            <w:tcBorders>
              <w:top w:val="nil"/>
              <w:left w:val="nil"/>
              <w:bottom w:val="nil"/>
              <w:right w:val="nil"/>
            </w:tcBorders>
            <w:shd w:val="clear" w:color="auto" w:fill="auto"/>
            <w:noWrap/>
            <w:vAlign w:val="bottom"/>
            <w:hideMark/>
          </w:tcPr>
          <w:p w14:paraId="25829879"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(35.536.027)</w:t>
            </w:r>
          </w:p>
        </w:tc>
        <w:tc>
          <w:tcPr>
            <w:tcW w:w="379" w:type="pct"/>
            <w:tcBorders>
              <w:top w:val="nil"/>
              <w:left w:val="nil"/>
              <w:bottom w:val="nil"/>
              <w:right w:val="nil"/>
            </w:tcBorders>
            <w:shd w:val="clear" w:color="auto" w:fill="auto"/>
            <w:noWrap/>
            <w:vAlign w:val="center"/>
            <w:hideMark/>
          </w:tcPr>
          <w:p w14:paraId="1E2015D4" w14:textId="77777777" w:rsidR="007D40EC" w:rsidRPr="006B5C31" w:rsidRDefault="007D40EC" w:rsidP="007D40EC">
            <w:pPr>
              <w:jc w:val="right"/>
              <w:rPr>
                <w:rFonts w:asciiTheme="majorHAnsi" w:hAnsiTheme="majorHAnsi" w:cstheme="majorHAnsi"/>
                <w:sz w:val="16"/>
                <w:szCs w:val="16"/>
              </w:rPr>
            </w:pPr>
          </w:p>
        </w:tc>
      </w:tr>
      <w:tr w:rsidR="007D40EC" w14:paraId="6C62A500"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0C122FE7" w14:textId="77777777" w:rsidR="007D40EC" w:rsidRPr="006B5C31" w:rsidRDefault="007D40EC" w:rsidP="007D40EC">
            <w:pPr>
              <w:rPr>
                <w:rFonts w:asciiTheme="majorHAnsi" w:hAnsiTheme="majorHAnsi" w:cstheme="majorHAnsi"/>
                <w:b/>
                <w:bCs/>
                <w:sz w:val="16"/>
                <w:szCs w:val="16"/>
              </w:rPr>
            </w:pPr>
            <w:r w:rsidRPr="006B5C31">
              <w:rPr>
                <w:rFonts w:asciiTheme="majorHAnsi" w:hAnsiTheme="majorHAnsi" w:cstheme="majorHAnsi"/>
                <w:b/>
                <w:bCs/>
                <w:sz w:val="16"/>
                <w:szCs w:val="16"/>
              </w:rPr>
              <w:t xml:space="preserve">      Intangível</w:t>
            </w:r>
          </w:p>
        </w:tc>
        <w:tc>
          <w:tcPr>
            <w:tcW w:w="851" w:type="pct"/>
            <w:gridSpan w:val="2"/>
            <w:tcBorders>
              <w:top w:val="nil"/>
              <w:left w:val="nil"/>
              <w:bottom w:val="nil"/>
              <w:right w:val="nil"/>
            </w:tcBorders>
            <w:shd w:val="clear" w:color="auto" w:fill="auto"/>
            <w:noWrap/>
            <w:vAlign w:val="bottom"/>
            <w:hideMark/>
          </w:tcPr>
          <w:p w14:paraId="30C46897"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111.854.428 </w:t>
            </w:r>
          </w:p>
        </w:tc>
        <w:tc>
          <w:tcPr>
            <w:tcW w:w="947" w:type="pct"/>
            <w:gridSpan w:val="2"/>
            <w:tcBorders>
              <w:top w:val="nil"/>
              <w:left w:val="nil"/>
              <w:bottom w:val="nil"/>
              <w:right w:val="nil"/>
            </w:tcBorders>
            <w:shd w:val="clear" w:color="auto" w:fill="auto"/>
            <w:noWrap/>
            <w:vAlign w:val="bottom"/>
            <w:hideMark/>
          </w:tcPr>
          <w:p w14:paraId="79ED411E"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2.884.312 </w:t>
            </w:r>
          </w:p>
        </w:tc>
        <w:tc>
          <w:tcPr>
            <w:tcW w:w="379" w:type="pct"/>
            <w:tcBorders>
              <w:top w:val="nil"/>
              <w:left w:val="nil"/>
              <w:bottom w:val="nil"/>
              <w:right w:val="nil"/>
            </w:tcBorders>
            <w:shd w:val="clear" w:color="auto" w:fill="auto"/>
            <w:noWrap/>
            <w:vAlign w:val="bottom"/>
            <w:hideMark/>
          </w:tcPr>
          <w:p w14:paraId="1DE81B0E"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(10)</w:t>
            </w:r>
          </w:p>
        </w:tc>
      </w:tr>
      <w:tr w:rsidR="007D40EC" w14:paraId="0D18A788"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1F60E4B1" w14:textId="77777777" w:rsidR="007D40EC" w:rsidRPr="00F81FD5" w:rsidRDefault="007D40EC" w:rsidP="007D40EC">
            <w:pPr>
              <w:rPr>
                <w:rFonts w:asciiTheme="majorHAnsi" w:hAnsiTheme="majorHAnsi" w:cstheme="majorHAnsi"/>
                <w:sz w:val="16"/>
                <w:szCs w:val="16"/>
              </w:rPr>
            </w:pPr>
            <w:r w:rsidRPr="00F81FD5">
              <w:rPr>
                <w:rFonts w:asciiTheme="majorHAnsi" w:hAnsiTheme="majorHAnsi" w:cstheme="majorHAnsi"/>
                <w:sz w:val="16"/>
                <w:szCs w:val="16"/>
              </w:rPr>
              <w:t xml:space="preserve">               Direito de uso de Comunicação</w:t>
            </w:r>
          </w:p>
        </w:tc>
        <w:tc>
          <w:tcPr>
            <w:tcW w:w="851" w:type="pct"/>
            <w:gridSpan w:val="2"/>
            <w:tcBorders>
              <w:top w:val="nil"/>
              <w:left w:val="nil"/>
              <w:bottom w:val="nil"/>
              <w:right w:val="nil"/>
            </w:tcBorders>
            <w:shd w:val="clear" w:color="auto" w:fill="auto"/>
            <w:noWrap/>
            <w:vAlign w:val="bottom"/>
            <w:hideMark/>
          </w:tcPr>
          <w:p w14:paraId="63321F28" w14:textId="77777777" w:rsidR="007D40EC" w:rsidRPr="00F81FD5" w:rsidRDefault="007D40EC" w:rsidP="007D40EC">
            <w:pPr>
              <w:jc w:val="right"/>
              <w:rPr>
                <w:rFonts w:asciiTheme="majorHAnsi" w:hAnsiTheme="majorHAnsi" w:cstheme="majorHAnsi"/>
                <w:sz w:val="16"/>
                <w:szCs w:val="16"/>
              </w:rPr>
            </w:pPr>
            <w:r w:rsidRPr="00F81FD5">
              <w:rPr>
                <w:rFonts w:asciiTheme="majorHAnsi" w:hAnsiTheme="majorHAnsi" w:cstheme="majorHAnsi"/>
                <w:sz w:val="16"/>
                <w:szCs w:val="16"/>
              </w:rPr>
              <w:t xml:space="preserve">                            139.790 </w:t>
            </w:r>
          </w:p>
        </w:tc>
        <w:tc>
          <w:tcPr>
            <w:tcW w:w="947" w:type="pct"/>
            <w:gridSpan w:val="2"/>
            <w:tcBorders>
              <w:top w:val="nil"/>
              <w:left w:val="nil"/>
              <w:bottom w:val="nil"/>
              <w:right w:val="nil"/>
            </w:tcBorders>
            <w:shd w:val="clear" w:color="auto" w:fill="auto"/>
            <w:noWrap/>
            <w:vAlign w:val="bottom"/>
            <w:hideMark/>
          </w:tcPr>
          <w:p w14:paraId="14E23EF7" w14:textId="77777777" w:rsidR="007D40EC" w:rsidRPr="00F81FD5" w:rsidRDefault="007D40EC" w:rsidP="007D40EC">
            <w:pPr>
              <w:jc w:val="right"/>
              <w:rPr>
                <w:rFonts w:asciiTheme="majorHAnsi" w:hAnsiTheme="majorHAnsi" w:cstheme="majorHAnsi"/>
                <w:sz w:val="16"/>
                <w:szCs w:val="16"/>
              </w:rPr>
            </w:pPr>
            <w:r w:rsidRPr="00F81FD5">
              <w:rPr>
                <w:rFonts w:asciiTheme="majorHAnsi" w:hAnsiTheme="majorHAnsi" w:cstheme="majorHAnsi"/>
                <w:sz w:val="16"/>
                <w:szCs w:val="16"/>
              </w:rPr>
              <w:t xml:space="preserve">                         139.790 </w:t>
            </w:r>
          </w:p>
        </w:tc>
        <w:tc>
          <w:tcPr>
            <w:tcW w:w="379" w:type="pct"/>
            <w:tcBorders>
              <w:top w:val="nil"/>
              <w:left w:val="nil"/>
              <w:bottom w:val="nil"/>
              <w:right w:val="nil"/>
            </w:tcBorders>
            <w:shd w:val="clear" w:color="auto" w:fill="auto"/>
            <w:noWrap/>
            <w:vAlign w:val="center"/>
            <w:hideMark/>
          </w:tcPr>
          <w:p w14:paraId="46963FC1" w14:textId="77777777" w:rsidR="007D40EC" w:rsidRPr="006B5C31" w:rsidRDefault="007D40EC" w:rsidP="007D40EC">
            <w:pPr>
              <w:jc w:val="right"/>
              <w:rPr>
                <w:rFonts w:asciiTheme="majorHAnsi" w:hAnsiTheme="majorHAnsi" w:cstheme="majorHAnsi"/>
                <w:sz w:val="16"/>
                <w:szCs w:val="16"/>
              </w:rPr>
            </w:pPr>
          </w:p>
        </w:tc>
      </w:tr>
      <w:tr w:rsidR="007D40EC" w14:paraId="0387778C"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05DFCCC6" w14:textId="49D4EAF2" w:rsidR="007D40EC" w:rsidRPr="00F81FD5" w:rsidRDefault="007D40EC" w:rsidP="007D40EC">
            <w:pPr>
              <w:rPr>
                <w:rFonts w:asciiTheme="majorHAnsi" w:hAnsiTheme="majorHAnsi" w:cstheme="majorHAnsi"/>
                <w:sz w:val="16"/>
                <w:szCs w:val="16"/>
              </w:rPr>
            </w:pPr>
            <w:r w:rsidRPr="00F81FD5">
              <w:rPr>
                <w:rFonts w:asciiTheme="majorHAnsi" w:hAnsiTheme="majorHAnsi" w:cstheme="majorHAnsi"/>
                <w:sz w:val="16"/>
                <w:szCs w:val="16"/>
              </w:rPr>
              <w:t xml:space="preserve">               Estudos, projetos e licenciamento ambiental</w:t>
            </w:r>
          </w:p>
        </w:tc>
        <w:tc>
          <w:tcPr>
            <w:tcW w:w="851" w:type="pct"/>
            <w:gridSpan w:val="2"/>
            <w:tcBorders>
              <w:top w:val="nil"/>
              <w:left w:val="nil"/>
              <w:bottom w:val="nil"/>
              <w:right w:val="nil"/>
            </w:tcBorders>
            <w:shd w:val="clear" w:color="auto" w:fill="auto"/>
            <w:noWrap/>
            <w:vAlign w:val="bottom"/>
            <w:hideMark/>
          </w:tcPr>
          <w:p w14:paraId="75BF7C87" w14:textId="761DCC77" w:rsidR="007D40EC" w:rsidRPr="00F81FD5" w:rsidRDefault="007D40EC" w:rsidP="007D40EC">
            <w:pPr>
              <w:jc w:val="right"/>
              <w:rPr>
                <w:rFonts w:asciiTheme="majorHAnsi" w:hAnsiTheme="majorHAnsi" w:cstheme="majorHAnsi"/>
                <w:sz w:val="16"/>
                <w:szCs w:val="16"/>
              </w:rPr>
            </w:pPr>
            <w:r w:rsidRPr="00F81FD5">
              <w:rPr>
                <w:rFonts w:asciiTheme="majorHAnsi" w:hAnsiTheme="majorHAnsi" w:cstheme="majorHAnsi"/>
                <w:sz w:val="16"/>
                <w:szCs w:val="16"/>
              </w:rPr>
              <w:t xml:space="preserve">                       108.688.136</w:t>
            </w:r>
          </w:p>
        </w:tc>
        <w:tc>
          <w:tcPr>
            <w:tcW w:w="947" w:type="pct"/>
            <w:gridSpan w:val="2"/>
            <w:tcBorders>
              <w:top w:val="nil"/>
              <w:left w:val="nil"/>
              <w:bottom w:val="nil"/>
              <w:right w:val="nil"/>
            </w:tcBorders>
            <w:shd w:val="clear" w:color="auto" w:fill="auto"/>
            <w:noWrap/>
            <w:vAlign w:val="bottom"/>
            <w:hideMark/>
          </w:tcPr>
          <w:p w14:paraId="4E193483" w14:textId="77777777" w:rsidR="007D40EC" w:rsidRPr="00F81FD5" w:rsidRDefault="007D40EC" w:rsidP="007D40EC">
            <w:pPr>
              <w:jc w:val="right"/>
              <w:rPr>
                <w:rFonts w:asciiTheme="majorHAnsi" w:hAnsiTheme="majorHAnsi" w:cstheme="majorHAnsi"/>
                <w:sz w:val="16"/>
                <w:szCs w:val="16"/>
              </w:rPr>
            </w:pPr>
            <w:r w:rsidRPr="00F81FD5">
              <w:rPr>
                <w:rFonts w:asciiTheme="majorHAnsi" w:hAnsiTheme="majorHAnsi" w:cstheme="majorHAnsi"/>
                <w:sz w:val="16"/>
                <w:szCs w:val="16"/>
              </w:rPr>
              <w:t xml:space="preserve">                                    -   </w:t>
            </w:r>
          </w:p>
        </w:tc>
        <w:tc>
          <w:tcPr>
            <w:tcW w:w="379" w:type="pct"/>
            <w:tcBorders>
              <w:top w:val="nil"/>
              <w:left w:val="nil"/>
              <w:bottom w:val="nil"/>
              <w:right w:val="nil"/>
            </w:tcBorders>
            <w:shd w:val="clear" w:color="auto" w:fill="auto"/>
            <w:noWrap/>
            <w:vAlign w:val="center"/>
            <w:hideMark/>
          </w:tcPr>
          <w:p w14:paraId="38006DF7" w14:textId="77777777" w:rsidR="007D40EC" w:rsidRPr="00ED52E7" w:rsidRDefault="007D40EC" w:rsidP="007D40EC">
            <w:pPr>
              <w:jc w:val="right"/>
              <w:rPr>
                <w:rFonts w:asciiTheme="majorHAnsi" w:hAnsiTheme="majorHAnsi" w:cstheme="majorHAnsi"/>
                <w:sz w:val="16"/>
                <w:szCs w:val="16"/>
                <w:highlight w:val="yellow"/>
              </w:rPr>
            </w:pPr>
          </w:p>
        </w:tc>
      </w:tr>
      <w:tr w:rsidR="007D40EC" w14:paraId="4FD22BE2"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7F01EF07"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Software</w:t>
            </w:r>
          </w:p>
        </w:tc>
        <w:tc>
          <w:tcPr>
            <w:tcW w:w="851" w:type="pct"/>
            <w:gridSpan w:val="2"/>
            <w:tcBorders>
              <w:top w:val="nil"/>
              <w:left w:val="nil"/>
              <w:bottom w:val="nil"/>
              <w:right w:val="nil"/>
            </w:tcBorders>
            <w:shd w:val="clear" w:color="auto" w:fill="auto"/>
            <w:noWrap/>
            <w:vAlign w:val="bottom"/>
            <w:hideMark/>
          </w:tcPr>
          <w:p w14:paraId="083BD017"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23.939.051 </w:t>
            </w:r>
          </w:p>
        </w:tc>
        <w:tc>
          <w:tcPr>
            <w:tcW w:w="947" w:type="pct"/>
            <w:gridSpan w:val="2"/>
            <w:tcBorders>
              <w:top w:val="nil"/>
              <w:left w:val="nil"/>
              <w:bottom w:val="nil"/>
              <w:right w:val="nil"/>
            </w:tcBorders>
            <w:shd w:val="clear" w:color="auto" w:fill="auto"/>
            <w:noWrap/>
            <w:vAlign w:val="bottom"/>
            <w:hideMark/>
          </w:tcPr>
          <w:p w14:paraId="79AAAF3C"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11.731.207 </w:t>
            </w:r>
          </w:p>
        </w:tc>
        <w:tc>
          <w:tcPr>
            <w:tcW w:w="379" w:type="pct"/>
            <w:tcBorders>
              <w:top w:val="nil"/>
              <w:left w:val="nil"/>
              <w:bottom w:val="nil"/>
              <w:right w:val="nil"/>
            </w:tcBorders>
            <w:shd w:val="clear" w:color="auto" w:fill="auto"/>
            <w:noWrap/>
            <w:vAlign w:val="center"/>
            <w:hideMark/>
          </w:tcPr>
          <w:p w14:paraId="2411896F" w14:textId="77777777" w:rsidR="007D40EC" w:rsidRPr="006B5C31" w:rsidRDefault="007D40EC" w:rsidP="007D40EC">
            <w:pPr>
              <w:jc w:val="right"/>
              <w:rPr>
                <w:rFonts w:asciiTheme="majorHAnsi" w:hAnsiTheme="majorHAnsi" w:cstheme="majorHAnsi"/>
                <w:sz w:val="16"/>
                <w:szCs w:val="16"/>
              </w:rPr>
            </w:pPr>
          </w:p>
        </w:tc>
      </w:tr>
      <w:tr w:rsidR="007D40EC" w14:paraId="3AC1BDA9"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05088652" w14:textId="77777777" w:rsidR="007D40EC" w:rsidRPr="006B5C31" w:rsidRDefault="007D40EC" w:rsidP="007D40EC">
            <w:pPr>
              <w:rPr>
                <w:rFonts w:asciiTheme="majorHAnsi" w:hAnsiTheme="majorHAnsi" w:cstheme="majorHAnsi"/>
                <w:sz w:val="16"/>
                <w:szCs w:val="16"/>
              </w:rPr>
            </w:pPr>
            <w:r w:rsidRPr="006B5C31">
              <w:rPr>
                <w:rFonts w:asciiTheme="majorHAnsi" w:hAnsiTheme="majorHAnsi" w:cstheme="majorHAnsi"/>
                <w:sz w:val="16"/>
                <w:szCs w:val="16"/>
              </w:rPr>
              <w:t xml:space="preserve">               (Amortizações Acumuladas)</w:t>
            </w:r>
          </w:p>
        </w:tc>
        <w:tc>
          <w:tcPr>
            <w:tcW w:w="851" w:type="pct"/>
            <w:gridSpan w:val="2"/>
            <w:tcBorders>
              <w:top w:val="nil"/>
              <w:left w:val="nil"/>
              <w:bottom w:val="nil"/>
              <w:right w:val="nil"/>
            </w:tcBorders>
            <w:shd w:val="clear" w:color="auto" w:fill="auto"/>
            <w:noWrap/>
            <w:vAlign w:val="bottom"/>
            <w:hideMark/>
          </w:tcPr>
          <w:p w14:paraId="3315AEDD"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(20.912.549)</w:t>
            </w:r>
          </w:p>
        </w:tc>
        <w:tc>
          <w:tcPr>
            <w:tcW w:w="947" w:type="pct"/>
            <w:gridSpan w:val="2"/>
            <w:tcBorders>
              <w:top w:val="nil"/>
              <w:left w:val="nil"/>
              <w:bottom w:val="nil"/>
              <w:right w:val="nil"/>
            </w:tcBorders>
            <w:shd w:val="clear" w:color="auto" w:fill="auto"/>
            <w:noWrap/>
            <w:vAlign w:val="bottom"/>
            <w:hideMark/>
          </w:tcPr>
          <w:p w14:paraId="61E21B2A" w14:textId="77777777" w:rsidR="007D40EC" w:rsidRPr="006B5C31" w:rsidRDefault="007D40EC" w:rsidP="007D40EC">
            <w:pPr>
              <w:jc w:val="right"/>
              <w:rPr>
                <w:rFonts w:asciiTheme="majorHAnsi" w:hAnsiTheme="majorHAnsi" w:cstheme="majorHAnsi"/>
                <w:sz w:val="16"/>
                <w:szCs w:val="16"/>
              </w:rPr>
            </w:pPr>
            <w:r w:rsidRPr="006B5C31">
              <w:rPr>
                <w:rFonts w:asciiTheme="majorHAnsi" w:hAnsiTheme="majorHAnsi" w:cstheme="majorHAnsi"/>
                <w:sz w:val="16"/>
                <w:szCs w:val="16"/>
              </w:rPr>
              <w:t xml:space="preserve">                    (8.986.685)</w:t>
            </w:r>
          </w:p>
        </w:tc>
        <w:tc>
          <w:tcPr>
            <w:tcW w:w="379" w:type="pct"/>
            <w:tcBorders>
              <w:top w:val="nil"/>
              <w:left w:val="nil"/>
              <w:bottom w:val="nil"/>
              <w:right w:val="nil"/>
            </w:tcBorders>
            <w:shd w:val="clear" w:color="auto" w:fill="auto"/>
            <w:noWrap/>
            <w:vAlign w:val="center"/>
            <w:hideMark/>
          </w:tcPr>
          <w:p w14:paraId="3A391404" w14:textId="77777777" w:rsidR="007D40EC" w:rsidRPr="006B5C31" w:rsidRDefault="007D40EC" w:rsidP="007D40EC">
            <w:pPr>
              <w:jc w:val="right"/>
              <w:rPr>
                <w:rFonts w:asciiTheme="majorHAnsi" w:hAnsiTheme="majorHAnsi" w:cstheme="majorHAnsi"/>
                <w:sz w:val="16"/>
                <w:szCs w:val="16"/>
              </w:rPr>
            </w:pPr>
          </w:p>
        </w:tc>
      </w:tr>
      <w:tr w:rsidR="007D40EC" w14:paraId="58E902A6"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hideMark/>
          </w:tcPr>
          <w:p w14:paraId="3EFF6E2D" w14:textId="77777777" w:rsidR="007D40EC" w:rsidRPr="006B5C31" w:rsidRDefault="007D40EC" w:rsidP="007D40EC">
            <w:pPr>
              <w:rPr>
                <w:rFonts w:asciiTheme="majorHAnsi" w:hAnsiTheme="majorHAnsi" w:cstheme="majorHAnsi"/>
                <w:b/>
                <w:bCs/>
                <w:sz w:val="16"/>
                <w:szCs w:val="16"/>
              </w:rPr>
            </w:pPr>
            <w:r w:rsidRPr="006B5C31">
              <w:rPr>
                <w:rFonts w:asciiTheme="majorHAnsi" w:hAnsiTheme="majorHAnsi" w:cstheme="majorHAnsi"/>
                <w:b/>
                <w:bCs/>
                <w:sz w:val="16"/>
                <w:szCs w:val="16"/>
              </w:rPr>
              <w:t>TOTAL DO ATIVO</w:t>
            </w:r>
          </w:p>
        </w:tc>
        <w:tc>
          <w:tcPr>
            <w:tcW w:w="851" w:type="pct"/>
            <w:gridSpan w:val="2"/>
            <w:tcBorders>
              <w:top w:val="nil"/>
              <w:left w:val="nil"/>
              <w:bottom w:val="nil"/>
              <w:right w:val="nil"/>
            </w:tcBorders>
            <w:shd w:val="clear" w:color="auto" w:fill="auto"/>
            <w:noWrap/>
            <w:vAlign w:val="bottom"/>
            <w:hideMark/>
          </w:tcPr>
          <w:p w14:paraId="68329A06"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5.074.754.778 </w:t>
            </w:r>
          </w:p>
        </w:tc>
        <w:tc>
          <w:tcPr>
            <w:tcW w:w="947" w:type="pct"/>
            <w:gridSpan w:val="2"/>
            <w:tcBorders>
              <w:top w:val="nil"/>
              <w:left w:val="nil"/>
              <w:bottom w:val="nil"/>
              <w:right w:val="nil"/>
            </w:tcBorders>
            <w:shd w:val="clear" w:color="auto" w:fill="auto"/>
            <w:noWrap/>
            <w:vAlign w:val="bottom"/>
            <w:hideMark/>
          </w:tcPr>
          <w:p w14:paraId="784BC4AC" w14:textId="77777777" w:rsidR="007D40EC" w:rsidRPr="006B5C31" w:rsidRDefault="007D40EC" w:rsidP="007D40EC">
            <w:pPr>
              <w:jc w:val="right"/>
              <w:rPr>
                <w:rFonts w:asciiTheme="majorHAnsi" w:hAnsiTheme="majorHAnsi" w:cstheme="majorHAnsi"/>
                <w:b/>
                <w:bCs/>
                <w:sz w:val="16"/>
                <w:szCs w:val="16"/>
              </w:rPr>
            </w:pPr>
            <w:r w:rsidRPr="006B5C31">
              <w:rPr>
                <w:rFonts w:asciiTheme="majorHAnsi" w:hAnsiTheme="majorHAnsi" w:cstheme="majorHAnsi"/>
                <w:b/>
                <w:bCs/>
                <w:sz w:val="16"/>
                <w:szCs w:val="16"/>
              </w:rPr>
              <w:t xml:space="preserve">              4.416.348.569 </w:t>
            </w:r>
          </w:p>
        </w:tc>
        <w:tc>
          <w:tcPr>
            <w:tcW w:w="379" w:type="pct"/>
            <w:tcBorders>
              <w:top w:val="nil"/>
              <w:left w:val="nil"/>
              <w:bottom w:val="nil"/>
              <w:right w:val="nil"/>
            </w:tcBorders>
            <w:shd w:val="clear" w:color="auto" w:fill="auto"/>
            <w:noWrap/>
            <w:vAlign w:val="center"/>
            <w:hideMark/>
          </w:tcPr>
          <w:p w14:paraId="07536B66" w14:textId="77777777" w:rsidR="007D40EC" w:rsidRDefault="007D40EC" w:rsidP="007D40EC">
            <w:pPr>
              <w:jc w:val="right"/>
              <w:rPr>
                <w:rFonts w:asciiTheme="majorHAnsi" w:hAnsiTheme="majorHAnsi" w:cstheme="majorHAnsi"/>
                <w:b/>
                <w:bCs/>
                <w:sz w:val="16"/>
                <w:szCs w:val="16"/>
              </w:rPr>
            </w:pPr>
          </w:p>
          <w:p w14:paraId="490943DD" w14:textId="77777777" w:rsidR="00303F45" w:rsidRDefault="00303F45" w:rsidP="007D40EC">
            <w:pPr>
              <w:jc w:val="right"/>
              <w:rPr>
                <w:rFonts w:asciiTheme="majorHAnsi" w:hAnsiTheme="majorHAnsi" w:cstheme="majorHAnsi"/>
                <w:b/>
                <w:bCs/>
                <w:sz w:val="16"/>
                <w:szCs w:val="16"/>
              </w:rPr>
            </w:pPr>
          </w:p>
          <w:p w14:paraId="77CEB1BA" w14:textId="77777777" w:rsidR="00303F45" w:rsidRDefault="00303F45" w:rsidP="007D40EC">
            <w:pPr>
              <w:jc w:val="right"/>
              <w:rPr>
                <w:rFonts w:asciiTheme="majorHAnsi" w:hAnsiTheme="majorHAnsi" w:cstheme="majorHAnsi"/>
                <w:b/>
                <w:bCs/>
                <w:sz w:val="16"/>
                <w:szCs w:val="16"/>
              </w:rPr>
            </w:pPr>
          </w:p>
          <w:p w14:paraId="0DC4FB4A" w14:textId="037D450D" w:rsidR="00303F45" w:rsidRPr="006B5C31" w:rsidRDefault="00303F45" w:rsidP="007D40EC">
            <w:pPr>
              <w:jc w:val="right"/>
              <w:rPr>
                <w:rFonts w:asciiTheme="majorHAnsi" w:hAnsiTheme="majorHAnsi" w:cstheme="majorHAnsi"/>
                <w:b/>
                <w:bCs/>
                <w:sz w:val="16"/>
                <w:szCs w:val="16"/>
              </w:rPr>
            </w:pPr>
          </w:p>
        </w:tc>
      </w:tr>
      <w:tr w:rsidR="00303F45" w14:paraId="69EB1C72" w14:textId="77777777" w:rsidTr="007D40EC">
        <w:trPr>
          <w:gridAfter w:val="2"/>
          <w:wAfter w:w="644" w:type="pct"/>
          <w:trHeight w:hRule="exact" w:val="227"/>
        </w:trPr>
        <w:tc>
          <w:tcPr>
            <w:tcW w:w="2179" w:type="pct"/>
            <w:tcBorders>
              <w:top w:val="nil"/>
              <w:left w:val="nil"/>
              <w:bottom w:val="nil"/>
              <w:right w:val="nil"/>
            </w:tcBorders>
            <w:shd w:val="clear" w:color="auto" w:fill="auto"/>
            <w:noWrap/>
            <w:vAlign w:val="bottom"/>
          </w:tcPr>
          <w:p w14:paraId="0D8EFAE9" w14:textId="1BEC8F5E" w:rsidR="00303F45" w:rsidRDefault="00303F45" w:rsidP="007D40EC">
            <w:pPr>
              <w:rPr>
                <w:rFonts w:asciiTheme="majorHAnsi" w:hAnsiTheme="majorHAnsi" w:cstheme="majorHAnsi"/>
                <w:b/>
                <w:bCs/>
                <w:sz w:val="16"/>
                <w:szCs w:val="16"/>
              </w:rPr>
            </w:pPr>
          </w:p>
          <w:p w14:paraId="5D44BA86" w14:textId="30B49B6B" w:rsidR="00303F45" w:rsidRDefault="00303F45" w:rsidP="007D40EC">
            <w:pPr>
              <w:rPr>
                <w:rFonts w:asciiTheme="majorHAnsi" w:hAnsiTheme="majorHAnsi" w:cstheme="majorHAnsi"/>
                <w:b/>
                <w:bCs/>
                <w:sz w:val="16"/>
                <w:szCs w:val="16"/>
              </w:rPr>
            </w:pPr>
          </w:p>
          <w:p w14:paraId="1BBB3190" w14:textId="7769250B" w:rsidR="00303F45" w:rsidRDefault="00303F45" w:rsidP="007D40EC">
            <w:pPr>
              <w:rPr>
                <w:rFonts w:asciiTheme="majorHAnsi" w:hAnsiTheme="majorHAnsi" w:cstheme="majorHAnsi"/>
                <w:b/>
                <w:bCs/>
                <w:sz w:val="16"/>
                <w:szCs w:val="16"/>
              </w:rPr>
            </w:pPr>
          </w:p>
          <w:p w14:paraId="17BF1EFE" w14:textId="1A14C3D4" w:rsidR="00303F45" w:rsidRDefault="00303F45" w:rsidP="007D40EC">
            <w:pPr>
              <w:rPr>
                <w:rFonts w:asciiTheme="majorHAnsi" w:hAnsiTheme="majorHAnsi" w:cstheme="majorHAnsi"/>
                <w:b/>
                <w:bCs/>
                <w:sz w:val="16"/>
                <w:szCs w:val="16"/>
              </w:rPr>
            </w:pPr>
          </w:p>
          <w:p w14:paraId="29A94F6B" w14:textId="5F588693" w:rsidR="00303F45" w:rsidRDefault="00303F45" w:rsidP="007D40EC">
            <w:pPr>
              <w:rPr>
                <w:rFonts w:asciiTheme="majorHAnsi" w:hAnsiTheme="majorHAnsi" w:cstheme="majorHAnsi"/>
                <w:b/>
                <w:bCs/>
                <w:sz w:val="16"/>
                <w:szCs w:val="16"/>
              </w:rPr>
            </w:pPr>
          </w:p>
          <w:p w14:paraId="622F92E9" w14:textId="5623E8DB" w:rsidR="00303F45" w:rsidRDefault="00303F45" w:rsidP="007D40EC">
            <w:pPr>
              <w:rPr>
                <w:rFonts w:asciiTheme="majorHAnsi" w:hAnsiTheme="majorHAnsi" w:cstheme="majorHAnsi"/>
                <w:b/>
                <w:bCs/>
                <w:sz w:val="16"/>
                <w:szCs w:val="16"/>
              </w:rPr>
            </w:pPr>
          </w:p>
          <w:p w14:paraId="3AA90F32" w14:textId="77777777" w:rsidR="00303F45" w:rsidRDefault="00303F45" w:rsidP="007D40EC">
            <w:pPr>
              <w:rPr>
                <w:rFonts w:asciiTheme="majorHAnsi" w:hAnsiTheme="majorHAnsi" w:cstheme="majorHAnsi"/>
                <w:b/>
                <w:bCs/>
                <w:sz w:val="16"/>
                <w:szCs w:val="16"/>
              </w:rPr>
            </w:pPr>
          </w:p>
          <w:p w14:paraId="46C8A562" w14:textId="77777777" w:rsidR="00303F45" w:rsidRDefault="00303F45" w:rsidP="007D40EC">
            <w:pPr>
              <w:rPr>
                <w:rFonts w:asciiTheme="majorHAnsi" w:hAnsiTheme="majorHAnsi" w:cstheme="majorHAnsi"/>
                <w:b/>
                <w:bCs/>
                <w:sz w:val="16"/>
                <w:szCs w:val="16"/>
              </w:rPr>
            </w:pPr>
          </w:p>
          <w:p w14:paraId="591466A3" w14:textId="77777777" w:rsidR="00303F45" w:rsidRDefault="00303F45" w:rsidP="007D40EC">
            <w:pPr>
              <w:rPr>
                <w:rFonts w:asciiTheme="majorHAnsi" w:hAnsiTheme="majorHAnsi" w:cstheme="majorHAnsi"/>
                <w:b/>
                <w:bCs/>
                <w:sz w:val="16"/>
                <w:szCs w:val="16"/>
              </w:rPr>
            </w:pPr>
          </w:p>
          <w:p w14:paraId="1D83A895" w14:textId="77777777" w:rsidR="00303F45" w:rsidRDefault="00303F45" w:rsidP="007D40EC">
            <w:pPr>
              <w:rPr>
                <w:rFonts w:asciiTheme="majorHAnsi" w:hAnsiTheme="majorHAnsi" w:cstheme="majorHAnsi"/>
                <w:b/>
                <w:bCs/>
                <w:sz w:val="16"/>
                <w:szCs w:val="16"/>
              </w:rPr>
            </w:pPr>
          </w:p>
          <w:p w14:paraId="65C0CBC4" w14:textId="77777777" w:rsidR="00303F45" w:rsidRDefault="00303F45" w:rsidP="007D40EC">
            <w:pPr>
              <w:rPr>
                <w:rFonts w:asciiTheme="majorHAnsi" w:hAnsiTheme="majorHAnsi" w:cstheme="majorHAnsi"/>
                <w:b/>
                <w:bCs/>
                <w:sz w:val="16"/>
                <w:szCs w:val="16"/>
              </w:rPr>
            </w:pPr>
          </w:p>
          <w:p w14:paraId="6FAEB1EC" w14:textId="77777777" w:rsidR="00303F45" w:rsidRDefault="00303F45" w:rsidP="007D40EC">
            <w:pPr>
              <w:rPr>
                <w:rFonts w:asciiTheme="majorHAnsi" w:hAnsiTheme="majorHAnsi" w:cstheme="majorHAnsi"/>
                <w:b/>
                <w:bCs/>
                <w:sz w:val="16"/>
                <w:szCs w:val="16"/>
              </w:rPr>
            </w:pPr>
          </w:p>
          <w:p w14:paraId="2F996384" w14:textId="30560947" w:rsidR="00303F45" w:rsidRPr="006B5C31" w:rsidRDefault="00303F45" w:rsidP="007D40EC">
            <w:pPr>
              <w:rPr>
                <w:rFonts w:asciiTheme="majorHAnsi" w:hAnsiTheme="majorHAnsi" w:cstheme="majorHAnsi"/>
                <w:b/>
                <w:bCs/>
                <w:sz w:val="16"/>
                <w:szCs w:val="16"/>
              </w:rPr>
            </w:pPr>
          </w:p>
        </w:tc>
        <w:tc>
          <w:tcPr>
            <w:tcW w:w="851" w:type="pct"/>
            <w:gridSpan w:val="2"/>
            <w:tcBorders>
              <w:top w:val="nil"/>
              <w:left w:val="nil"/>
              <w:bottom w:val="nil"/>
              <w:right w:val="nil"/>
            </w:tcBorders>
            <w:shd w:val="clear" w:color="auto" w:fill="auto"/>
            <w:noWrap/>
            <w:vAlign w:val="bottom"/>
          </w:tcPr>
          <w:p w14:paraId="2A8B7FFE" w14:textId="77777777" w:rsidR="00303F45" w:rsidRPr="006B5C31" w:rsidRDefault="00303F45" w:rsidP="007D40EC">
            <w:pPr>
              <w:jc w:val="right"/>
              <w:rPr>
                <w:rFonts w:asciiTheme="majorHAnsi" w:hAnsiTheme="majorHAnsi" w:cstheme="majorHAnsi"/>
                <w:b/>
                <w:bCs/>
                <w:sz w:val="16"/>
                <w:szCs w:val="16"/>
              </w:rPr>
            </w:pPr>
          </w:p>
        </w:tc>
        <w:tc>
          <w:tcPr>
            <w:tcW w:w="947" w:type="pct"/>
            <w:gridSpan w:val="2"/>
            <w:tcBorders>
              <w:top w:val="nil"/>
              <w:left w:val="nil"/>
              <w:bottom w:val="nil"/>
              <w:right w:val="nil"/>
            </w:tcBorders>
            <w:shd w:val="clear" w:color="auto" w:fill="auto"/>
            <w:noWrap/>
            <w:vAlign w:val="bottom"/>
          </w:tcPr>
          <w:p w14:paraId="44BA003A" w14:textId="77777777" w:rsidR="00303F45" w:rsidRPr="006B5C31" w:rsidRDefault="00303F45" w:rsidP="007D40EC">
            <w:pPr>
              <w:jc w:val="right"/>
              <w:rPr>
                <w:rFonts w:asciiTheme="majorHAnsi" w:hAnsiTheme="majorHAnsi" w:cstheme="majorHAnsi"/>
                <w:b/>
                <w:bCs/>
                <w:sz w:val="16"/>
                <w:szCs w:val="16"/>
              </w:rPr>
            </w:pPr>
          </w:p>
        </w:tc>
        <w:tc>
          <w:tcPr>
            <w:tcW w:w="379" w:type="pct"/>
            <w:tcBorders>
              <w:top w:val="nil"/>
              <w:left w:val="nil"/>
              <w:bottom w:val="nil"/>
              <w:right w:val="nil"/>
            </w:tcBorders>
            <w:shd w:val="clear" w:color="auto" w:fill="auto"/>
            <w:noWrap/>
            <w:vAlign w:val="center"/>
          </w:tcPr>
          <w:p w14:paraId="2EA77974" w14:textId="77777777" w:rsidR="00303F45" w:rsidRPr="006B5C31" w:rsidRDefault="00303F45" w:rsidP="007D40EC">
            <w:pPr>
              <w:jc w:val="right"/>
              <w:rPr>
                <w:rFonts w:asciiTheme="majorHAnsi" w:hAnsiTheme="majorHAnsi" w:cstheme="majorHAnsi"/>
                <w:b/>
                <w:bCs/>
                <w:sz w:val="16"/>
                <w:szCs w:val="16"/>
              </w:rPr>
            </w:pPr>
          </w:p>
        </w:tc>
      </w:tr>
      <w:tr w:rsidR="007D40EC" w14:paraId="60DEE8E5" w14:textId="77777777" w:rsidTr="00A06450">
        <w:trPr>
          <w:trHeight w:hRule="exact" w:val="227"/>
        </w:trPr>
        <w:tc>
          <w:tcPr>
            <w:tcW w:w="5000" w:type="pct"/>
            <w:gridSpan w:val="8"/>
            <w:tcBorders>
              <w:top w:val="nil"/>
              <w:left w:val="nil"/>
              <w:bottom w:val="nil"/>
              <w:right w:val="nil"/>
            </w:tcBorders>
            <w:shd w:val="clear" w:color="auto" w:fill="auto"/>
            <w:noWrap/>
            <w:vAlign w:val="bottom"/>
            <w:hideMark/>
          </w:tcPr>
          <w:p w14:paraId="07CB3EA5" w14:textId="2FF717B3" w:rsidR="007D40EC" w:rsidRDefault="007D40EC" w:rsidP="007D40EC">
            <w:pPr>
              <w:jc w:val="center"/>
              <w:rPr>
                <w:rFonts w:asciiTheme="majorHAnsi" w:hAnsiTheme="majorHAnsi" w:cstheme="majorHAnsi"/>
                <w:b/>
                <w:bCs/>
                <w:sz w:val="16"/>
                <w:szCs w:val="16"/>
              </w:rPr>
            </w:pPr>
          </w:p>
          <w:p w14:paraId="35550B50" w14:textId="1A9FDB60" w:rsidR="00303F45" w:rsidRDefault="00303F45" w:rsidP="007D40EC">
            <w:pPr>
              <w:jc w:val="center"/>
              <w:rPr>
                <w:rFonts w:asciiTheme="majorHAnsi" w:hAnsiTheme="majorHAnsi" w:cstheme="majorHAnsi"/>
                <w:b/>
                <w:bCs/>
                <w:sz w:val="16"/>
                <w:szCs w:val="16"/>
              </w:rPr>
            </w:pPr>
          </w:p>
          <w:p w14:paraId="01AFA727" w14:textId="77777777" w:rsidR="00303F45" w:rsidRPr="00A06450" w:rsidRDefault="00303F45" w:rsidP="007D40EC">
            <w:pPr>
              <w:jc w:val="center"/>
              <w:rPr>
                <w:rFonts w:asciiTheme="majorHAnsi" w:hAnsiTheme="majorHAnsi" w:cstheme="majorHAnsi"/>
                <w:b/>
                <w:bCs/>
                <w:sz w:val="16"/>
                <w:szCs w:val="16"/>
              </w:rPr>
            </w:pPr>
          </w:p>
          <w:p w14:paraId="71D8B194" w14:textId="77777777" w:rsidR="007D40EC" w:rsidRPr="00A06450" w:rsidRDefault="007D40EC" w:rsidP="007D40EC">
            <w:pPr>
              <w:jc w:val="center"/>
              <w:rPr>
                <w:rFonts w:asciiTheme="majorHAnsi" w:hAnsiTheme="majorHAnsi" w:cstheme="majorHAnsi"/>
                <w:b/>
                <w:bCs/>
                <w:sz w:val="16"/>
                <w:szCs w:val="16"/>
              </w:rPr>
            </w:pPr>
          </w:p>
          <w:p w14:paraId="6CB46DA3" w14:textId="27869F4E" w:rsidR="007D40EC" w:rsidRPr="00A06450" w:rsidRDefault="007D40EC" w:rsidP="007D40EC">
            <w:pPr>
              <w:jc w:val="center"/>
              <w:rPr>
                <w:rFonts w:asciiTheme="majorHAnsi" w:hAnsiTheme="majorHAnsi" w:cstheme="majorHAnsi"/>
                <w:b/>
                <w:bCs/>
                <w:sz w:val="16"/>
                <w:szCs w:val="16"/>
              </w:rPr>
            </w:pPr>
            <w:r>
              <w:rPr>
                <w:rFonts w:asciiTheme="majorHAnsi" w:hAnsiTheme="majorHAnsi" w:cstheme="majorHAnsi"/>
                <w:b/>
                <w:bCs/>
                <w:sz w:val="16"/>
                <w:szCs w:val="16"/>
              </w:rPr>
              <w:t>Infra</w:t>
            </w:r>
            <w:r w:rsidRPr="00A06450">
              <w:rPr>
                <w:rFonts w:asciiTheme="majorHAnsi" w:hAnsiTheme="majorHAnsi" w:cstheme="majorHAnsi"/>
                <w:b/>
                <w:bCs/>
                <w:sz w:val="16"/>
                <w:szCs w:val="16"/>
              </w:rPr>
              <w:t xml:space="preserve"> S.A.</w:t>
            </w:r>
          </w:p>
        </w:tc>
      </w:tr>
      <w:tr w:rsidR="00303F45" w14:paraId="13116879" w14:textId="77777777" w:rsidTr="00A06450">
        <w:trPr>
          <w:trHeight w:hRule="exact" w:val="227"/>
        </w:trPr>
        <w:tc>
          <w:tcPr>
            <w:tcW w:w="5000" w:type="pct"/>
            <w:gridSpan w:val="8"/>
            <w:tcBorders>
              <w:top w:val="nil"/>
              <w:left w:val="nil"/>
              <w:bottom w:val="nil"/>
              <w:right w:val="nil"/>
            </w:tcBorders>
            <w:shd w:val="clear" w:color="auto" w:fill="auto"/>
            <w:noWrap/>
            <w:vAlign w:val="bottom"/>
          </w:tcPr>
          <w:p w14:paraId="7480F010" w14:textId="77777777" w:rsidR="00303F45" w:rsidRDefault="00303F45" w:rsidP="007D40EC">
            <w:pPr>
              <w:jc w:val="center"/>
              <w:rPr>
                <w:rFonts w:asciiTheme="majorHAnsi" w:hAnsiTheme="majorHAnsi" w:cstheme="majorHAnsi"/>
                <w:b/>
                <w:bCs/>
                <w:sz w:val="16"/>
                <w:szCs w:val="16"/>
              </w:rPr>
            </w:pPr>
          </w:p>
          <w:p w14:paraId="6EE05B1E" w14:textId="77777777" w:rsidR="00303F45" w:rsidRDefault="00303F45" w:rsidP="007D40EC">
            <w:pPr>
              <w:jc w:val="center"/>
              <w:rPr>
                <w:rFonts w:asciiTheme="majorHAnsi" w:hAnsiTheme="majorHAnsi" w:cstheme="majorHAnsi"/>
                <w:b/>
                <w:bCs/>
                <w:sz w:val="16"/>
                <w:szCs w:val="16"/>
              </w:rPr>
            </w:pPr>
          </w:p>
          <w:p w14:paraId="6C123F40" w14:textId="11867918" w:rsidR="00303F45" w:rsidRDefault="00303F45" w:rsidP="007D40EC">
            <w:pPr>
              <w:jc w:val="center"/>
              <w:rPr>
                <w:rFonts w:asciiTheme="majorHAnsi" w:hAnsiTheme="majorHAnsi" w:cstheme="majorHAnsi"/>
                <w:b/>
                <w:bCs/>
                <w:sz w:val="16"/>
                <w:szCs w:val="16"/>
              </w:rPr>
            </w:pPr>
          </w:p>
        </w:tc>
      </w:tr>
      <w:tr w:rsidR="00303F45" w14:paraId="045884C9" w14:textId="77777777" w:rsidTr="00A06450">
        <w:trPr>
          <w:trHeight w:hRule="exact" w:val="227"/>
        </w:trPr>
        <w:tc>
          <w:tcPr>
            <w:tcW w:w="5000" w:type="pct"/>
            <w:gridSpan w:val="8"/>
            <w:tcBorders>
              <w:top w:val="nil"/>
              <w:left w:val="nil"/>
              <w:bottom w:val="nil"/>
              <w:right w:val="nil"/>
            </w:tcBorders>
            <w:shd w:val="clear" w:color="auto" w:fill="auto"/>
            <w:noWrap/>
            <w:vAlign w:val="bottom"/>
          </w:tcPr>
          <w:p w14:paraId="6AE23D5A" w14:textId="77777777" w:rsidR="00303F45" w:rsidRDefault="00303F45" w:rsidP="007D40EC">
            <w:pPr>
              <w:jc w:val="center"/>
              <w:rPr>
                <w:rFonts w:asciiTheme="majorHAnsi" w:hAnsiTheme="majorHAnsi" w:cstheme="majorHAnsi"/>
                <w:b/>
                <w:bCs/>
                <w:sz w:val="16"/>
                <w:szCs w:val="16"/>
              </w:rPr>
            </w:pPr>
          </w:p>
        </w:tc>
      </w:tr>
      <w:tr w:rsidR="00303F45" w14:paraId="440C3695" w14:textId="77777777" w:rsidTr="00A06450">
        <w:trPr>
          <w:trHeight w:hRule="exact" w:val="227"/>
        </w:trPr>
        <w:tc>
          <w:tcPr>
            <w:tcW w:w="5000" w:type="pct"/>
            <w:gridSpan w:val="8"/>
            <w:tcBorders>
              <w:top w:val="nil"/>
              <w:left w:val="nil"/>
              <w:bottom w:val="nil"/>
              <w:right w:val="nil"/>
            </w:tcBorders>
            <w:shd w:val="clear" w:color="auto" w:fill="auto"/>
            <w:noWrap/>
            <w:vAlign w:val="bottom"/>
          </w:tcPr>
          <w:p w14:paraId="06068AEC" w14:textId="77777777" w:rsidR="00303F45" w:rsidRDefault="00303F45" w:rsidP="007D40EC">
            <w:pPr>
              <w:jc w:val="center"/>
              <w:rPr>
                <w:rFonts w:asciiTheme="majorHAnsi" w:hAnsiTheme="majorHAnsi" w:cstheme="majorHAnsi"/>
                <w:b/>
                <w:bCs/>
                <w:sz w:val="16"/>
                <w:szCs w:val="16"/>
              </w:rPr>
            </w:pPr>
          </w:p>
        </w:tc>
      </w:tr>
      <w:tr w:rsidR="00303F45" w14:paraId="45B7BB92" w14:textId="77777777" w:rsidTr="00A06450">
        <w:trPr>
          <w:trHeight w:hRule="exact" w:val="227"/>
        </w:trPr>
        <w:tc>
          <w:tcPr>
            <w:tcW w:w="5000" w:type="pct"/>
            <w:gridSpan w:val="8"/>
            <w:tcBorders>
              <w:top w:val="nil"/>
              <w:left w:val="nil"/>
              <w:bottom w:val="nil"/>
              <w:right w:val="nil"/>
            </w:tcBorders>
            <w:shd w:val="clear" w:color="auto" w:fill="auto"/>
            <w:noWrap/>
            <w:vAlign w:val="bottom"/>
          </w:tcPr>
          <w:p w14:paraId="0F0B75ED" w14:textId="77777777" w:rsidR="00303F45" w:rsidRDefault="00303F45" w:rsidP="007D40EC">
            <w:pPr>
              <w:jc w:val="center"/>
              <w:rPr>
                <w:rFonts w:asciiTheme="majorHAnsi" w:hAnsiTheme="majorHAnsi" w:cstheme="majorHAnsi"/>
                <w:b/>
                <w:bCs/>
                <w:sz w:val="16"/>
                <w:szCs w:val="16"/>
              </w:rPr>
            </w:pPr>
          </w:p>
        </w:tc>
      </w:tr>
      <w:tr w:rsidR="00303F45" w14:paraId="3CD7F7BC" w14:textId="77777777" w:rsidTr="00A06450">
        <w:trPr>
          <w:trHeight w:hRule="exact" w:val="227"/>
        </w:trPr>
        <w:tc>
          <w:tcPr>
            <w:tcW w:w="5000" w:type="pct"/>
            <w:gridSpan w:val="8"/>
            <w:tcBorders>
              <w:top w:val="nil"/>
              <w:left w:val="nil"/>
              <w:bottom w:val="nil"/>
              <w:right w:val="nil"/>
            </w:tcBorders>
            <w:shd w:val="clear" w:color="auto" w:fill="auto"/>
            <w:noWrap/>
            <w:vAlign w:val="bottom"/>
          </w:tcPr>
          <w:p w14:paraId="1D82C54E" w14:textId="77777777" w:rsidR="00303F45" w:rsidRDefault="00303F45" w:rsidP="007D40EC">
            <w:pPr>
              <w:jc w:val="center"/>
              <w:rPr>
                <w:rFonts w:asciiTheme="majorHAnsi" w:hAnsiTheme="majorHAnsi" w:cstheme="majorHAnsi"/>
                <w:b/>
                <w:bCs/>
                <w:sz w:val="16"/>
                <w:szCs w:val="16"/>
              </w:rPr>
            </w:pPr>
          </w:p>
        </w:tc>
      </w:tr>
      <w:tr w:rsidR="00303F45" w14:paraId="1E9FA8AB" w14:textId="77777777" w:rsidTr="00A06450">
        <w:trPr>
          <w:trHeight w:hRule="exact" w:val="227"/>
        </w:trPr>
        <w:tc>
          <w:tcPr>
            <w:tcW w:w="5000" w:type="pct"/>
            <w:gridSpan w:val="8"/>
            <w:tcBorders>
              <w:top w:val="nil"/>
              <w:left w:val="nil"/>
              <w:bottom w:val="nil"/>
              <w:right w:val="nil"/>
            </w:tcBorders>
            <w:shd w:val="clear" w:color="auto" w:fill="auto"/>
            <w:noWrap/>
            <w:vAlign w:val="bottom"/>
          </w:tcPr>
          <w:p w14:paraId="405BD8F9" w14:textId="77777777" w:rsidR="00303F45" w:rsidRDefault="00303F45" w:rsidP="007D40EC">
            <w:pPr>
              <w:jc w:val="center"/>
              <w:rPr>
                <w:rFonts w:asciiTheme="majorHAnsi" w:hAnsiTheme="majorHAnsi" w:cstheme="majorHAnsi"/>
                <w:b/>
                <w:bCs/>
                <w:sz w:val="16"/>
                <w:szCs w:val="16"/>
              </w:rPr>
            </w:pPr>
          </w:p>
        </w:tc>
      </w:tr>
      <w:tr w:rsidR="007D40EC" w14:paraId="590F22C5"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31CEB270" w14:textId="4C1F3E85" w:rsidR="007D40EC" w:rsidRPr="00AF45DE" w:rsidRDefault="007D40EC" w:rsidP="007D40EC">
            <w:pPr>
              <w:rPr>
                <w:rFonts w:asciiTheme="majorHAnsi" w:hAnsiTheme="majorHAnsi" w:cstheme="majorHAnsi"/>
                <w:sz w:val="16"/>
                <w:szCs w:val="16"/>
              </w:rPr>
            </w:pPr>
            <w:r w:rsidRPr="00AF45DE">
              <w:rPr>
                <w:rFonts w:asciiTheme="majorHAnsi" w:hAnsiTheme="majorHAnsi" w:cstheme="majorHAnsi"/>
                <w:b/>
                <w:bCs/>
                <w:sz w:val="16"/>
                <w:szCs w:val="16"/>
                <w:u w:val="single"/>
              </w:rPr>
              <w:lastRenderedPageBreak/>
              <w:t>PASSIVO E PATRIMÔNIO LÍQUIDO (R$)</w:t>
            </w:r>
          </w:p>
        </w:tc>
        <w:tc>
          <w:tcPr>
            <w:tcW w:w="1066" w:type="pct"/>
            <w:gridSpan w:val="2"/>
            <w:tcBorders>
              <w:top w:val="nil"/>
              <w:left w:val="nil"/>
              <w:bottom w:val="nil"/>
              <w:right w:val="nil"/>
            </w:tcBorders>
            <w:shd w:val="clear" w:color="auto" w:fill="auto"/>
            <w:noWrap/>
            <w:vAlign w:val="bottom"/>
            <w:hideMark/>
          </w:tcPr>
          <w:p w14:paraId="61A03512" w14:textId="77777777" w:rsidR="007D40EC" w:rsidRPr="00A06450" w:rsidRDefault="007D40EC" w:rsidP="007D40EC">
            <w:pPr>
              <w:jc w:val="right"/>
              <w:rPr>
                <w:rFonts w:asciiTheme="majorHAnsi" w:hAnsiTheme="majorHAnsi" w:cstheme="majorHAnsi"/>
                <w:b/>
                <w:bCs/>
                <w:sz w:val="16"/>
                <w:szCs w:val="16"/>
              </w:rPr>
            </w:pPr>
            <w:r w:rsidRPr="00A06450">
              <w:rPr>
                <w:rFonts w:asciiTheme="majorHAnsi" w:hAnsiTheme="majorHAnsi" w:cstheme="majorHAnsi"/>
                <w:b/>
                <w:bCs/>
                <w:sz w:val="16"/>
                <w:szCs w:val="16"/>
              </w:rPr>
              <w:t>30/09/2022</w:t>
            </w:r>
          </w:p>
        </w:tc>
        <w:tc>
          <w:tcPr>
            <w:tcW w:w="927" w:type="pct"/>
            <w:gridSpan w:val="3"/>
            <w:tcBorders>
              <w:top w:val="nil"/>
              <w:left w:val="nil"/>
              <w:bottom w:val="nil"/>
              <w:right w:val="nil"/>
            </w:tcBorders>
            <w:shd w:val="clear" w:color="auto" w:fill="auto"/>
            <w:noWrap/>
            <w:vAlign w:val="bottom"/>
            <w:hideMark/>
          </w:tcPr>
          <w:p w14:paraId="5A20F131" w14:textId="77777777" w:rsidR="007D40EC" w:rsidRPr="00A06450" w:rsidRDefault="007D40EC" w:rsidP="007D40EC">
            <w:pPr>
              <w:jc w:val="right"/>
              <w:rPr>
                <w:rFonts w:asciiTheme="majorHAnsi" w:hAnsiTheme="majorHAnsi" w:cstheme="majorHAnsi"/>
                <w:b/>
                <w:bCs/>
                <w:sz w:val="16"/>
                <w:szCs w:val="16"/>
              </w:rPr>
            </w:pPr>
            <w:r w:rsidRPr="00A06450">
              <w:rPr>
                <w:rFonts w:asciiTheme="majorHAnsi" w:hAnsiTheme="majorHAnsi" w:cstheme="majorHAnsi"/>
                <w:b/>
                <w:bCs/>
                <w:sz w:val="16"/>
                <w:szCs w:val="16"/>
              </w:rPr>
              <w:t>31/12/2021</w:t>
            </w:r>
          </w:p>
        </w:tc>
        <w:tc>
          <w:tcPr>
            <w:tcW w:w="416" w:type="pct"/>
            <w:tcBorders>
              <w:top w:val="nil"/>
              <w:left w:val="nil"/>
              <w:bottom w:val="nil"/>
              <w:right w:val="nil"/>
            </w:tcBorders>
            <w:shd w:val="clear" w:color="auto" w:fill="auto"/>
            <w:noWrap/>
            <w:vAlign w:val="center"/>
            <w:hideMark/>
          </w:tcPr>
          <w:p w14:paraId="3CD1D618" w14:textId="77777777" w:rsidR="007D40EC" w:rsidRPr="00A06450" w:rsidRDefault="007D40EC" w:rsidP="007D40EC">
            <w:pPr>
              <w:jc w:val="right"/>
              <w:rPr>
                <w:rFonts w:asciiTheme="majorHAnsi" w:hAnsiTheme="majorHAnsi" w:cstheme="majorHAnsi"/>
                <w:b/>
                <w:bCs/>
                <w:sz w:val="16"/>
                <w:szCs w:val="16"/>
              </w:rPr>
            </w:pPr>
          </w:p>
        </w:tc>
      </w:tr>
      <w:tr w:rsidR="007D40EC" w14:paraId="3EC6D69B"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34B5C76B" w14:textId="77777777" w:rsidR="007D40EC" w:rsidRPr="00A06450" w:rsidRDefault="007D40EC" w:rsidP="007D40EC">
            <w:pPr>
              <w:jc w:val="center"/>
              <w:rPr>
                <w:rFonts w:asciiTheme="majorHAnsi" w:hAnsiTheme="majorHAnsi" w:cstheme="majorHAnsi"/>
                <w:sz w:val="16"/>
                <w:szCs w:val="16"/>
              </w:rPr>
            </w:pPr>
          </w:p>
        </w:tc>
        <w:tc>
          <w:tcPr>
            <w:tcW w:w="1066" w:type="pct"/>
            <w:gridSpan w:val="2"/>
            <w:tcBorders>
              <w:top w:val="nil"/>
              <w:left w:val="nil"/>
              <w:bottom w:val="nil"/>
              <w:right w:val="nil"/>
            </w:tcBorders>
            <w:shd w:val="clear" w:color="auto" w:fill="auto"/>
            <w:noWrap/>
            <w:vAlign w:val="bottom"/>
            <w:hideMark/>
          </w:tcPr>
          <w:p w14:paraId="3CB02445" w14:textId="77777777" w:rsidR="007D40EC" w:rsidRPr="00A06450" w:rsidRDefault="007D40EC" w:rsidP="007D40EC">
            <w:pPr>
              <w:jc w:val="right"/>
              <w:rPr>
                <w:rFonts w:asciiTheme="majorHAnsi" w:hAnsiTheme="majorHAnsi" w:cstheme="majorHAnsi"/>
                <w:sz w:val="16"/>
                <w:szCs w:val="16"/>
              </w:rPr>
            </w:pPr>
          </w:p>
        </w:tc>
        <w:tc>
          <w:tcPr>
            <w:tcW w:w="927" w:type="pct"/>
            <w:gridSpan w:val="3"/>
            <w:tcBorders>
              <w:top w:val="nil"/>
              <w:left w:val="nil"/>
              <w:bottom w:val="nil"/>
              <w:right w:val="nil"/>
            </w:tcBorders>
            <w:shd w:val="clear" w:color="auto" w:fill="auto"/>
            <w:noWrap/>
            <w:vAlign w:val="bottom"/>
            <w:hideMark/>
          </w:tcPr>
          <w:p w14:paraId="4C6C4115" w14:textId="77777777" w:rsidR="007D40EC" w:rsidRPr="00A06450" w:rsidRDefault="007D40EC" w:rsidP="007D40EC">
            <w:pPr>
              <w:jc w:val="right"/>
              <w:rPr>
                <w:rFonts w:asciiTheme="majorHAnsi" w:hAnsiTheme="majorHAnsi" w:cstheme="majorHAnsi"/>
                <w:sz w:val="16"/>
                <w:szCs w:val="16"/>
              </w:rPr>
            </w:pPr>
          </w:p>
        </w:tc>
        <w:tc>
          <w:tcPr>
            <w:tcW w:w="416" w:type="pct"/>
            <w:tcBorders>
              <w:top w:val="nil"/>
              <w:left w:val="nil"/>
              <w:bottom w:val="nil"/>
              <w:right w:val="nil"/>
            </w:tcBorders>
            <w:shd w:val="clear" w:color="auto" w:fill="auto"/>
            <w:noWrap/>
            <w:vAlign w:val="center"/>
            <w:hideMark/>
          </w:tcPr>
          <w:p w14:paraId="7009B08C" w14:textId="77777777" w:rsidR="007D40EC" w:rsidRPr="00A06450" w:rsidRDefault="007D40EC" w:rsidP="007D40EC">
            <w:pPr>
              <w:jc w:val="right"/>
              <w:rPr>
                <w:rFonts w:asciiTheme="majorHAnsi" w:hAnsiTheme="majorHAnsi" w:cstheme="majorHAnsi"/>
                <w:sz w:val="16"/>
                <w:szCs w:val="16"/>
              </w:rPr>
            </w:pPr>
          </w:p>
        </w:tc>
      </w:tr>
      <w:tr w:rsidR="007D40EC" w14:paraId="2505487D"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0B815671" w14:textId="77777777" w:rsidR="007D40EC" w:rsidRPr="00A06450" w:rsidRDefault="007D40EC" w:rsidP="007D40EC">
            <w:pPr>
              <w:rPr>
                <w:rFonts w:asciiTheme="majorHAnsi" w:hAnsiTheme="majorHAnsi" w:cstheme="majorHAnsi"/>
                <w:b/>
                <w:bCs/>
                <w:sz w:val="16"/>
                <w:szCs w:val="16"/>
              </w:rPr>
            </w:pPr>
            <w:r w:rsidRPr="00A06450">
              <w:rPr>
                <w:rFonts w:asciiTheme="majorHAnsi" w:hAnsiTheme="majorHAnsi" w:cstheme="majorHAnsi"/>
                <w:b/>
                <w:bCs/>
                <w:sz w:val="16"/>
                <w:szCs w:val="16"/>
              </w:rPr>
              <w:t>PASSIVO CIRCULANTE</w:t>
            </w:r>
          </w:p>
        </w:tc>
        <w:tc>
          <w:tcPr>
            <w:tcW w:w="1066" w:type="pct"/>
            <w:gridSpan w:val="2"/>
            <w:tcBorders>
              <w:top w:val="nil"/>
              <w:left w:val="nil"/>
              <w:bottom w:val="nil"/>
              <w:right w:val="nil"/>
            </w:tcBorders>
            <w:shd w:val="clear" w:color="auto" w:fill="auto"/>
            <w:noWrap/>
            <w:vAlign w:val="bottom"/>
            <w:hideMark/>
          </w:tcPr>
          <w:p w14:paraId="7BDDE744" w14:textId="77777777" w:rsidR="007D40EC" w:rsidRPr="00A06450" w:rsidRDefault="007D40EC" w:rsidP="007D40EC">
            <w:pPr>
              <w:jc w:val="right"/>
              <w:rPr>
                <w:rFonts w:asciiTheme="majorHAnsi" w:hAnsiTheme="majorHAnsi" w:cstheme="majorHAnsi"/>
                <w:b/>
                <w:bCs/>
                <w:sz w:val="16"/>
                <w:szCs w:val="16"/>
              </w:rPr>
            </w:pPr>
            <w:r w:rsidRPr="00A06450">
              <w:rPr>
                <w:rFonts w:asciiTheme="majorHAnsi" w:hAnsiTheme="majorHAnsi" w:cstheme="majorHAnsi"/>
                <w:b/>
                <w:bCs/>
                <w:sz w:val="16"/>
                <w:szCs w:val="16"/>
              </w:rPr>
              <w:t xml:space="preserve">                     151.747.065 </w:t>
            </w:r>
          </w:p>
        </w:tc>
        <w:tc>
          <w:tcPr>
            <w:tcW w:w="927" w:type="pct"/>
            <w:gridSpan w:val="3"/>
            <w:tcBorders>
              <w:top w:val="nil"/>
              <w:left w:val="nil"/>
              <w:bottom w:val="nil"/>
              <w:right w:val="nil"/>
            </w:tcBorders>
            <w:shd w:val="clear" w:color="auto" w:fill="auto"/>
            <w:noWrap/>
            <w:vAlign w:val="bottom"/>
            <w:hideMark/>
          </w:tcPr>
          <w:p w14:paraId="0AFE2114" w14:textId="77777777" w:rsidR="007D40EC" w:rsidRPr="00A06450" w:rsidRDefault="007D40EC" w:rsidP="007D40EC">
            <w:pPr>
              <w:jc w:val="right"/>
              <w:rPr>
                <w:rFonts w:asciiTheme="majorHAnsi" w:hAnsiTheme="majorHAnsi" w:cstheme="majorHAnsi"/>
                <w:b/>
                <w:bCs/>
                <w:sz w:val="16"/>
                <w:szCs w:val="16"/>
              </w:rPr>
            </w:pPr>
            <w:r w:rsidRPr="00A06450">
              <w:rPr>
                <w:rFonts w:asciiTheme="majorHAnsi" w:hAnsiTheme="majorHAnsi" w:cstheme="majorHAnsi"/>
                <w:b/>
                <w:bCs/>
                <w:sz w:val="16"/>
                <w:szCs w:val="16"/>
              </w:rPr>
              <w:t xml:space="preserve">               110.847.282 </w:t>
            </w:r>
          </w:p>
        </w:tc>
        <w:tc>
          <w:tcPr>
            <w:tcW w:w="416" w:type="pct"/>
            <w:tcBorders>
              <w:top w:val="nil"/>
              <w:left w:val="nil"/>
              <w:bottom w:val="nil"/>
              <w:right w:val="nil"/>
            </w:tcBorders>
            <w:shd w:val="clear" w:color="auto" w:fill="auto"/>
            <w:noWrap/>
            <w:vAlign w:val="center"/>
            <w:hideMark/>
          </w:tcPr>
          <w:p w14:paraId="5247BC07" w14:textId="77777777" w:rsidR="007D40EC" w:rsidRPr="00A06450" w:rsidRDefault="007D40EC" w:rsidP="007D40EC">
            <w:pPr>
              <w:jc w:val="right"/>
              <w:rPr>
                <w:rFonts w:asciiTheme="majorHAnsi" w:hAnsiTheme="majorHAnsi" w:cstheme="majorHAnsi"/>
                <w:b/>
                <w:bCs/>
                <w:sz w:val="16"/>
                <w:szCs w:val="16"/>
              </w:rPr>
            </w:pPr>
            <w:r w:rsidRPr="00A06450">
              <w:rPr>
                <w:rFonts w:asciiTheme="majorHAnsi" w:hAnsiTheme="majorHAnsi" w:cstheme="majorHAnsi"/>
                <w:b/>
                <w:bCs/>
                <w:sz w:val="16"/>
                <w:szCs w:val="16"/>
              </w:rPr>
              <w:t>Nota</w:t>
            </w:r>
          </w:p>
        </w:tc>
      </w:tr>
      <w:tr w:rsidR="007D40EC" w14:paraId="029EAB23"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56BAA51F"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Fornecedores</w:t>
            </w:r>
          </w:p>
        </w:tc>
        <w:tc>
          <w:tcPr>
            <w:tcW w:w="1066" w:type="pct"/>
            <w:gridSpan w:val="2"/>
            <w:tcBorders>
              <w:top w:val="nil"/>
              <w:left w:val="nil"/>
              <w:bottom w:val="nil"/>
              <w:right w:val="nil"/>
            </w:tcBorders>
            <w:shd w:val="clear" w:color="auto" w:fill="auto"/>
            <w:noWrap/>
            <w:vAlign w:val="bottom"/>
            <w:hideMark/>
          </w:tcPr>
          <w:p w14:paraId="515D7B90"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60.592 </w:t>
            </w:r>
          </w:p>
        </w:tc>
        <w:tc>
          <w:tcPr>
            <w:tcW w:w="927" w:type="pct"/>
            <w:gridSpan w:val="3"/>
            <w:tcBorders>
              <w:top w:val="nil"/>
              <w:left w:val="nil"/>
              <w:bottom w:val="nil"/>
              <w:right w:val="nil"/>
            </w:tcBorders>
            <w:shd w:val="clear" w:color="auto" w:fill="auto"/>
            <w:noWrap/>
            <w:vAlign w:val="bottom"/>
            <w:hideMark/>
          </w:tcPr>
          <w:p w14:paraId="0A5A3355"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35.830 </w:t>
            </w:r>
          </w:p>
        </w:tc>
        <w:tc>
          <w:tcPr>
            <w:tcW w:w="416" w:type="pct"/>
            <w:tcBorders>
              <w:top w:val="nil"/>
              <w:left w:val="nil"/>
              <w:bottom w:val="nil"/>
              <w:right w:val="nil"/>
            </w:tcBorders>
            <w:shd w:val="clear" w:color="auto" w:fill="auto"/>
            <w:noWrap/>
            <w:vAlign w:val="center"/>
            <w:hideMark/>
          </w:tcPr>
          <w:p w14:paraId="41700C8F"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(11a)</w:t>
            </w:r>
          </w:p>
        </w:tc>
      </w:tr>
      <w:tr w:rsidR="007D40EC" w14:paraId="5D648847"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1C180162"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Obrigações com pessoal</w:t>
            </w:r>
          </w:p>
        </w:tc>
        <w:tc>
          <w:tcPr>
            <w:tcW w:w="1066" w:type="pct"/>
            <w:gridSpan w:val="2"/>
            <w:tcBorders>
              <w:top w:val="nil"/>
              <w:left w:val="nil"/>
              <w:bottom w:val="nil"/>
              <w:right w:val="nil"/>
            </w:tcBorders>
            <w:shd w:val="clear" w:color="auto" w:fill="auto"/>
            <w:noWrap/>
            <w:vAlign w:val="bottom"/>
            <w:hideMark/>
          </w:tcPr>
          <w:p w14:paraId="5FF9D1C3"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27.569.915 </w:t>
            </w:r>
          </w:p>
        </w:tc>
        <w:tc>
          <w:tcPr>
            <w:tcW w:w="927" w:type="pct"/>
            <w:gridSpan w:val="3"/>
            <w:tcBorders>
              <w:top w:val="nil"/>
              <w:left w:val="nil"/>
              <w:bottom w:val="nil"/>
              <w:right w:val="nil"/>
            </w:tcBorders>
            <w:shd w:val="clear" w:color="auto" w:fill="auto"/>
            <w:noWrap/>
            <w:vAlign w:val="bottom"/>
            <w:hideMark/>
          </w:tcPr>
          <w:p w14:paraId="0DF1096C"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20.703.734 </w:t>
            </w:r>
          </w:p>
        </w:tc>
        <w:tc>
          <w:tcPr>
            <w:tcW w:w="416" w:type="pct"/>
            <w:tcBorders>
              <w:top w:val="nil"/>
              <w:left w:val="nil"/>
              <w:bottom w:val="nil"/>
              <w:right w:val="nil"/>
            </w:tcBorders>
            <w:shd w:val="clear" w:color="auto" w:fill="auto"/>
            <w:noWrap/>
            <w:vAlign w:val="center"/>
            <w:hideMark/>
          </w:tcPr>
          <w:p w14:paraId="73033711"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(11b)</w:t>
            </w:r>
          </w:p>
        </w:tc>
      </w:tr>
      <w:tr w:rsidR="007D40EC" w14:paraId="13C233B5"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74CCE46E"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Tributos retidos a recolher</w:t>
            </w:r>
          </w:p>
        </w:tc>
        <w:tc>
          <w:tcPr>
            <w:tcW w:w="1066" w:type="pct"/>
            <w:gridSpan w:val="2"/>
            <w:tcBorders>
              <w:top w:val="nil"/>
              <w:left w:val="nil"/>
              <w:bottom w:val="nil"/>
              <w:right w:val="nil"/>
            </w:tcBorders>
            <w:shd w:val="clear" w:color="auto" w:fill="auto"/>
            <w:noWrap/>
            <w:vAlign w:val="bottom"/>
            <w:hideMark/>
          </w:tcPr>
          <w:p w14:paraId="73644B97"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581.708 </w:t>
            </w:r>
          </w:p>
        </w:tc>
        <w:tc>
          <w:tcPr>
            <w:tcW w:w="927" w:type="pct"/>
            <w:gridSpan w:val="3"/>
            <w:tcBorders>
              <w:top w:val="nil"/>
              <w:left w:val="nil"/>
              <w:bottom w:val="nil"/>
              <w:right w:val="nil"/>
            </w:tcBorders>
            <w:shd w:val="clear" w:color="auto" w:fill="auto"/>
            <w:noWrap/>
            <w:vAlign w:val="bottom"/>
            <w:hideMark/>
          </w:tcPr>
          <w:p w14:paraId="69B4D4F7"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295.239 </w:t>
            </w:r>
          </w:p>
        </w:tc>
        <w:tc>
          <w:tcPr>
            <w:tcW w:w="416" w:type="pct"/>
            <w:tcBorders>
              <w:top w:val="nil"/>
              <w:left w:val="nil"/>
              <w:bottom w:val="nil"/>
              <w:right w:val="nil"/>
            </w:tcBorders>
            <w:shd w:val="clear" w:color="auto" w:fill="auto"/>
            <w:noWrap/>
            <w:vAlign w:val="center"/>
            <w:hideMark/>
          </w:tcPr>
          <w:p w14:paraId="595B0456" w14:textId="77777777" w:rsidR="007D40EC" w:rsidRPr="00A06450" w:rsidRDefault="007D40EC" w:rsidP="007D40EC">
            <w:pPr>
              <w:jc w:val="right"/>
              <w:rPr>
                <w:rFonts w:asciiTheme="majorHAnsi" w:hAnsiTheme="majorHAnsi" w:cstheme="majorHAnsi"/>
                <w:sz w:val="16"/>
                <w:szCs w:val="16"/>
              </w:rPr>
            </w:pPr>
          </w:p>
        </w:tc>
      </w:tr>
      <w:tr w:rsidR="007D40EC" w14:paraId="5B6FF72C"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1C465FC7"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Receita a diferir - Subconcessão FIOL</w:t>
            </w:r>
          </w:p>
        </w:tc>
        <w:tc>
          <w:tcPr>
            <w:tcW w:w="1066" w:type="pct"/>
            <w:gridSpan w:val="2"/>
            <w:tcBorders>
              <w:top w:val="nil"/>
              <w:left w:val="nil"/>
              <w:bottom w:val="nil"/>
              <w:right w:val="nil"/>
            </w:tcBorders>
            <w:shd w:val="clear" w:color="auto" w:fill="auto"/>
            <w:noWrap/>
            <w:vAlign w:val="bottom"/>
            <w:hideMark/>
          </w:tcPr>
          <w:p w14:paraId="52D51189"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2.182.000 </w:t>
            </w:r>
          </w:p>
        </w:tc>
        <w:tc>
          <w:tcPr>
            <w:tcW w:w="927" w:type="pct"/>
            <w:gridSpan w:val="3"/>
            <w:tcBorders>
              <w:top w:val="nil"/>
              <w:left w:val="nil"/>
              <w:bottom w:val="nil"/>
              <w:right w:val="nil"/>
            </w:tcBorders>
            <w:shd w:val="clear" w:color="auto" w:fill="auto"/>
            <w:noWrap/>
            <w:vAlign w:val="bottom"/>
            <w:hideMark/>
          </w:tcPr>
          <w:p w14:paraId="530E901B"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2.182.000 </w:t>
            </w:r>
          </w:p>
        </w:tc>
        <w:tc>
          <w:tcPr>
            <w:tcW w:w="416" w:type="pct"/>
            <w:tcBorders>
              <w:top w:val="nil"/>
              <w:left w:val="nil"/>
              <w:bottom w:val="nil"/>
              <w:right w:val="nil"/>
            </w:tcBorders>
            <w:shd w:val="clear" w:color="auto" w:fill="auto"/>
            <w:noWrap/>
            <w:vAlign w:val="center"/>
            <w:hideMark/>
          </w:tcPr>
          <w:p w14:paraId="70BB45C1" w14:textId="1F7FE4A9"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(14</w:t>
            </w:r>
            <w:r>
              <w:rPr>
                <w:rFonts w:asciiTheme="majorHAnsi" w:hAnsiTheme="majorHAnsi" w:cstheme="majorHAnsi"/>
                <w:sz w:val="16"/>
                <w:szCs w:val="16"/>
              </w:rPr>
              <w:t>b</w:t>
            </w:r>
            <w:r w:rsidRPr="00A06450">
              <w:rPr>
                <w:rFonts w:asciiTheme="majorHAnsi" w:hAnsiTheme="majorHAnsi" w:cstheme="majorHAnsi"/>
                <w:sz w:val="16"/>
                <w:szCs w:val="16"/>
              </w:rPr>
              <w:t>)</w:t>
            </w:r>
          </w:p>
        </w:tc>
      </w:tr>
      <w:tr w:rsidR="007D40EC" w14:paraId="55FE5E08"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716A28C6"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Receita a diferir - Pátios e Terminais</w:t>
            </w:r>
          </w:p>
        </w:tc>
        <w:tc>
          <w:tcPr>
            <w:tcW w:w="1066" w:type="pct"/>
            <w:gridSpan w:val="2"/>
            <w:tcBorders>
              <w:top w:val="nil"/>
              <w:left w:val="nil"/>
              <w:bottom w:val="nil"/>
              <w:right w:val="nil"/>
            </w:tcBorders>
            <w:shd w:val="clear" w:color="auto" w:fill="auto"/>
            <w:noWrap/>
            <w:vAlign w:val="bottom"/>
            <w:hideMark/>
          </w:tcPr>
          <w:p w14:paraId="10AB3350"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3.278.462 </w:t>
            </w:r>
          </w:p>
        </w:tc>
        <w:tc>
          <w:tcPr>
            <w:tcW w:w="927" w:type="pct"/>
            <w:gridSpan w:val="3"/>
            <w:tcBorders>
              <w:top w:val="nil"/>
              <w:left w:val="nil"/>
              <w:bottom w:val="nil"/>
              <w:right w:val="nil"/>
            </w:tcBorders>
            <w:shd w:val="clear" w:color="auto" w:fill="auto"/>
            <w:noWrap/>
            <w:vAlign w:val="bottom"/>
            <w:hideMark/>
          </w:tcPr>
          <w:p w14:paraId="12DC2F73"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3.031.892 </w:t>
            </w:r>
          </w:p>
        </w:tc>
        <w:tc>
          <w:tcPr>
            <w:tcW w:w="416" w:type="pct"/>
            <w:tcBorders>
              <w:top w:val="nil"/>
              <w:left w:val="nil"/>
              <w:bottom w:val="nil"/>
              <w:right w:val="nil"/>
            </w:tcBorders>
            <w:shd w:val="clear" w:color="auto" w:fill="auto"/>
            <w:noWrap/>
            <w:vAlign w:val="center"/>
            <w:hideMark/>
          </w:tcPr>
          <w:p w14:paraId="241508C6"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(14a) </w:t>
            </w:r>
          </w:p>
        </w:tc>
      </w:tr>
      <w:tr w:rsidR="007D40EC" w14:paraId="0F8D1DC7"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1A6A4B66"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Precatórios de Terceiros</w:t>
            </w:r>
          </w:p>
        </w:tc>
        <w:tc>
          <w:tcPr>
            <w:tcW w:w="1066" w:type="pct"/>
            <w:gridSpan w:val="2"/>
            <w:tcBorders>
              <w:top w:val="nil"/>
              <w:left w:val="nil"/>
              <w:bottom w:val="nil"/>
              <w:right w:val="nil"/>
            </w:tcBorders>
            <w:shd w:val="clear" w:color="auto" w:fill="auto"/>
            <w:noWrap/>
            <w:vAlign w:val="bottom"/>
            <w:hideMark/>
          </w:tcPr>
          <w:p w14:paraId="7ADB5082"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1.319.956 </w:t>
            </w:r>
          </w:p>
        </w:tc>
        <w:tc>
          <w:tcPr>
            <w:tcW w:w="927" w:type="pct"/>
            <w:gridSpan w:val="3"/>
            <w:tcBorders>
              <w:top w:val="nil"/>
              <w:left w:val="nil"/>
              <w:bottom w:val="nil"/>
              <w:right w:val="nil"/>
            </w:tcBorders>
            <w:shd w:val="clear" w:color="auto" w:fill="auto"/>
            <w:noWrap/>
            <w:vAlign w:val="bottom"/>
            <w:hideMark/>
          </w:tcPr>
          <w:p w14:paraId="4AAC7DDE"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679.957 </w:t>
            </w:r>
          </w:p>
        </w:tc>
        <w:tc>
          <w:tcPr>
            <w:tcW w:w="416" w:type="pct"/>
            <w:tcBorders>
              <w:top w:val="nil"/>
              <w:left w:val="nil"/>
              <w:bottom w:val="nil"/>
              <w:right w:val="nil"/>
            </w:tcBorders>
            <w:shd w:val="clear" w:color="auto" w:fill="auto"/>
            <w:noWrap/>
            <w:vAlign w:val="center"/>
            <w:hideMark/>
          </w:tcPr>
          <w:p w14:paraId="56658431"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(13a)</w:t>
            </w:r>
          </w:p>
        </w:tc>
      </w:tr>
      <w:tr w:rsidR="007D40EC" w14:paraId="7232CCA7"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33BC03D5"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Provisões para Contingências Judiciais</w:t>
            </w:r>
          </w:p>
        </w:tc>
        <w:tc>
          <w:tcPr>
            <w:tcW w:w="1066" w:type="pct"/>
            <w:gridSpan w:val="2"/>
            <w:tcBorders>
              <w:top w:val="nil"/>
              <w:left w:val="nil"/>
              <w:bottom w:val="nil"/>
              <w:right w:val="nil"/>
            </w:tcBorders>
            <w:shd w:val="clear" w:color="auto" w:fill="auto"/>
            <w:noWrap/>
            <w:vAlign w:val="bottom"/>
            <w:hideMark/>
          </w:tcPr>
          <w:p w14:paraId="4EEBC01F"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93.770.107 </w:t>
            </w:r>
          </w:p>
        </w:tc>
        <w:tc>
          <w:tcPr>
            <w:tcW w:w="927" w:type="pct"/>
            <w:gridSpan w:val="3"/>
            <w:tcBorders>
              <w:top w:val="nil"/>
              <w:left w:val="nil"/>
              <w:bottom w:val="nil"/>
              <w:right w:val="nil"/>
            </w:tcBorders>
            <w:shd w:val="clear" w:color="auto" w:fill="auto"/>
            <w:noWrap/>
            <w:vAlign w:val="bottom"/>
            <w:hideMark/>
          </w:tcPr>
          <w:p w14:paraId="45363283"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79.197.230 </w:t>
            </w:r>
          </w:p>
        </w:tc>
        <w:tc>
          <w:tcPr>
            <w:tcW w:w="416" w:type="pct"/>
            <w:tcBorders>
              <w:top w:val="nil"/>
              <w:left w:val="nil"/>
              <w:bottom w:val="nil"/>
              <w:right w:val="nil"/>
            </w:tcBorders>
            <w:shd w:val="clear" w:color="auto" w:fill="auto"/>
            <w:noWrap/>
            <w:vAlign w:val="center"/>
            <w:hideMark/>
          </w:tcPr>
          <w:p w14:paraId="4B3CAFD8"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(12b)</w:t>
            </w:r>
          </w:p>
        </w:tc>
      </w:tr>
      <w:tr w:rsidR="007D40EC" w:rsidRPr="009E7AA5" w14:paraId="3998A533"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21E2250C" w14:textId="77777777" w:rsidR="007D40EC" w:rsidRPr="009E7AA5" w:rsidRDefault="007D40EC" w:rsidP="007D40EC">
            <w:pPr>
              <w:rPr>
                <w:rFonts w:asciiTheme="majorHAnsi" w:hAnsiTheme="majorHAnsi" w:cstheme="majorHAnsi"/>
                <w:sz w:val="16"/>
                <w:szCs w:val="16"/>
              </w:rPr>
            </w:pPr>
            <w:r w:rsidRPr="009E7AA5">
              <w:rPr>
                <w:rFonts w:asciiTheme="majorHAnsi" w:hAnsiTheme="majorHAnsi" w:cstheme="majorHAnsi"/>
                <w:sz w:val="16"/>
                <w:szCs w:val="16"/>
              </w:rPr>
              <w:t xml:space="preserve">        Termo de Execução Descentralizada</w:t>
            </w:r>
          </w:p>
        </w:tc>
        <w:tc>
          <w:tcPr>
            <w:tcW w:w="1066" w:type="pct"/>
            <w:gridSpan w:val="2"/>
            <w:tcBorders>
              <w:top w:val="nil"/>
              <w:left w:val="nil"/>
              <w:bottom w:val="nil"/>
              <w:right w:val="nil"/>
            </w:tcBorders>
            <w:shd w:val="clear" w:color="auto" w:fill="auto"/>
            <w:noWrap/>
            <w:vAlign w:val="bottom"/>
            <w:hideMark/>
          </w:tcPr>
          <w:p w14:paraId="7BB3F2EE" w14:textId="77777777" w:rsidR="007D40EC" w:rsidRPr="009E7AA5" w:rsidRDefault="007D40EC" w:rsidP="007D40EC">
            <w:pPr>
              <w:jc w:val="right"/>
              <w:rPr>
                <w:rFonts w:asciiTheme="majorHAnsi" w:hAnsiTheme="majorHAnsi" w:cstheme="majorHAnsi"/>
                <w:sz w:val="16"/>
                <w:szCs w:val="16"/>
              </w:rPr>
            </w:pPr>
            <w:r w:rsidRPr="009E7AA5">
              <w:rPr>
                <w:rFonts w:asciiTheme="majorHAnsi" w:hAnsiTheme="majorHAnsi" w:cstheme="majorHAnsi"/>
                <w:sz w:val="16"/>
                <w:szCs w:val="16"/>
              </w:rPr>
              <w:t xml:space="preserve">                       17.145.161 </w:t>
            </w:r>
          </w:p>
        </w:tc>
        <w:tc>
          <w:tcPr>
            <w:tcW w:w="927" w:type="pct"/>
            <w:gridSpan w:val="3"/>
            <w:tcBorders>
              <w:top w:val="nil"/>
              <w:left w:val="nil"/>
              <w:bottom w:val="nil"/>
              <w:right w:val="nil"/>
            </w:tcBorders>
            <w:shd w:val="clear" w:color="auto" w:fill="auto"/>
            <w:noWrap/>
            <w:vAlign w:val="bottom"/>
            <w:hideMark/>
          </w:tcPr>
          <w:p w14:paraId="417B8FCB" w14:textId="5C2F4AB6" w:rsidR="007D40EC" w:rsidRPr="009E7AA5" w:rsidRDefault="002D478B" w:rsidP="007D40EC">
            <w:pPr>
              <w:jc w:val="right"/>
              <w:rPr>
                <w:rFonts w:asciiTheme="majorHAnsi" w:hAnsiTheme="majorHAnsi" w:cstheme="majorHAnsi"/>
                <w:sz w:val="16"/>
                <w:szCs w:val="16"/>
              </w:rPr>
            </w:pPr>
            <w:r w:rsidRPr="009E7AA5">
              <w:rPr>
                <w:rFonts w:asciiTheme="majorHAnsi" w:hAnsiTheme="majorHAnsi" w:cstheme="majorHAnsi"/>
                <w:sz w:val="16"/>
                <w:szCs w:val="16"/>
              </w:rPr>
              <w:t>-</w:t>
            </w:r>
          </w:p>
        </w:tc>
        <w:tc>
          <w:tcPr>
            <w:tcW w:w="416" w:type="pct"/>
            <w:tcBorders>
              <w:top w:val="nil"/>
              <w:left w:val="nil"/>
              <w:bottom w:val="nil"/>
              <w:right w:val="nil"/>
            </w:tcBorders>
            <w:shd w:val="clear" w:color="auto" w:fill="auto"/>
            <w:noWrap/>
            <w:vAlign w:val="center"/>
            <w:hideMark/>
          </w:tcPr>
          <w:p w14:paraId="3C4837FC" w14:textId="77777777" w:rsidR="007D40EC" w:rsidRPr="009E7AA5" w:rsidRDefault="007D40EC" w:rsidP="007D40EC">
            <w:pPr>
              <w:jc w:val="right"/>
              <w:rPr>
                <w:rFonts w:asciiTheme="majorHAnsi" w:hAnsiTheme="majorHAnsi" w:cstheme="majorHAnsi"/>
                <w:sz w:val="16"/>
                <w:szCs w:val="16"/>
              </w:rPr>
            </w:pPr>
            <w:r w:rsidRPr="009E7AA5">
              <w:rPr>
                <w:rFonts w:asciiTheme="majorHAnsi" w:hAnsiTheme="majorHAnsi" w:cstheme="majorHAnsi"/>
                <w:sz w:val="16"/>
                <w:szCs w:val="16"/>
              </w:rPr>
              <w:t>(4c)</w:t>
            </w:r>
          </w:p>
        </w:tc>
      </w:tr>
      <w:tr w:rsidR="007D40EC" w:rsidRPr="009E7AA5" w14:paraId="52227929"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30066986" w14:textId="77777777" w:rsidR="007D40EC" w:rsidRPr="009E7AA5" w:rsidRDefault="007D40EC" w:rsidP="007D40EC">
            <w:pPr>
              <w:rPr>
                <w:rFonts w:asciiTheme="majorHAnsi" w:hAnsiTheme="majorHAnsi" w:cstheme="majorHAnsi"/>
                <w:sz w:val="16"/>
                <w:szCs w:val="16"/>
              </w:rPr>
            </w:pPr>
            <w:r w:rsidRPr="009E7AA5">
              <w:rPr>
                <w:rFonts w:asciiTheme="majorHAnsi" w:hAnsiTheme="majorHAnsi" w:cstheme="majorHAnsi"/>
                <w:sz w:val="16"/>
                <w:szCs w:val="16"/>
              </w:rPr>
              <w:t xml:space="preserve">        Passivo de Arrendamento Líquido de Juros a Transcorrer</w:t>
            </w:r>
          </w:p>
        </w:tc>
        <w:tc>
          <w:tcPr>
            <w:tcW w:w="1066" w:type="pct"/>
            <w:gridSpan w:val="2"/>
            <w:tcBorders>
              <w:top w:val="nil"/>
              <w:left w:val="nil"/>
              <w:bottom w:val="nil"/>
              <w:right w:val="nil"/>
            </w:tcBorders>
            <w:shd w:val="clear" w:color="auto" w:fill="auto"/>
            <w:noWrap/>
            <w:vAlign w:val="bottom"/>
            <w:hideMark/>
          </w:tcPr>
          <w:p w14:paraId="010B04E9" w14:textId="77777777" w:rsidR="007D40EC" w:rsidRPr="009E7AA5" w:rsidRDefault="007D40EC" w:rsidP="007D40EC">
            <w:pPr>
              <w:jc w:val="right"/>
              <w:rPr>
                <w:rFonts w:asciiTheme="majorHAnsi" w:hAnsiTheme="majorHAnsi" w:cstheme="majorHAnsi"/>
                <w:sz w:val="16"/>
                <w:szCs w:val="16"/>
              </w:rPr>
            </w:pPr>
            <w:r w:rsidRPr="009E7AA5">
              <w:rPr>
                <w:rFonts w:asciiTheme="majorHAnsi" w:hAnsiTheme="majorHAnsi" w:cstheme="majorHAnsi"/>
                <w:sz w:val="16"/>
                <w:szCs w:val="16"/>
              </w:rPr>
              <w:t xml:space="preserve">                         5.839.163 </w:t>
            </w:r>
          </w:p>
        </w:tc>
        <w:tc>
          <w:tcPr>
            <w:tcW w:w="927" w:type="pct"/>
            <w:gridSpan w:val="3"/>
            <w:tcBorders>
              <w:top w:val="nil"/>
              <w:left w:val="nil"/>
              <w:bottom w:val="nil"/>
              <w:right w:val="nil"/>
            </w:tcBorders>
            <w:shd w:val="clear" w:color="auto" w:fill="auto"/>
            <w:noWrap/>
            <w:vAlign w:val="bottom"/>
            <w:hideMark/>
          </w:tcPr>
          <w:p w14:paraId="1EC82036" w14:textId="77777777" w:rsidR="007D40EC" w:rsidRPr="009E7AA5" w:rsidRDefault="007D40EC" w:rsidP="007D40EC">
            <w:pPr>
              <w:jc w:val="right"/>
              <w:rPr>
                <w:rFonts w:asciiTheme="majorHAnsi" w:hAnsiTheme="majorHAnsi" w:cstheme="majorHAnsi"/>
                <w:sz w:val="16"/>
                <w:szCs w:val="16"/>
              </w:rPr>
            </w:pPr>
            <w:r w:rsidRPr="009E7AA5">
              <w:rPr>
                <w:rFonts w:asciiTheme="majorHAnsi" w:hAnsiTheme="majorHAnsi" w:cstheme="majorHAnsi"/>
                <w:sz w:val="16"/>
                <w:szCs w:val="16"/>
              </w:rPr>
              <w:t xml:space="preserve">                   4.721.400 </w:t>
            </w:r>
          </w:p>
        </w:tc>
        <w:tc>
          <w:tcPr>
            <w:tcW w:w="416" w:type="pct"/>
            <w:tcBorders>
              <w:top w:val="nil"/>
              <w:left w:val="nil"/>
              <w:bottom w:val="nil"/>
              <w:right w:val="nil"/>
            </w:tcBorders>
            <w:shd w:val="clear" w:color="auto" w:fill="auto"/>
            <w:noWrap/>
            <w:vAlign w:val="center"/>
            <w:hideMark/>
          </w:tcPr>
          <w:p w14:paraId="7E88689E" w14:textId="77777777" w:rsidR="007D40EC" w:rsidRPr="009E7AA5" w:rsidRDefault="007D40EC" w:rsidP="007D40EC">
            <w:pPr>
              <w:jc w:val="right"/>
              <w:rPr>
                <w:rFonts w:asciiTheme="majorHAnsi" w:hAnsiTheme="majorHAnsi" w:cstheme="majorHAnsi"/>
                <w:sz w:val="16"/>
                <w:szCs w:val="16"/>
              </w:rPr>
            </w:pPr>
            <w:r w:rsidRPr="009E7AA5">
              <w:rPr>
                <w:rFonts w:asciiTheme="majorHAnsi" w:hAnsiTheme="majorHAnsi" w:cstheme="majorHAnsi"/>
                <w:sz w:val="16"/>
                <w:szCs w:val="16"/>
              </w:rPr>
              <w:t>(16)</w:t>
            </w:r>
          </w:p>
        </w:tc>
      </w:tr>
      <w:tr w:rsidR="007D40EC" w14:paraId="6FFDDA65"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32F91A06" w14:textId="77777777" w:rsidR="007D40EC" w:rsidRPr="00A06450" w:rsidRDefault="007D40EC" w:rsidP="007D40EC">
            <w:pPr>
              <w:rPr>
                <w:rFonts w:asciiTheme="majorHAnsi" w:hAnsiTheme="majorHAnsi" w:cstheme="majorHAnsi"/>
                <w:b/>
                <w:bCs/>
                <w:sz w:val="16"/>
                <w:szCs w:val="16"/>
              </w:rPr>
            </w:pPr>
            <w:r w:rsidRPr="00A06450">
              <w:rPr>
                <w:rFonts w:asciiTheme="majorHAnsi" w:hAnsiTheme="majorHAnsi" w:cstheme="majorHAnsi"/>
                <w:b/>
                <w:bCs/>
                <w:sz w:val="16"/>
                <w:szCs w:val="16"/>
              </w:rPr>
              <w:t>PASSIVO NÃO CIRCULANTE</w:t>
            </w:r>
          </w:p>
        </w:tc>
        <w:tc>
          <w:tcPr>
            <w:tcW w:w="1066" w:type="pct"/>
            <w:gridSpan w:val="2"/>
            <w:tcBorders>
              <w:top w:val="nil"/>
              <w:left w:val="nil"/>
              <w:bottom w:val="nil"/>
              <w:right w:val="nil"/>
            </w:tcBorders>
            <w:shd w:val="clear" w:color="auto" w:fill="auto"/>
            <w:noWrap/>
            <w:vAlign w:val="bottom"/>
            <w:hideMark/>
          </w:tcPr>
          <w:p w14:paraId="19681F11" w14:textId="77777777" w:rsidR="007D40EC" w:rsidRPr="00A06450" w:rsidRDefault="007D40EC" w:rsidP="007D40EC">
            <w:pPr>
              <w:jc w:val="right"/>
              <w:rPr>
                <w:rFonts w:asciiTheme="majorHAnsi" w:hAnsiTheme="majorHAnsi" w:cstheme="majorHAnsi"/>
                <w:b/>
                <w:bCs/>
                <w:sz w:val="16"/>
                <w:szCs w:val="16"/>
              </w:rPr>
            </w:pPr>
            <w:r w:rsidRPr="00A06450">
              <w:rPr>
                <w:rFonts w:asciiTheme="majorHAnsi" w:hAnsiTheme="majorHAnsi" w:cstheme="majorHAnsi"/>
                <w:b/>
                <w:bCs/>
                <w:sz w:val="16"/>
                <w:szCs w:val="16"/>
              </w:rPr>
              <w:t xml:space="preserve">                 2.478.905.487 </w:t>
            </w:r>
          </w:p>
        </w:tc>
        <w:tc>
          <w:tcPr>
            <w:tcW w:w="927" w:type="pct"/>
            <w:gridSpan w:val="3"/>
            <w:tcBorders>
              <w:top w:val="nil"/>
              <w:left w:val="nil"/>
              <w:bottom w:val="nil"/>
              <w:right w:val="nil"/>
            </w:tcBorders>
            <w:shd w:val="clear" w:color="auto" w:fill="auto"/>
            <w:noWrap/>
            <w:vAlign w:val="bottom"/>
            <w:hideMark/>
          </w:tcPr>
          <w:p w14:paraId="4A7C7C35" w14:textId="77777777" w:rsidR="007D40EC" w:rsidRPr="00A06450" w:rsidRDefault="007D40EC" w:rsidP="007D40EC">
            <w:pPr>
              <w:jc w:val="right"/>
              <w:rPr>
                <w:rFonts w:asciiTheme="majorHAnsi" w:hAnsiTheme="majorHAnsi" w:cstheme="majorHAnsi"/>
                <w:b/>
                <w:bCs/>
                <w:sz w:val="16"/>
                <w:szCs w:val="16"/>
              </w:rPr>
            </w:pPr>
            <w:r w:rsidRPr="00A06450">
              <w:rPr>
                <w:rFonts w:asciiTheme="majorHAnsi" w:hAnsiTheme="majorHAnsi" w:cstheme="majorHAnsi"/>
                <w:b/>
                <w:bCs/>
                <w:sz w:val="16"/>
                <w:szCs w:val="16"/>
              </w:rPr>
              <w:t xml:space="preserve">            2.267.619.862 </w:t>
            </w:r>
          </w:p>
        </w:tc>
        <w:tc>
          <w:tcPr>
            <w:tcW w:w="416" w:type="pct"/>
            <w:tcBorders>
              <w:top w:val="nil"/>
              <w:left w:val="nil"/>
              <w:bottom w:val="nil"/>
              <w:right w:val="nil"/>
            </w:tcBorders>
            <w:shd w:val="clear" w:color="auto" w:fill="auto"/>
            <w:noWrap/>
            <w:vAlign w:val="center"/>
            <w:hideMark/>
          </w:tcPr>
          <w:p w14:paraId="24B5DD77" w14:textId="77777777" w:rsidR="007D40EC" w:rsidRPr="00A06450" w:rsidRDefault="007D40EC" w:rsidP="007D40EC">
            <w:pPr>
              <w:jc w:val="right"/>
              <w:rPr>
                <w:rFonts w:asciiTheme="majorHAnsi" w:hAnsiTheme="majorHAnsi" w:cstheme="majorHAnsi"/>
                <w:b/>
                <w:bCs/>
                <w:sz w:val="16"/>
                <w:szCs w:val="16"/>
              </w:rPr>
            </w:pPr>
          </w:p>
        </w:tc>
      </w:tr>
      <w:tr w:rsidR="007D40EC" w14:paraId="32936104"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78B04F6C"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Fornecedores</w:t>
            </w:r>
          </w:p>
        </w:tc>
        <w:tc>
          <w:tcPr>
            <w:tcW w:w="1066" w:type="pct"/>
            <w:gridSpan w:val="2"/>
            <w:tcBorders>
              <w:top w:val="nil"/>
              <w:left w:val="nil"/>
              <w:bottom w:val="nil"/>
              <w:right w:val="nil"/>
            </w:tcBorders>
            <w:shd w:val="clear" w:color="auto" w:fill="auto"/>
            <w:noWrap/>
            <w:vAlign w:val="bottom"/>
            <w:hideMark/>
          </w:tcPr>
          <w:p w14:paraId="1EE3D075"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3.077.451 </w:t>
            </w:r>
          </w:p>
        </w:tc>
        <w:tc>
          <w:tcPr>
            <w:tcW w:w="927" w:type="pct"/>
            <w:gridSpan w:val="3"/>
            <w:tcBorders>
              <w:top w:val="nil"/>
              <w:left w:val="nil"/>
              <w:bottom w:val="nil"/>
              <w:right w:val="nil"/>
            </w:tcBorders>
            <w:shd w:val="clear" w:color="auto" w:fill="auto"/>
            <w:noWrap/>
            <w:vAlign w:val="bottom"/>
            <w:hideMark/>
          </w:tcPr>
          <w:p w14:paraId="24C0D379"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3.077.451 </w:t>
            </w:r>
          </w:p>
        </w:tc>
        <w:tc>
          <w:tcPr>
            <w:tcW w:w="416" w:type="pct"/>
            <w:tcBorders>
              <w:top w:val="nil"/>
              <w:left w:val="nil"/>
              <w:bottom w:val="nil"/>
              <w:right w:val="nil"/>
            </w:tcBorders>
            <w:shd w:val="clear" w:color="auto" w:fill="auto"/>
            <w:noWrap/>
            <w:vAlign w:val="center"/>
            <w:hideMark/>
          </w:tcPr>
          <w:p w14:paraId="147DA0ED" w14:textId="77777777" w:rsidR="007D40EC" w:rsidRPr="00A06450" w:rsidRDefault="007D40EC" w:rsidP="007D40EC">
            <w:pPr>
              <w:jc w:val="right"/>
              <w:rPr>
                <w:rFonts w:asciiTheme="majorHAnsi" w:hAnsiTheme="majorHAnsi" w:cstheme="majorHAnsi"/>
                <w:sz w:val="16"/>
                <w:szCs w:val="16"/>
              </w:rPr>
            </w:pPr>
          </w:p>
        </w:tc>
      </w:tr>
      <w:tr w:rsidR="007D40EC" w14:paraId="5F52EA4E"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5AFDA3C7"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Depósitos retidos sobre fornecedores</w:t>
            </w:r>
          </w:p>
        </w:tc>
        <w:tc>
          <w:tcPr>
            <w:tcW w:w="1066" w:type="pct"/>
            <w:gridSpan w:val="2"/>
            <w:tcBorders>
              <w:top w:val="nil"/>
              <w:left w:val="nil"/>
              <w:bottom w:val="nil"/>
              <w:right w:val="nil"/>
            </w:tcBorders>
            <w:shd w:val="clear" w:color="auto" w:fill="auto"/>
            <w:noWrap/>
            <w:vAlign w:val="bottom"/>
            <w:hideMark/>
          </w:tcPr>
          <w:p w14:paraId="4F80F484"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26.775.816 </w:t>
            </w:r>
          </w:p>
        </w:tc>
        <w:tc>
          <w:tcPr>
            <w:tcW w:w="927" w:type="pct"/>
            <w:gridSpan w:val="3"/>
            <w:tcBorders>
              <w:top w:val="nil"/>
              <w:left w:val="nil"/>
              <w:bottom w:val="nil"/>
              <w:right w:val="nil"/>
            </w:tcBorders>
            <w:shd w:val="clear" w:color="auto" w:fill="auto"/>
            <w:noWrap/>
            <w:vAlign w:val="bottom"/>
            <w:hideMark/>
          </w:tcPr>
          <w:p w14:paraId="21314306"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27.082.990 </w:t>
            </w:r>
          </w:p>
        </w:tc>
        <w:tc>
          <w:tcPr>
            <w:tcW w:w="416" w:type="pct"/>
            <w:tcBorders>
              <w:top w:val="nil"/>
              <w:left w:val="nil"/>
              <w:bottom w:val="nil"/>
              <w:right w:val="nil"/>
            </w:tcBorders>
            <w:shd w:val="clear" w:color="auto" w:fill="auto"/>
            <w:noWrap/>
            <w:vAlign w:val="center"/>
            <w:hideMark/>
          </w:tcPr>
          <w:p w14:paraId="79E4F333"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(12a)</w:t>
            </w:r>
          </w:p>
        </w:tc>
      </w:tr>
      <w:tr w:rsidR="007D40EC" w14:paraId="56C08DE7"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0AF39911"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Provisões para Contingências Judiciais</w:t>
            </w:r>
          </w:p>
        </w:tc>
        <w:tc>
          <w:tcPr>
            <w:tcW w:w="1066" w:type="pct"/>
            <w:gridSpan w:val="2"/>
            <w:tcBorders>
              <w:top w:val="nil"/>
              <w:left w:val="nil"/>
              <w:bottom w:val="nil"/>
              <w:right w:val="nil"/>
            </w:tcBorders>
            <w:shd w:val="clear" w:color="auto" w:fill="auto"/>
            <w:noWrap/>
            <w:vAlign w:val="bottom"/>
            <w:hideMark/>
          </w:tcPr>
          <w:p w14:paraId="3E43D5C7"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1.850.410.136 </w:t>
            </w:r>
          </w:p>
        </w:tc>
        <w:tc>
          <w:tcPr>
            <w:tcW w:w="927" w:type="pct"/>
            <w:gridSpan w:val="3"/>
            <w:tcBorders>
              <w:top w:val="nil"/>
              <w:left w:val="nil"/>
              <w:bottom w:val="nil"/>
              <w:right w:val="nil"/>
            </w:tcBorders>
            <w:shd w:val="clear" w:color="auto" w:fill="auto"/>
            <w:noWrap/>
            <w:vAlign w:val="bottom"/>
            <w:hideMark/>
          </w:tcPr>
          <w:p w14:paraId="4B6CFA66"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1.892.365.689 </w:t>
            </w:r>
          </w:p>
        </w:tc>
        <w:tc>
          <w:tcPr>
            <w:tcW w:w="416" w:type="pct"/>
            <w:tcBorders>
              <w:top w:val="nil"/>
              <w:left w:val="nil"/>
              <w:bottom w:val="nil"/>
              <w:right w:val="nil"/>
            </w:tcBorders>
            <w:shd w:val="clear" w:color="auto" w:fill="auto"/>
            <w:noWrap/>
            <w:vAlign w:val="center"/>
            <w:hideMark/>
          </w:tcPr>
          <w:p w14:paraId="2ECF035B"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(12b)</w:t>
            </w:r>
          </w:p>
        </w:tc>
      </w:tr>
      <w:tr w:rsidR="007D40EC" w14:paraId="66A0EBEB"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3410BA93"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Depósitos de Cauções</w:t>
            </w:r>
          </w:p>
        </w:tc>
        <w:tc>
          <w:tcPr>
            <w:tcW w:w="1066" w:type="pct"/>
            <w:gridSpan w:val="2"/>
            <w:tcBorders>
              <w:top w:val="nil"/>
              <w:left w:val="nil"/>
              <w:bottom w:val="nil"/>
              <w:right w:val="nil"/>
            </w:tcBorders>
            <w:shd w:val="clear" w:color="auto" w:fill="auto"/>
            <w:noWrap/>
            <w:vAlign w:val="bottom"/>
            <w:hideMark/>
          </w:tcPr>
          <w:p w14:paraId="00D26336"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431.756 </w:t>
            </w:r>
          </w:p>
        </w:tc>
        <w:tc>
          <w:tcPr>
            <w:tcW w:w="927" w:type="pct"/>
            <w:gridSpan w:val="3"/>
            <w:tcBorders>
              <w:top w:val="nil"/>
              <w:left w:val="nil"/>
              <w:bottom w:val="nil"/>
              <w:right w:val="nil"/>
            </w:tcBorders>
            <w:shd w:val="clear" w:color="auto" w:fill="auto"/>
            <w:noWrap/>
            <w:vAlign w:val="bottom"/>
            <w:hideMark/>
          </w:tcPr>
          <w:p w14:paraId="2234BEE0"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257.472 </w:t>
            </w:r>
          </w:p>
        </w:tc>
        <w:tc>
          <w:tcPr>
            <w:tcW w:w="416" w:type="pct"/>
            <w:tcBorders>
              <w:top w:val="nil"/>
              <w:left w:val="nil"/>
              <w:bottom w:val="nil"/>
              <w:right w:val="nil"/>
            </w:tcBorders>
            <w:shd w:val="clear" w:color="auto" w:fill="auto"/>
            <w:noWrap/>
            <w:vAlign w:val="center"/>
            <w:hideMark/>
          </w:tcPr>
          <w:p w14:paraId="5C8B49F4" w14:textId="77777777" w:rsidR="007D40EC" w:rsidRPr="00A06450" w:rsidRDefault="007D40EC" w:rsidP="007D40EC">
            <w:pPr>
              <w:jc w:val="right"/>
              <w:rPr>
                <w:rFonts w:asciiTheme="majorHAnsi" w:hAnsiTheme="majorHAnsi" w:cstheme="majorHAnsi"/>
                <w:sz w:val="16"/>
                <w:szCs w:val="16"/>
              </w:rPr>
            </w:pPr>
          </w:p>
        </w:tc>
      </w:tr>
      <w:tr w:rsidR="007D40EC" w14:paraId="1E882823"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46878976"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Precatórios de Terceiros</w:t>
            </w:r>
          </w:p>
        </w:tc>
        <w:tc>
          <w:tcPr>
            <w:tcW w:w="1066" w:type="pct"/>
            <w:gridSpan w:val="2"/>
            <w:tcBorders>
              <w:top w:val="nil"/>
              <w:left w:val="nil"/>
              <w:bottom w:val="nil"/>
              <w:right w:val="nil"/>
            </w:tcBorders>
            <w:shd w:val="clear" w:color="auto" w:fill="auto"/>
            <w:noWrap/>
            <w:vAlign w:val="bottom"/>
            <w:hideMark/>
          </w:tcPr>
          <w:p w14:paraId="58B14DB4"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   </w:t>
            </w:r>
          </w:p>
        </w:tc>
        <w:tc>
          <w:tcPr>
            <w:tcW w:w="927" w:type="pct"/>
            <w:gridSpan w:val="3"/>
            <w:tcBorders>
              <w:top w:val="nil"/>
              <w:left w:val="nil"/>
              <w:bottom w:val="nil"/>
              <w:right w:val="nil"/>
            </w:tcBorders>
            <w:shd w:val="clear" w:color="auto" w:fill="auto"/>
            <w:noWrap/>
            <w:vAlign w:val="bottom"/>
            <w:hideMark/>
          </w:tcPr>
          <w:p w14:paraId="24FEEA6D"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121.593 </w:t>
            </w:r>
          </w:p>
        </w:tc>
        <w:tc>
          <w:tcPr>
            <w:tcW w:w="416" w:type="pct"/>
            <w:tcBorders>
              <w:top w:val="nil"/>
              <w:left w:val="nil"/>
              <w:bottom w:val="nil"/>
              <w:right w:val="nil"/>
            </w:tcBorders>
            <w:shd w:val="clear" w:color="auto" w:fill="auto"/>
            <w:noWrap/>
            <w:vAlign w:val="center"/>
            <w:hideMark/>
          </w:tcPr>
          <w:p w14:paraId="627430FC" w14:textId="77777777" w:rsidR="007D40EC" w:rsidRPr="00A06450" w:rsidRDefault="007D40EC" w:rsidP="007D40EC">
            <w:pPr>
              <w:jc w:val="right"/>
              <w:rPr>
                <w:rFonts w:asciiTheme="majorHAnsi" w:hAnsiTheme="majorHAnsi" w:cstheme="majorHAnsi"/>
                <w:sz w:val="16"/>
                <w:szCs w:val="16"/>
              </w:rPr>
            </w:pPr>
          </w:p>
        </w:tc>
      </w:tr>
      <w:tr w:rsidR="007D40EC" w14:paraId="3E0D3B34"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68789277"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Receita a diferir - Subconcessão FIOL</w:t>
            </w:r>
          </w:p>
        </w:tc>
        <w:tc>
          <w:tcPr>
            <w:tcW w:w="1066" w:type="pct"/>
            <w:gridSpan w:val="2"/>
            <w:tcBorders>
              <w:top w:val="nil"/>
              <w:left w:val="nil"/>
              <w:bottom w:val="nil"/>
              <w:right w:val="nil"/>
            </w:tcBorders>
            <w:shd w:val="clear" w:color="auto" w:fill="auto"/>
            <w:noWrap/>
            <w:vAlign w:val="bottom"/>
            <w:hideMark/>
          </w:tcPr>
          <w:p w14:paraId="7497D191"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28.366.000 </w:t>
            </w:r>
          </w:p>
        </w:tc>
        <w:tc>
          <w:tcPr>
            <w:tcW w:w="927" w:type="pct"/>
            <w:gridSpan w:val="3"/>
            <w:tcBorders>
              <w:top w:val="nil"/>
              <w:left w:val="nil"/>
              <w:bottom w:val="nil"/>
              <w:right w:val="nil"/>
            </w:tcBorders>
            <w:shd w:val="clear" w:color="auto" w:fill="auto"/>
            <w:noWrap/>
            <w:vAlign w:val="bottom"/>
            <w:hideMark/>
          </w:tcPr>
          <w:p w14:paraId="7F4FAEEB"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30.002.500 </w:t>
            </w:r>
          </w:p>
        </w:tc>
        <w:tc>
          <w:tcPr>
            <w:tcW w:w="416" w:type="pct"/>
            <w:tcBorders>
              <w:top w:val="nil"/>
              <w:left w:val="nil"/>
              <w:bottom w:val="nil"/>
              <w:right w:val="nil"/>
            </w:tcBorders>
            <w:shd w:val="clear" w:color="auto" w:fill="auto"/>
            <w:noWrap/>
            <w:vAlign w:val="center"/>
            <w:hideMark/>
          </w:tcPr>
          <w:p w14:paraId="2EF66854" w14:textId="709FF4AF"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(14</w:t>
            </w:r>
            <w:r>
              <w:rPr>
                <w:rFonts w:asciiTheme="majorHAnsi" w:hAnsiTheme="majorHAnsi" w:cstheme="majorHAnsi"/>
                <w:sz w:val="16"/>
                <w:szCs w:val="16"/>
              </w:rPr>
              <w:t>b</w:t>
            </w:r>
            <w:r w:rsidRPr="00A06450">
              <w:rPr>
                <w:rFonts w:asciiTheme="majorHAnsi" w:hAnsiTheme="majorHAnsi" w:cstheme="majorHAnsi"/>
                <w:sz w:val="16"/>
                <w:szCs w:val="16"/>
              </w:rPr>
              <w:t>)</w:t>
            </w:r>
          </w:p>
        </w:tc>
      </w:tr>
      <w:tr w:rsidR="007D40EC" w14:paraId="2D03FAB3"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1CA507D2"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Receita a diferir - Pátios e Terminais</w:t>
            </w:r>
          </w:p>
        </w:tc>
        <w:tc>
          <w:tcPr>
            <w:tcW w:w="1066" w:type="pct"/>
            <w:gridSpan w:val="2"/>
            <w:tcBorders>
              <w:top w:val="nil"/>
              <w:left w:val="nil"/>
              <w:bottom w:val="nil"/>
              <w:right w:val="nil"/>
            </w:tcBorders>
            <w:shd w:val="clear" w:color="auto" w:fill="auto"/>
            <w:noWrap/>
            <w:vAlign w:val="bottom"/>
            <w:hideMark/>
          </w:tcPr>
          <w:p w14:paraId="0229B32C"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39.333.126 </w:t>
            </w:r>
          </w:p>
        </w:tc>
        <w:tc>
          <w:tcPr>
            <w:tcW w:w="927" w:type="pct"/>
            <w:gridSpan w:val="3"/>
            <w:tcBorders>
              <w:top w:val="nil"/>
              <w:left w:val="nil"/>
              <w:bottom w:val="nil"/>
              <w:right w:val="nil"/>
            </w:tcBorders>
            <w:shd w:val="clear" w:color="auto" w:fill="auto"/>
            <w:noWrap/>
            <w:vAlign w:val="bottom"/>
            <w:hideMark/>
          </w:tcPr>
          <w:p w14:paraId="14CB5516"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33.331.210 </w:t>
            </w:r>
          </w:p>
        </w:tc>
        <w:tc>
          <w:tcPr>
            <w:tcW w:w="416" w:type="pct"/>
            <w:tcBorders>
              <w:top w:val="nil"/>
              <w:left w:val="nil"/>
              <w:bottom w:val="nil"/>
              <w:right w:val="nil"/>
            </w:tcBorders>
            <w:shd w:val="clear" w:color="auto" w:fill="auto"/>
            <w:noWrap/>
            <w:vAlign w:val="center"/>
            <w:hideMark/>
          </w:tcPr>
          <w:p w14:paraId="578BE604"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(14a) </w:t>
            </w:r>
          </w:p>
        </w:tc>
      </w:tr>
      <w:tr w:rsidR="007D40EC" w14:paraId="03D73BAD"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0CB5774D"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Passivo - Investimento Cruzado</w:t>
            </w:r>
          </w:p>
        </w:tc>
        <w:tc>
          <w:tcPr>
            <w:tcW w:w="1066" w:type="pct"/>
            <w:gridSpan w:val="2"/>
            <w:tcBorders>
              <w:top w:val="nil"/>
              <w:left w:val="nil"/>
              <w:bottom w:val="nil"/>
              <w:right w:val="nil"/>
            </w:tcBorders>
            <w:shd w:val="clear" w:color="auto" w:fill="auto"/>
            <w:noWrap/>
            <w:vAlign w:val="bottom"/>
            <w:hideMark/>
          </w:tcPr>
          <w:p w14:paraId="28AE8962"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518.018.907 </w:t>
            </w:r>
          </w:p>
        </w:tc>
        <w:tc>
          <w:tcPr>
            <w:tcW w:w="927" w:type="pct"/>
            <w:gridSpan w:val="3"/>
            <w:tcBorders>
              <w:top w:val="nil"/>
              <w:left w:val="nil"/>
              <w:bottom w:val="nil"/>
              <w:right w:val="nil"/>
            </w:tcBorders>
            <w:shd w:val="clear" w:color="000000" w:fill="FFFFFF"/>
            <w:noWrap/>
            <w:vAlign w:val="bottom"/>
            <w:hideMark/>
          </w:tcPr>
          <w:p w14:paraId="4AD94839"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264.431.057 </w:t>
            </w:r>
          </w:p>
        </w:tc>
        <w:tc>
          <w:tcPr>
            <w:tcW w:w="416" w:type="pct"/>
            <w:tcBorders>
              <w:top w:val="nil"/>
              <w:left w:val="nil"/>
              <w:bottom w:val="nil"/>
              <w:right w:val="nil"/>
            </w:tcBorders>
            <w:shd w:val="clear" w:color="auto" w:fill="auto"/>
            <w:noWrap/>
            <w:vAlign w:val="center"/>
            <w:hideMark/>
          </w:tcPr>
          <w:p w14:paraId="0CB48176"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(15)</w:t>
            </w:r>
          </w:p>
        </w:tc>
      </w:tr>
      <w:tr w:rsidR="007D40EC" w14:paraId="08636B10"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73190AFA"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Passivo de Arrendamento Líquido de Juros a Transcorrer</w:t>
            </w:r>
          </w:p>
        </w:tc>
        <w:tc>
          <w:tcPr>
            <w:tcW w:w="1066" w:type="pct"/>
            <w:gridSpan w:val="2"/>
            <w:tcBorders>
              <w:top w:val="nil"/>
              <w:left w:val="nil"/>
              <w:bottom w:val="nil"/>
              <w:right w:val="nil"/>
            </w:tcBorders>
            <w:shd w:val="clear" w:color="auto" w:fill="auto"/>
            <w:noWrap/>
            <w:vAlign w:val="bottom"/>
            <w:hideMark/>
          </w:tcPr>
          <w:p w14:paraId="22C6FC54"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12.492.295 </w:t>
            </w:r>
          </w:p>
        </w:tc>
        <w:tc>
          <w:tcPr>
            <w:tcW w:w="927" w:type="pct"/>
            <w:gridSpan w:val="3"/>
            <w:tcBorders>
              <w:top w:val="nil"/>
              <w:left w:val="nil"/>
              <w:bottom w:val="nil"/>
              <w:right w:val="nil"/>
            </w:tcBorders>
            <w:shd w:val="clear" w:color="auto" w:fill="auto"/>
            <w:noWrap/>
            <w:vAlign w:val="bottom"/>
            <w:hideMark/>
          </w:tcPr>
          <w:p w14:paraId="46CADE62"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16.949.900 </w:t>
            </w:r>
          </w:p>
        </w:tc>
        <w:tc>
          <w:tcPr>
            <w:tcW w:w="416" w:type="pct"/>
            <w:tcBorders>
              <w:top w:val="nil"/>
              <w:left w:val="nil"/>
              <w:bottom w:val="nil"/>
              <w:right w:val="nil"/>
            </w:tcBorders>
            <w:shd w:val="clear" w:color="auto" w:fill="auto"/>
            <w:noWrap/>
            <w:vAlign w:val="center"/>
            <w:hideMark/>
          </w:tcPr>
          <w:p w14:paraId="6FC23475"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(16)</w:t>
            </w:r>
          </w:p>
        </w:tc>
      </w:tr>
      <w:tr w:rsidR="007D40EC" w14:paraId="5C999691"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1EC8DF53" w14:textId="77777777" w:rsidR="007D40EC" w:rsidRPr="00A06450" w:rsidRDefault="007D40EC" w:rsidP="007D40EC">
            <w:pPr>
              <w:rPr>
                <w:rFonts w:asciiTheme="majorHAnsi" w:hAnsiTheme="majorHAnsi" w:cstheme="majorHAnsi"/>
                <w:b/>
                <w:bCs/>
                <w:sz w:val="16"/>
                <w:szCs w:val="16"/>
              </w:rPr>
            </w:pPr>
            <w:r w:rsidRPr="00A06450">
              <w:rPr>
                <w:rFonts w:asciiTheme="majorHAnsi" w:hAnsiTheme="majorHAnsi" w:cstheme="majorHAnsi"/>
                <w:b/>
                <w:bCs/>
                <w:sz w:val="16"/>
                <w:szCs w:val="16"/>
              </w:rPr>
              <w:t>TOTAL DO PASSIVO</w:t>
            </w:r>
          </w:p>
        </w:tc>
        <w:tc>
          <w:tcPr>
            <w:tcW w:w="1066" w:type="pct"/>
            <w:gridSpan w:val="2"/>
            <w:tcBorders>
              <w:top w:val="nil"/>
              <w:left w:val="nil"/>
              <w:bottom w:val="nil"/>
              <w:right w:val="nil"/>
            </w:tcBorders>
            <w:shd w:val="clear" w:color="auto" w:fill="auto"/>
            <w:noWrap/>
            <w:vAlign w:val="bottom"/>
            <w:hideMark/>
          </w:tcPr>
          <w:p w14:paraId="1B2C274E" w14:textId="77777777" w:rsidR="007D40EC" w:rsidRPr="00A06450" w:rsidRDefault="007D40EC" w:rsidP="007D40EC">
            <w:pPr>
              <w:jc w:val="right"/>
              <w:rPr>
                <w:rFonts w:asciiTheme="majorHAnsi" w:hAnsiTheme="majorHAnsi" w:cstheme="majorHAnsi"/>
                <w:b/>
                <w:bCs/>
                <w:sz w:val="16"/>
                <w:szCs w:val="16"/>
              </w:rPr>
            </w:pPr>
            <w:r w:rsidRPr="00A06450">
              <w:rPr>
                <w:rFonts w:asciiTheme="majorHAnsi" w:hAnsiTheme="majorHAnsi" w:cstheme="majorHAnsi"/>
                <w:b/>
                <w:bCs/>
                <w:sz w:val="16"/>
                <w:szCs w:val="16"/>
              </w:rPr>
              <w:t xml:space="preserve">                 2.630.652.552 </w:t>
            </w:r>
          </w:p>
        </w:tc>
        <w:tc>
          <w:tcPr>
            <w:tcW w:w="927" w:type="pct"/>
            <w:gridSpan w:val="3"/>
            <w:tcBorders>
              <w:top w:val="nil"/>
              <w:left w:val="nil"/>
              <w:bottom w:val="nil"/>
              <w:right w:val="nil"/>
            </w:tcBorders>
            <w:shd w:val="clear" w:color="auto" w:fill="auto"/>
            <w:noWrap/>
            <w:vAlign w:val="bottom"/>
            <w:hideMark/>
          </w:tcPr>
          <w:p w14:paraId="07EC9F00" w14:textId="77777777" w:rsidR="007D40EC" w:rsidRPr="00A06450" w:rsidRDefault="007D40EC" w:rsidP="007D40EC">
            <w:pPr>
              <w:jc w:val="right"/>
              <w:rPr>
                <w:rFonts w:asciiTheme="majorHAnsi" w:hAnsiTheme="majorHAnsi" w:cstheme="majorHAnsi"/>
                <w:b/>
                <w:bCs/>
                <w:sz w:val="16"/>
                <w:szCs w:val="16"/>
              </w:rPr>
            </w:pPr>
            <w:r w:rsidRPr="00A06450">
              <w:rPr>
                <w:rFonts w:asciiTheme="majorHAnsi" w:hAnsiTheme="majorHAnsi" w:cstheme="majorHAnsi"/>
                <w:b/>
                <w:bCs/>
                <w:sz w:val="16"/>
                <w:szCs w:val="16"/>
              </w:rPr>
              <w:t xml:space="preserve">            2.378.467.144 </w:t>
            </w:r>
          </w:p>
        </w:tc>
        <w:tc>
          <w:tcPr>
            <w:tcW w:w="416" w:type="pct"/>
            <w:tcBorders>
              <w:top w:val="nil"/>
              <w:left w:val="nil"/>
              <w:bottom w:val="nil"/>
              <w:right w:val="nil"/>
            </w:tcBorders>
            <w:shd w:val="clear" w:color="auto" w:fill="auto"/>
            <w:noWrap/>
            <w:vAlign w:val="center"/>
            <w:hideMark/>
          </w:tcPr>
          <w:p w14:paraId="1B9C774D" w14:textId="77777777" w:rsidR="007D40EC" w:rsidRPr="00A06450" w:rsidRDefault="007D40EC" w:rsidP="007D40EC">
            <w:pPr>
              <w:jc w:val="right"/>
              <w:rPr>
                <w:rFonts w:asciiTheme="majorHAnsi" w:hAnsiTheme="majorHAnsi" w:cstheme="majorHAnsi"/>
                <w:b/>
                <w:bCs/>
                <w:sz w:val="16"/>
                <w:szCs w:val="16"/>
              </w:rPr>
            </w:pPr>
          </w:p>
        </w:tc>
      </w:tr>
      <w:tr w:rsidR="007D40EC" w14:paraId="0DA3FBDD"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0B323177" w14:textId="77777777" w:rsidR="007D40EC" w:rsidRPr="00A06450" w:rsidRDefault="007D40EC" w:rsidP="007D40EC">
            <w:pPr>
              <w:jc w:val="center"/>
              <w:rPr>
                <w:rFonts w:asciiTheme="majorHAnsi" w:hAnsiTheme="majorHAnsi" w:cstheme="majorHAnsi"/>
                <w:sz w:val="16"/>
                <w:szCs w:val="16"/>
              </w:rPr>
            </w:pPr>
          </w:p>
        </w:tc>
        <w:tc>
          <w:tcPr>
            <w:tcW w:w="1066" w:type="pct"/>
            <w:gridSpan w:val="2"/>
            <w:tcBorders>
              <w:top w:val="nil"/>
              <w:left w:val="nil"/>
              <w:bottom w:val="nil"/>
              <w:right w:val="nil"/>
            </w:tcBorders>
            <w:shd w:val="clear" w:color="auto" w:fill="auto"/>
            <w:noWrap/>
            <w:vAlign w:val="bottom"/>
            <w:hideMark/>
          </w:tcPr>
          <w:p w14:paraId="1FA04E37" w14:textId="77777777" w:rsidR="007D40EC" w:rsidRPr="00A06450" w:rsidRDefault="007D40EC" w:rsidP="007D40EC">
            <w:pPr>
              <w:jc w:val="right"/>
              <w:rPr>
                <w:rFonts w:asciiTheme="majorHAnsi" w:hAnsiTheme="majorHAnsi" w:cstheme="majorHAnsi"/>
                <w:sz w:val="16"/>
                <w:szCs w:val="16"/>
              </w:rPr>
            </w:pPr>
          </w:p>
        </w:tc>
        <w:tc>
          <w:tcPr>
            <w:tcW w:w="927" w:type="pct"/>
            <w:gridSpan w:val="3"/>
            <w:tcBorders>
              <w:top w:val="nil"/>
              <w:left w:val="nil"/>
              <w:bottom w:val="nil"/>
              <w:right w:val="nil"/>
            </w:tcBorders>
            <w:shd w:val="clear" w:color="auto" w:fill="auto"/>
            <w:noWrap/>
            <w:vAlign w:val="bottom"/>
            <w:hideMark/>
          </w:tcPr>
          <w:p w14:paraId="63E55F5B" w14:textId="77777777" w:rsidR="007D40EC" w:rsidRPr="00A06450" w:rsidRDefault="007D40EC" w:rsidP="007D40EC">
            <w:pPr>
              <w:jc w:val="right"/>
              <w:rPr>
                <w:rFonts w:asciiTheme="majorHAnsi" w:hAnsiTheme="majorHAnsi" w:cstheme="majorHAnsi"/>
                <w:sz w:val="16"/>
                <w:szCs w:val="16"/>
              </w:rPr>
            </w:pPr>
          </w:p>
        </w:tc>
        <w:tc>
          <w:tcPr>
            <w:tcW w:w="416" w:type="pct"/>
            <w:tcBorders>
              <w:top w:val="nil"/>
              <w:left w:val="nil"/>
              <w:bottom w:val="nil"/>
              <w:right w:val="nil"/>
            </w:tcBorders>
            <w:shd w:val="clear" w:color="auto" w:fill="auto"/>
            <w:noWrap/>
            <w:vAlign w:val="center"/>
            <w:hideMark/>
          </w:tcPr>
          <w:p w14:paraId="71881BEB" w14:textId="77777777" w:rsidR="007D40EC" w:rsidRPr="00A06450" w:rsidRDefault="007D40EC" w:rsidP="007D40EC">
            <w:pPr>
              <w:jc w:val="right"/>
              <w:rPr>
                <w:rFonts w:asciiTheme="majorHAnsi" w:hAnsiTheme="majorHAnsi" w:cstheme="majorHAnsi"/>
                <w:sz w:val="16"/>
                <w:szCs w:val="16"/>
              </w:rPr>
            </w:pPr>
          </w:p>
        </w:tc>
      </w:tr>
      <w:tr w:rsidR="007D40EC" w14:paraId="4CD49F79"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6701F991" w14:textId="77777777" w:rsidR="007D40EC" w:rsidRPr="00A06450" w:rsidRDefault="007D40EC" w:rsidP="007D40EC">
            <w:pPr>
              <w:rPr>
                <w:rFonts w:asciiTheme="majorHAnsi" w:hAnsiTheme="majorHAnsi" w:cstheme="majorHAnsi"/>
                <w:b/>
                <w:bCs/>
                <w:sz w:val="16"/>
                <w:szCs w:val="16"/>
              </w:rPr>
            </w:pPr>
            <w:r w:rsidRPr="00A06450">
              <w:rPr>
                <w:rFonts w:asciiTheme="majorHAnsi" w:hAnsiTheme="majorHAnsi" w:cstheme="majorHAnsi"/>
                <w:b/>
                <w:bCs/>
                <w:sz w:val="16"/>
                <w:szCs w:val="16"/>
              </w:rPr>
              <w:t>PATRIMÔNIO LÍQUIDO</w:t>
            </w:r>
          </w:p>
        </w:tc>
        <w:tc>
          <w:tcPr>
            <w:tcW w:w="1066" w:type="pct"/>
            <w:gridSpan w:val="2"/>
            <w:tcBorders>
              <w:top w:val="nil"/>
              <w:left w:val="nil"/>
              <w:bottom w:val="nil"/>
              <w:right w:val="nil"/>
            </w:tcBorders>
            <w:shd w:val="clear" w:color="auto" w:fill="auto"/>
            <w:noWrap/>
            <w:vAlign w:val="bottom"/>
            <w:hideMark/>
          </w:tcPr>
          <w:p w14:paraId="51D016ED" w14:textId="77777777" w:rsidR="007D40EC" w:rsidRPr="00A06450" w:rsidRDefault="007D40EC" w:rsidP="007D40EC">
            <w:pPr>
              <w:jc w:val="right"/>
              <w:rPr>
                <w:rFonts w:asciiTheme="majorHAnsi" w:hAnsiTheme="majorHAnsi" w:cstheme="majorHAnsi"/>
                <w:b/>
                <w:bCs/>
                <w:sz w:val="16"/>
                <w:szCs w:val="16"/>
              </w:rPr>
            </w:pPr>
            <w:r w:rsidRPr="00A06450">
              <w:rPr>
                <w:rFonts w:asciiTheme="majorHAnsi" w:hAnsiTheme="majorHAnsi" w:cstheme="majorHAnsi"/>
                <w:b/>
                <w:bCs/>
                <w:sz w:val="16"/>
                <w:szCs w:val="16"/>
              </w:rPr>
              <w:t xml:space="preserve">                 2.444.102.225 </w:t>
            </w:r>
          </w:p>
        </w:tc>
        <w:tc>
          <w:tcPr>
            <w:tcW w:w="927" w:type="pct"/>
            <w:gridSpan w:val="3"/>
            <w:tcBorders>
              <w:top w:val="nil"/>
              <w:left w:val="nil"/>
              <w:bottom w:val="nil"/>
              <w:right w:val="nil"/>
            </w:tcBorders>
            <w:shd w:val="clear" w:color="auto" w:fill="auto"/>
            <w:noWrap/>
            <w:vAlign w:val="bottom"/>
            <w:hideMark/>
          </w:tcPr>
          <w:p w14:paraId="370C677A" w14:textId="77777777" w:rsidR="007D40EC" w:rsidRPr="00A06450" w:rsidRDefault="007D40EC" w:rsidP="007D40EC">
            <w:pPr>
              <w:jc w:val="right"/>
              <w:rPr>
                <w:rFonts w:asciiTheme="majorHAnsi" w:hAnsiTheme="majorHAnsi" w:cstheme="majorHAnsi"/>
                <w:b/>
                <w:bCs/>
                <w:sz w:val="16"/>
                <w:szCs w:val="16"/>
              </w:rPr>
            </w:pPr>
            <w:r w:rsidRPr="00A06450">
              <w:rPr>
                <w:rFonts w:asciiTheme="majorHAnsi" w:hAnsiTheme="majorHAnsi" w:cstheme="majorHAnsi"/>
                <w:b/>
                <w:bCs/>
                <w:sz w:val="16"/>
                <w:szCs w:val="16"/>
              </w:rPr>
              <w:t xml:space="preserve">            2.037.881.425 </w:t>
            </w:r>
          </w:p>
        </w:tc>
        <w:tc>
          <w:tcPr>
            <w:tcW w:w="416" w:type="pct"/>
            <w:tcBorders>
              <w:top w:val="nil"/>
              <w:left w:val="nil"/>
              <w:bottom w:val="nil"/>
              <w:right w:val="nil"/>
            </w:tcBorders>
            <w:shd w:val="clear" w:color="auto" w:fill="auto"/>
            <w:noWrap/>
            <w:vAlign w:val="center"/>
            <w:hideMark/>
          </w:tcPr>
          <w:p w14:paraId="71EA83F1"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(17)</w:t>
            </w:r>
          </w:p>
        </w:tc>
      </w:tr>
      <w:tr w:rsidR="007D40EC" w14:paraId="4464857E"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13F6C697"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Capital Social</w:t>
            </w:r>
          </w:p>
        </w:tc>
        <w:tc>
          <w:tcPr>
            <w:tcW w:w="1066" w:type="pct"/>
            <w:gridSpan w:val="2"/>
            <w:tcBorders>
              <w:top w:val="nil"/>
              <w:left w:val="nil"/>
              <w:bottom w:val="nil"/>
              <w:right w:val="nil"/>
            </w:tcBorders>
            <w:shd w:val="clear" w:color="auto" w:fill="auto"/>
            <w:noWrap/>
            <w:vAlign w:val="bottom"/>
            <w:hideMark/>
          </w:tcPr>
          <w:p w14:paraId="7D2D5C54"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23.678.774.821 </w:t>
            </w:r>
          </w:p>
        </w:tc>
        <w:tc>
          <w:tcPr>
            <w:tcW w:w="927" w:type="pct"/>
            <w:gridSpan w:val="3"/>
            <w:tcBorders>
              <w:top w:val="nil"/>
              <w:left w:val="nil"/>
              <w:bottom w:val="nil"/>
              <w:right w:val="nil"/>
            </w:tcBorders>
            <w:shd w:val="clear" w:color="auto" w:fill="auto"/>
            <w:noWrap/>
            <w:vAlign w:val="bottom"/>
            <w:hideMark/>
          </w:tcPr>
          <w:p w14:paraId="503BFBAD"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22.233.502.272 </w:t>
            </w:r>
          </w:p>
        </w:tc>
        <w:tc>
          <w:tcPr>
            <w:tcW w:w="416" w:type="pct"/>
            <w:tcBorders>
              <w:top w:val="nil"/>
              <w:left w:val="nil"/>
              <w:bottom w:val="nil"/>
              <w:right w:val="nil"/>
            </w:tcBorders>
            <w:shd w:val="clear" w:color="auto" w:fill="auto"/>
            <w:noWrap/>
            <w:vAlign w:val="center"/>
            <w:hideMark/>
          </w:tcPr>
          <w:p w14:paraId="2832EAC0" w14:textId="77777777" w:rsidR="007D40EC" w:rsidRPr="00A06450" w:rsidRDefault="007D40EC" w:rsidP="007D40EC">
            <w:pPr>
              <w:jc w:val="right"/>
              <w:rPr>
                <w:rFonts w:asciiTheme="majorHAnsi" w:hAnsiTheme="majorHAnsi" w:cstheme="majorHAnsi"/>
                <w:sz w:val="16"/>
                <w:szCs w:val="16"/>
              </w:rPr>
            </w:pPr>
          </w:p>
        </w:tc>
      </w:tr>
      <w:tr w:rsidR="007D40EC" w14:paraId="33066FE2"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5F620006"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Adiantamento para Futuro Aumento de Capital</w:t>
            </w:r>
          </w:p>
        </w:tc>
        <w:tc>
          <w:tcPr>
            <w:tcW w:w="1066" w:type="pct"/>
            <w:gridSpan w:val="2"/>
            <w:tcBorders>
              <w:top w:val="nil"/>
              <w:left w:val="nil"/>
              <w:bottom w:val="nil"/>
              <w:right w:val="nil"/>
            </w:tcBorders>
            <w:shd w:val="clear" w:color="auto" w:fill="auto"/>
            <w:noWrap/>
            <w:vAlign w:val="bottom"/>
            <w:hideMark/>
          </w:tcPr>
          <w:p w14:paraId="4DA7CA6F"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236.704.502 </w:t>
            </w:r>
          </w:p>
        </w:tc>
        <w:tc>
          <w:tcPr>
            <w:tcW w:w="927" w:type="pct"/>
            <w:gridSpan w:val="3"/>
            <w:tcBorders>
              <w:top w:val="nil"/>
              <w:left w:val="nil"/>
              <w:bottom w:val="nil"/>
              <w:right w:val="nil"/>
            </w:tcBorders>
            <w:shd w:val="clear" w:color="auto" w:fill="auto"/>
            <w:noWrap/>
            <w:vAlign w:val="bottom"/>
            <w:hideMark/>
          </w:tcPr>
          <w:p w14:paraId="390DDF83"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1.288.641.343 </w:t>
            </w:r>
          </w:p>
        </w:tc>
        <w:tc>
          <w:tcPr>
            <w:tcW w:w="416" w:type="pct"/>
            <w:tcBorders>
              <w:top w:val="nil"/>
              <w:left w:val="nil"/>
              <w:bottom w:val="nil"/>
              <w:right w:val="nil"/>
            </w:tcBorders>
            <w:shd w:val="clear" w:color="auto" w:fill="auto"/>
            <w:noWrap/>
            <w:vAlign w:val="center"/>
            <w:hideMark/>
          </w:tcPr>
          <w:p w14:paraId="6444809A" w14:textId="77777777" w:rsidR="007D40EC" w:rsidRPr="00A06450" w:rsidRDefault="007D40EC" w:rsidP="007D40EC">
            <w:pPr>
              <w:jc w:val="right"/>
              <w:rPr>
                <w:rFonts w:asciiTheme="majorHAnsi" w:hAnsiTheme="majorHAnsi" w:cstheme="majorHAnsi"/>
                <w:sz w:val="16"/>
                <w:szCs w:val="16"/>
              </w:rPr>
            </w:pPr>
          </w:p>
        </w:tc>
      </w:tr>
      <w:tr w:rsidR="007D40EC" w14:paraId="65BC8577"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18FF0613" w14:textId="77777777" w:rsidR="007D40EC" w:rsidRPr="00A06450" w:rsidRDefault="007D40EC" w:rsidP="007D40EC">
            <w:pPr>
              <w:rPr>
                <w:rFonts w:asciiTheme="majorHAnsi" w:hAnsiTheme="majorHAnsi" w:cstheme="majorHAnsi"/>
                <w:sz w:val="16"/>
                <w:szCs w:val="16"/>
              </w:rPr>
            </w:pPr>
            <w:r w:rsidRPr="00A06450">
              <w:rPr>
                <w:rFonts w:asciiTheme="majorHAnsi" w:hAnsiTheme="majorHAnsi" w:cstheme="majorHAnsi"/>
                <w:sz w:val="16"/>
                <w:szCs w:val="16"/>
              </w:rPr>
              <w:t xml:space="preserve">        Prejuízos Acumulados</w:t>
            </w:r>
          </w:p>
        </w:tc>
        <w:tc>
          <w:tcPr>
            <w:tcW w:w="1066" w:type="pct"/>
            <w:gridSpan w:val="2"/>
            <w:tcBorders>
              <w:top w:val="nil"/>
              <w:left w:val="nil"/>
              <w:bottom w:val="nil"/>
              <w:right w:val="nil"/>
            </w:tcBorders>
            <w:shd w:val="clear" w:color="auto" w:fill="auto"/>
            <w:noWrap/>
            <w:vAlign w:val="bottom"/>
            <w:hideMark/>
          </w:tcPr>
          <w:p w14:paraId="0A98B9A2"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(21.471.377.097)</w:t>
            </w:r>
          </w:p>
        </w:tc>
        <w:tc>
          <w:tcPr>
            <w:tcW w:w="927" w:type="pct"/>
            <w:gridSpan w:val="3"/>
            <w:tcBorders>
              <w:top w:val="nil"/>
              <w:left w:val="nil"/>
              <w:bottom w:val="nil"/>
              <w:right w:val="nil"/>
            </w:tcBorders>
            <w:shd w:val="clear" w:color="auto" w:fill="auto"/>
            <w:noWrap/>
            <w:vAlign w:val="bottom"/>
            <w:hideMark/>
          </w:tcPr>
          <w:p w14:paraId="20162E35" w14:textId="77777777" w:rsidR="007D40EC" w:rsidRPr="00A06450" w:rsidRDefault="007D40EC" w:rsidP="007D40EC">
            <w:pPr>
              <w:jc w:val="right"/>
              <w:rPr>
                <w:rFonts w:asciiTheme="majorHAnsi" w:hAnsiTheme="majorHAnsi" w:cstheme="majorHAnsi"/>
                <w:sz w:val="16"/>
                <w:szCs w:val="16"/>
              </w:rPr>
            </w:pPr>
            <w:r w:rsidRPr="00A06450">
              <w:rPr>
                <w:rFonts w:asciiTheme="majorHAnsi" w:hAnsiTheme="majorHAnsi" w:cstheme="majorHAnsi"/>
                <w:sz w:val="16"/>
                <w:szCs w:val="16"/>
              </w:rPr>
              <w:t xml:space="preserve">        (21.484.262.190)</w:t>
            </w:r>
          </w:p>
        </w:tc>
        <w:tc>
          <w:tcPr>
            <w:tcW w:w="416" w:type="pct"/>
            <w:tcBorders>
              <w:top w:val="nil"/>
              <w:left w:val="nil"/>
              <w:bottom w:val="nil"/>
              <w:right w:val="nil"/>
            </w:tcBorders>
            <w:shd w:val="clear" w:color="auto" w:fill="auto"/>
            <w:noWrap/>
            <w:vAlign w:val="center"/>
            <w:hideMark/>
          </w:tcPr>
          <w:p w14:paraId="0DF75D21" w14:textId="77777777" w:rsidR="007D40EC" w:rsidRPr="00A06450" w:rsidRDefault="007D40EC" w:rsidP="007D40EC">
            <w:pPr>
              <w:jc w:val="right"/>
              <w:rPr>
                <w:rFonts w:asciiTheme="majorHAnsi" w:hAnsiTheme="majorHAnsi" w:cstheme="majorHAnsi"/>
                <w:sz w:val="16"/>
                <w:szCs w:val="16"/>
              </w:rPr>
            </w:pPr>
          </w:p>
        </w:tc>
      </w:tr>
      <w:tr w:rsidR="007D40EC" w14:paraId="1E034B9C"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06AFF14A" w14:textId="77777777" w:rsidR="007D40EC" w:rsidRPr="00A06450" w:rsidRDefault="007D40EC" w:rsidP="007D40EC">
            <w:pPr>
              <w:rPr>
                <w:rFonts w:asciiTheme="majorHAnsi" w:hAnsiTheme="majorHAnsi" w:cstheme="majorHAnsi"/>
                <w:b/>
                <w:bCs/>
                <w:sz w:val="16"/>
                <w:szCs w:val="16"/>
              </w:rPr>
            </w:pPr>
            <w:r w:rsidRPr="00A06450">
              <w:rPr>
                <w:rFonts w:asciiTheme="majorHAnsi" w:hAnsiTheme="majorHAnsi" w:cstheme="majorHAnsi"/>
                <w:b/>
                <w:bCs/>
                <w:sz w:val="16"/>
                <w:szCs w:val="16"/>
              </w:rPr>
              <w:t>TOTAL DO PASSIVO E PATRIMÔNIO LÍQUIDO</w:t>
            </w:r>
          </w:p>
        </w:tc>
        <w:tc>
          <w:tcPr>
            <w:tcW w:w="1066" w:type="pct"/>
            <w:gridSpan w:val="2"/>
            <w:tcBorders>
              <w:top w:val="nil"/>
              <w:left w:val="nil"/>
              <w:bottom w:val="nil"/>
              <w:right w:val="nil"/>
            </w:tcBorders>
            <w:shd w:val="clear" w:color="auto" w:fill="auto"/>
            <w:noWrap/>
            <w:vAlign w:val="bottom"/>
            <w:hideMark/>
          </w:tcPr>
          <w:p w14:paraId="26C85590" w14:textId="77777777" w:rsidR="007D40EC" w:rsidRPr="00A06450" w:rsidRDefault="007D40EC" w:rsidP="007D40EC">
            <w:pPr>
              <w:jc w:val="right"/>
              <w:rPr>
                <w:rFonts w:asciiTheme="majorHAnsi" w:hAnsiTheme="majorHAnsi" w:cstheme="majorHAnsi"/>
                <w:b/>
                <w:bCs/>
                <w:sz w:val="16"/>
                <w:szCs w:val="16"/>
              </w:rPr>
            </w:pPr>
            <w:r w:rsidRPr="00A06450">
              <w:rPr>
                <w:rFonts w:asciiTheme="majorHAnsi" w:hAnsiTheme="majorHAnsi" w:cstheme="majorHAnsi"/>
                <w:b/>
                <w:bCs/>
                <w:sz w:val="16"/>
                <w:szCs w:val="16"/>
              </w:rPr>
              <w:t xml:space="preserve">                 5.074.754.778 </w:t>
            </w:r>
          </w:p>
        </w:tc>
        <w:tc>
          <w:tcPr>
            <w:tcW w:w="927" w:type="pct"/>
            <w:gridSpan w:val="3"/>
            <w:tcBorders>
              <w:top w:val="nil"/>
              <w:left w:val="nil"/>
              <w:bottom w:val="nil"/>
              <w:right w:val="nil"/>
            </w:tcBorders>
            <w:shd w:val="clear" w:color="auto" w:fill="auto"/>
            <w:noWrap/>
            <w:vAlign w:val="bottom"/>
            <w:hideMark/>
          </w:tcPr>
          <w:p w14:paraId="6E873932" w14:textId="77777777" w:rsidR="007D40EC" w:rsidRPr="00A06450" w:rsidRDefault="007D40EC" w:rsidP="007D40EC">
            <w:pPr>
              <w:jc w:val="right"/>
              <w:rPr>
                <w:rFonts w:asciiTheme="majorHAnsi" w:hAnsiTheme="majorHAnsi" w:cstheme="majorHAnsi"/>
                <w:b/>
                <w:bCs/>
                <w:sz w:val="16"/>
                <w:szCs w:val="16"/>
              </w:rPr>
            </w:pPr>
            <w:r w:rsidRPr="00A06450">
              <w:rPr>
                <w:rFonts w:asciiTheme="majorHAnsi" w:hAnsiTheme="majorHAnsi" w:cstheme="majorHAnsi"/>
                <w:b/>
                <w:bCs/>
                <w:sz w:val="16"/>
                <w:szCs w:val="16"/>
              </w:rPr>
              <w:t xml:space="preserve">            4.416.348.569 </w:t>
            </w:r>
          </w:p>
        </w:tc>
        <w:tc>
          <w:tcPr>
            <w:tcW w:w="416" w:type="pct"/>
            <w:tcBorders>
              <w:top w:val="nil"/>
              <w:left w:val="nil"/>
              <w:bottom w:val="nil"/>
              <w:right w:val="nil"/>
            </w:tcBorders>
            <w:shd w:val="clear" w:color="auto" w:fill="auto"/>
            <w:noWrap/>
            <w:vAlign w:val="center"/>
            <w:hideMark/>
          </w:tcPr>
          <w:p w14:paraId="54AA22BB" w14:textId="77777777" w:rsidR="007D40EC" w:rsidRPr="00A06450" w:rsidRDefault="007D40EC" w:rsidP="007D40EC">
            <w:pPr>
              <w:jc w:val="right"/>
              <w:rPr>
                <w:rFonts w:asciiTheme="majorHAnsi" w:hAnsiTheme="majorHAnsi" w:cstheme="majorHAnsi"/>
                <w:b/>
                <w:bCs/>
                <w:sz w:val="16"/>
                <w:szCs w:val="16"/>
              </w:rPr>
            </w:pPr>
          </w:p>
        </w:tc>
      </w:tr>
      <w:tr w:rsidR="007D40EC" w14:paraId="4CB276EF" w14:textId="77777777" w:rsidTr="00303F45">
        <w:trPr>
          <w:trHeight w:hRule="exact" w:val="227"/>
        </w:trPr>
        <w:tc>
          <w:tcPr>
            <w:tcW w:w="2591" w:type="pct"/>
            <w:gridSpan w:val="2"/>
            <w:tcBorders>
              <w:top w:val="nil"/>
              <w:left w:val="nil"/>
              <w:bottom w:val="nil"/>
              <w:right w:val="nil"/>
            </w:tcBorders>
            <w:shd w:val="clear" w:color="auto" w:fill="auto"/>
            <w:noWrap/>
            <w:vAlign w:val="bottom"/>
            <w:hideMark/>
          </w:tcPr>
          <w:p w14:paraId="7F7853D2" w14:textId="77777777" w:rsidR="007D40EC" w:rsidRPr="00A06450" w:rsidRDefault="007D40EC" w:rsidP="007D40EC">
            <w:pPr>
              <w:jc w:val="center"/>
              <w:rPr>
                <w:rFonts w:asciiTheme="majorHAnsi" w:hAnsiTheme="majorHAnsi" w:cstheme="majorHAnsi"/>
                <w:sz w:val="16"/>
                <w:szCs w:val="16"/>
              </w:rPr>
            </w:pPr>
          </w:p>
        </w:tc>
        <w:tc>
          <w:tcPr>
            <w:tcW w:w="1066" w:type="pct"/>
            <w:gridSpan w:val="2"/>
            <w:tcBorders>
              <w:top w:val="nil"/>
              <w:left w:val="nil"/>
              <w:bottom w:val="nil"/>
              <w:right w:val="nil"/>
            </w:tcBorders>
            <w:shd w:val="clear" w:color="auto" w:fill="auto"/>
            <w:noWrap/>
            <w:vAlign w:val="bottom"/>
            <w:hideMark/>
          </w:tcPr>
          <w:p w14:paraId="46348950" w14:textId="77777777" w:rsidR="007D40EC" w:rsidRPr="00A06450" w:rsidRDefault="007D40EC" w:rsidP="007D40EC">
            <w:pPr>
              <w:rPr>
                <w:rFonts w:asciiTheme="majorHAnsi" w:hAnsiTheme="majorHAnsi" w:cstheme="majorHAnsi"/>
                <w:sz w:val="16"/>
                <w:szCs w:val="16"/>
              </w:rPr>
            </w:pPr>
          </w:p>
        </w:tc>
        <w:tc>
          <w:tcPr>
            <w:tcW w:w="927" w:type="pct"/>
            <w:gridSpan w:val="3"/>
            <w:tcBorders>
              <w:top w:val="nil"/>
              <w:left w:val="nil"/>
              <w:bottom w:val="nil"/>
              <w:right w:val="nil"/>
            </w:tcBorders>
            <w:shd w:val="clear" w:color="auto" w:fill="auto"/>
            <w:noWrap/>
            <w:vAlign w:val="bottom"/>
            <w:hideMark/>
          </w:tcPr>
          <w:p w14:paraId="68849CCC" w14:textId="77777777" w:rsidR="007D40EC" w:rsidRPr="00A06450" w:rsidRDefault="007D40EC" w:rsidP="007D40EC">
            <w:pPr>
              <w:jc w:val="right"/>
              <w:rPr>
                <w:rFonts w:asciiTheme="majorHAnsi" w:hAnsiTheme="majorHAnsi" w:cstheme="majorHAnsi"/>
                <w:sz w:val="16"/>
                <w:szCs w:val="16"/>
              </w:rPr>
            </w:pPr>
          </w:p>
        </w:tc>
        <w:tc>
          <w:tcPr>
            <w:tcW w:w="416" w:type="pct"/>
            <w:tcBorders>
              <w:top w:val="nil"/>
              <w:left w:val="nil"/>
              <w:bottom w:val="nil"/>
              <w:right w:val="nil"/>
            </w:tcBorders>
            <w:shd w:val="clear" w:color="auto" w:fill="auto"/>
            <w:noWrap/>
            <w:vAlign w:val="center"/>
            <w:hideMark/>
          </w:tcPr>
          <w:p w14:paraId="42803D0A" w14:textId="77777777" w:rsidR="007D40EC" w:rsidRPr="00A06450" w:rsidRDefault="007D40EC" w:rsidP="007D40EC">
            <w:pPr>
              <w:jc w:val="right"/>
              <w:rPr>
                <w:rFonts w:asciiTheme="majorHAnsi" w:hAnsiTheme="majorHAnsi" w:cstheme="majorHAnsi"/>
                <w:sz w:val="16"/>
                <w:szCs w:val="16"/>
              </w:rPr>
            </w:pPr>
          </w:p>
        </w:tc>
      </w:tr>
      <w:tr w:rsidR="007D40EC" w14:paraId="5C6B47F5" w14:textId="77777777" w:rsidTr="00A06450">
        <w:trPr>
          <w:trHeight w:hRule="exact" w:val="227"/>
        </w:trPr>
        <w:tc>
          <w:tcPr>
            <w:tcW w:w="5000" w:type="pct"/>
            <w:gridSpan w:val="8"/>
            <w:tcBorders>
              <w:top w:val="nil"/>
              <w:left w:val="nil"/>
              <w:bottom w:val="nil"/>
              <w:right w:val="nil"/>
            </w:tcBorders>
            <w:shd w:val="clear" w:color="auto" w:fill="auto"/>
            <w:noWrap/>
            <w:vAlign w:val="bottom"/>
            <w:hideMark/>
          </w:tcPr>
          <w:p w14:paraId="2F409A46" w14:textId="77777777" w:rsidR="007D40EC" w:rsidRPr="00A06450" w:rsidRDefault="007D40EC" w:rsidP="007D40EC">
            <w:pPr>
              <w:jc w:val="center"/>
              <w:rPr>
                <w:rFonts w:asciiTheme="majorHAnsi" w:hAnsiTheme="majorHAnsi" w:cstheme="majorHAnsi"/>
                <w:sz w:val="16"/>
                <w:szCs w:val="16"/>
              </w:rPr>
            </w:pPr>
            <w:r w:rsidRPr="00A06450">
              <w:rPr>
                <w:rFonts w:asciiTheme="majorHAnsi" w:hAnsiTheme="majorHAnsi" w:cstheme="majorHAnsi"/>
                <w:sz w:val="16"/>
                <w:szCs w:val="16"/>
              </w:rPr>
              <w:t>(As Notas Explicativas são parte integrante das demonstrações contábeis intermediárias)</w:t>
            </w:r>
          </w:p>
        </w:tc>
      </w:tr>
    </w:tbl>
    <w:p w14:paraId="2B62391D" w14:textId="2AFE5054" w:rsidR="00252B13" w:rsidRDefault="00252B13" w:rsidP="00917E9B">
      <w:pPr>
        <w:pStyle w:val="Ttulo1"/>
        <w:rPr>
          <w:rFonts w:ascii="Calibri" w:hAnsi="Calibri" w:cs="Calibri"/>
          <w:szCs w:val="22"/>
        </w:rPr>
      </w:pPr>
    </w:p>
    <w:p w14:paraId="795C8167" w14:textId="6CDD32EB" w:rsidR="00AF45DE" w:rsidRDefault="00AF45DE" w:rsidP="00AF45DE"/>
    <w:p w14:paraId="7CF74DCA" w14:textId="48F9AA0F" w:rsidR="00AF45DE" w:rsidRDefault="00AF45DE" w:rsidP="00AF45DE"/>
    <w:p w14:paraId="2CFDEEC5" w14:textId="24BDD5EF" w:rsidR="00AF45DE" w:rsidRDefault="00AF45DE" w:rsidP="00AF45DE"/>
    <w:p w14:paraId="21C4E78D" w14:textId="19F3C8C4" w:rsidR="00AF45DE" w:rsidRDefault="00AF45DE" w:rsidP="00AF45DE"/>
    <w:p w14:paraId="3869D80D" w14:textId="4F924430" w:rsidR="00AF45DE" w:rsidRDefault="00AF45DE" w:rsidP="00AF45DE"/>
    <w:p w14:paraId="394EBAA2" w14:textId="1C5AA07C" w:rsidR="00AF45DE" w:rsidRDefault="00AF45DE" w:rsidP="00AF45DE"/>
    <w:p w14:paraId="5BCB8166" w14:textId="2930036B" w:rsidR="00AF45DE" w:rsidRDefault="00AF45DE" w:rsidP="00AF45DE"/>
    <w:p w14:paraId="31FFDFC9" w14:textId="4038F989" w:rsidR="00AF45DE" w:rsidRDefault="00AF45DE" w:rsidP="00AF45DE"/>
    <w:p w14:paraId="64C9DC9A" w14:textId="2F20E600" w:rsidR="00AF45DE" w:rsidRDefault="00AF45DE" w:rsidP="00AF45DE"/>
    <w:p w14:paraId="1C24509D" w14:textId="38355CDE" w:rsidR="00AF45DE" w:rsidRDefault="00AF45DE" w:rsidP="00AF45DE"/>
    <w:p w14:paraId="72389593" w14:textId="7FCF1BF0" w:rsidR="00AF45DE" w:rsidRDefault="00AF45DE" w:rsidP="00AF45DE"/>
    <w:p w14:paraId="476FC9FC" w14:textId="26A4B5DE" w:rsidR="00AF45DE" w:rsidRDefault="00AF45DE" w:rsidP="00AF45DE"/>
    <w:p w14:paraId="17E1E004" w14:textId="4F5BAF2D" w:rsidR="00AF45DE" w:rsidRDefault="00AF45DE" w:rsidP="00AF45DE"/>
    <w:p w14:paraId="0B5C3442" w14:textId="6B4D7275" w:rsidR="00AF45DE" w:rsidRDefault="00AF45DE" w:rsidP="00AF45DE"/>
    <w:p w14:paraId="152CF256" w14:textId="78597C38" w:rsidR="00AF45DE" w:rsidRDefault="00AF45DE" w:rsidP="00AF45DE"/>
    <w:p w14:paraId="1BFF6C47" w14:textId="30E9A40E" w:rsidR="00AF45DE" w:rsidRDefault="00AF45DE" w:rsidP="00AF45DE"/>
    <w:p w14:paraId="0E4772C6" w14:textId="660AC68E" w:rsidR="00AF45DE" w:rsidRDefault="00AF45DE" w:rsidP="00AF45DE"/>
    <w:p w14:paraId="4670315E" w14:textId="5922BFAF" w:rsidR="00AF45DE" w:rsidRDefault="00AF45DE" w:rsidP="00AF45DE"/>
    <w:p w14:paraId="252082EE" w14:textId="6B4B9C94" w:rsidR="00AF45DE" w:rsidRDefault="00AF45DE" w:rsidP="00AF45DE"/>
    <w:p w14:paraId="4EC2DBD7" w14:textId="2478AD89" w:rsidR="00AF45DE" w:rsidRDefault="00AF45DE" w:rsidP="00AF45DE"/>
    <w:p w14:paraId="44A61FDC" w14:textId="34211284" w:rsidR="00AF45DE" w:rsidRDefault="00AF45DE" w:rsidP="00AF45DE"/>
    <w:tbl>
      <w:tblPr>
        <w:tblW w:w="5000" w:type="pct"/>
        <w:tblCellMar>
          <w:left w:w="70" w:type="dxa"/>
          <w:right w:w="70" w:type="dxa"/>
        </w:tblCellMar>
        <w:tblLook w:val="04A0" w:firstRow="1" w:lastRow="0" w:firstColumn="1" w:lastColumn="0" w:noHBand="0" w:noVBand="1"/>
      </w:tblPr>
      <w:tblGrid>
        <w:gridCol w:w="4203"/>
        <w:gridCol w:w="1425"/>
        <w:gridCol w:w="1425"/>
        <w:gridCol w:w="1425"/>
        <w:gridCol w:w="1508"/>
        <w:gridCol w:w="481"/>
      </w:tblGrid>
      <w:tr w:rsidR="00AF45DE" w:rsidRPr="00AF45DE" w14:paraId="7E6C6A7B" w14:textId="77777777" w:rsidTr="00AF45DE">
        <w:trPr>
          <w:trHeight w:hRule="exact" w:val="227"/>
        </w:trPr>
        <w:tc>
          <w:tcPr>
            <w:tcW w:w="5000" w:type="pct"/>
            <w:gridSpan w:val="6"/>
            <w:tcBorders>
              <w:top w:val="nil"/>
              <w:left w:val="nil"/>
              <w:bottom w:val="nil"/>
              <w:right w:val="nil"/>
            </w:tcBorders>
            <w:shd w:val="clear" w:color="auto" w:fill="auto"/>
            <w:noWrap/>
            <w:vAlign w:val="bottom"/>
            <w:hideMark/>
          </w:tcPr>
          <w:p w14:paraId="6B56DD15" w14:textId="7ADD99D7" w:rsidR="00AF45DE" w:rsidRPr="00AF45DE" w:rsidRDefault="00AF45DE">
            <w:pPr>
              <w:jc w:val="center"/>
              <w:rPr>
                <w:rFonts w:asciiTheme="majorHAnsi" w:hAnsiTheme="majorHAnsi" w:cstheme="majorHAnsi"/>
                <w:b/>
                <w:bCs/>
                <w:sz w:val="16"/>
                <w:szCs w:val="16"/>
              </w:rPr>
            </w:pPr>
          </w:p>
        </w:tc>
      </w:tr>
      <w:tr w:rsidR="00AF45DE" w:rsidRPr="00AF45DE" w14:paraId="04C4B567" w14:textId="77777777" w:rsidTr="00AF45DE">
        <w:trPr>
          <w:trHeight w:hRule="exact" w:val="227"/>
        </w:trPr>
        <w:tc>
          <w:tcPr>
            <w:tcW w:w="5000" w:type="pct"/>
            <w:gridSpan w:val="6"/>
            <w:tcBorders>
              <w:top w:val="nil"/>
              <w:left w:val="nil"/>
              <w:bottom w:val="nil"/>
              <w:right w:val="nil"/>
            </w:tcBorders>
            <w:shd w:val="clear" w:color="auto" w:fill="auto"/>
            <w:noWrap/>
            <w:vAlign w:val="bottom"/>
            <w:hideMark/>
          </w:tcPr>
          <w:p w14:paraId="203DFAA1"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lastRenderedPageBreak/>
              <w:t xml:space="preserve">DEMONSTRAÇÃO DO RESULTADO </w:t>
            </w:r>
          </w:p>
        </w:tc>
      </w:tr>
      <w:tr w:rsidR="00AF45DE" w:rsidRPr="00AF45DE" w14:paraId="25B46C49" w14:textId="77777777" w:rsidTr="00AF45DE">
        <w:trPr>
          <w:trHeight w:hRule="exact" w:val="227"/>
        </w:trPr>
        <w:tc>
          <w:tcPr>
            <w:tcW w:w="5000" w:type="pct"/>
            <w:gridSpan w:val="6"/>
            <w:tcBorders>
              <w:top w:val="nil"/>
              <w:left w:val="nil"/>
              <w:bottom w:val="nil"/>
              <w:right w:val="nil"/>
            </w:tcBorders>
            <w:shd w:val="clear" w:color="auto" w:fill="auto"/>
            <w:noWrap/>
            <w:vAlign w:val="bottom"/>
            <w:hideMark/>
          </w:tcPr>
          <w:p w14:paraId="096FEBC4"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3º TRIMESTRE 2022</w:t>
            </w:r>
          </w:p>
        </w:tc>
      </w:tr>
      <w:tr w:rsidR="00AF45DE" w:rsidRPr="00AF45DE" w14:paraId="5B737C5D" w14:textId="77777777" w:rsidTr="00AF45DE">
        <w:trPr>
          <w:trHeight w:hRule="exact" w:val="227"/>
        </w:trPr>
        <w:tc>
          <w:tcPr>
            <w:tcW w:w="5000" w:type="pct"/>
            <w:gridSpan w:val="6"/>
            <w:tcBorders>
              <w:top w:val="nil"/>
              <w:left w:val="nil"/>
              <w:bottom w:val="nil"/>
              <w:right w:val="nil"/>
            </w:tcBorders>
            <w:shd w:val="clear" w:color="auto" w:fill="auto"/>
            <w:noWrap/>
            <w:vAlign w:val="bottom"/>
            <w:hideMark/>
          </w:tcPr>
          <w:p w14:paraId="15AAFB32"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Em R$ 1</w:t>
            </w:r>
          </w:p>
        </w:tc>
      </w:tr>
      <w:tr w:rsidR="00AF45DE" w:rsidRPr="00AF45DE" w14:paraId="4CF37836" w14:textId="77777777" w:rsidTr="00985E67">
        <w:trPr>
          <w:trHeight w:hRule="exact" w:val="227"/>
        </w:trPr>
        <w:tc>
          <w:tcPr>
            <w:tcW w:w="2008" w:type="pct"/>
            <w:tcBorders>
              <w:top w:val="nil"/>
              <w:left w:val="nil"/>
              <w:bottom w:val="nil"/>
              <w:right w:val="nil"/>
            </w:tcBorders>
            <w:shd w:val="clear" w:color="auto" w:fill="auto"/>
            <w:noWrap/>
            <w:vAlign w:val="bottom"/>
            <w:hideMark/>
          </w:tcPr>
          <w:p w14:paraId="7876D565" w14:textId="77777777" w:rsidR="00AF45DE" w:rsidRPr="00AF45DE" w:rsidRDefault="00AF45DE">
            <w:pPr>
              <w:jc w:val="center"/>
              <w:rPr>
                <w:rFonts w:asciiTheme="majorHAnsi" w:hAnsiTheme="majorHAnsi" w:cstheme="majorHAnsi"/>
                <w:b/>
                <w:bCs/>
                <w:sz w:val="16"/>
                <w:szCs w:val="16"/>
              </w:rPr>
            </w:pPr>
          </w:p>
        </w:tc>
        <w:tc>
          <w:tcPr>
            <w:tcW w:w="681" w:type="pct"/>
            <w:tcBorders>
              <w:top w:val="nil"/>
              <w:left w:val="nil"/>
              <w:bottom w:val="nil"/>
              <w:right w:val="nil"/>
            </w:tcBorders>
            <w:shd w:val="clear" w:color="auto" w:fill="auto"/>
            <w:noWrap/>
            <w:vAlign w:val="bottom"/>
            <w:hideMark/>
          </w:tcPr>
          <w:p w14:paraId="01E58D30" w14:textId="77777777" w:rsidR="00AF45DE" w:rsidRPr="00AF45DE" w:rsidRDefault="00AF45DE">
            <w:pPr>
              <w:jc w:val="center"/>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5E6629E6" w14:textId="77777777" w:rsidR="00AF45DE" w:rsidRPr="00AF45DE" w:rsidRDefault="00AF45DE">
            <w:pPr>
              <w:jc w:val="center"/>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106256FE" w14:textId="77777777" w:rsidR="00AF45DE" w:rsidRPr="00AF45DE" w:rsidRDefault="00AF45DE">
            <w:pPr>
              <w:jc w:val="center"/>
              <w:rPr>
                <w:rFonts w:asciiTheme="majorHAnsi" w:hAnsiTheme="majorHAnsi" w:cstheme="majorHAnsi"/>
                <w:sz w:val="16"/>
                <w:szCs w:val="16"/>
              </w:rPr>
            </w:pPr>
          </w:p>
        </w:tc>
        <w:tc>
          <w:tcPr>
            <w:tcW w:w="720" w:type="pct"/>
            <w:tcBorders>
              <w:top w:val="nil"/>
              <w:left w:val="nil"/>
              <w:bottom w:val="nil"/>
              <w:right w:val="nil"/>
            </w:tcBorders>
            <w:shd w:val="clear" w:color="auto" w:fill="auto"/>
            <w:noWrap/>
            <w:vAlign w:val="bottom"/>
            <w:hideMark/>
          </w:tcPr>
          <w:p w14:paraId="27B0111C" w14:textId="77777777" w:rsidR="00AF45DE" w:rsidRPr="00AF45DE" w:rsidRDefault="00AF45DE">
            <w:pPr>
              <w:jc w:val="center"/>
              <w:rPr>
                <w:rFonts w:asciiTheme="majorHAnsi" w:hAnsiTheme="majorHAnsi" w:cstheme="majorHAnsi"/>
                <w:sz w:val="16"/>
                <w:szCs w:val="16"/>
              </w:rPr>
            </w:pPr>
          </w:p>
        </w:tc>
        <w:tc>
          <w:tcPr>
            <w:tcW w:w="230" w:type="pct"/>
            <w:tcBorders>
              <w:top w:val="nil"/>
              <w:left w:val="nil"/>
              <w:bottom w:val="nil"/>
              <w:right w:val="nil"/>
            </w:tcBorders>
            <w:shd w:val="clear" w:color="auto" w:fill="auto"/>
            <w:noWrap/>
            <w:vAlign w:val="center"/>
            <w:hideMark/>
          </w:tcPr>
          <w:p w14:paraId="288D39E9" w14:textId="77777777" w:rsidR="00AF45DE" w:rsidRPr="00AF45DE" w:rsidRDefault="00AF45DE">
            <w:pPr>
              <w:jc w:val="center"/>
              <w:rPr>
                <w:rFonts w:asciiTheme="majorHAnsi" w:hAnsiTheme="majorHAnsi" w:cstheme="majorHAnsi"/>
                <w:sz w:val="16"/>
                <w:szCs w:val="16"/>
              </w:rPr>
            </w:pPr>
          </w:p>
        </w:tc>
      </w:tr>
      <w:tr w:rsidR="00AF45DE" w:rsidRPr="00AF45DE" w14:paraId="6A5BECE2" w14:textId="77777777" w:rsidTr="00985E67">
        <w:trPr>
          <w:trHeight w:hRule="exact" w:val="227"/>
        </w:trPr>
        <w:tc>
          <w:tcPr>
            <w:tcW w:w="2008" w:type="pct"/>
            <w:tcBorders>
              <w:top w:val="nil"/>
              <w:left w:val="nil"/>
              <w:bottom w:val="nil"/>
              <w:right w:val="nil"/>
            </w:tcBorders>
            <w:shd w:val="clear" w:color="auto" w:fill="auto"/>
            <w:noWrap/>
            <w:vAlign w:val="bottom"/>
            <w:hideMark/>
          </w:tcPr>
          <w:p w14:paraId="33577DEB" w14:textId="77777777" w:rsidR="00AF45DE" w:rsidRPr="00AF45DE" w:rsidRDefault="00AF45DE">
            <w:pPr>
              <w:jc w:val="center"/>
              <w:rPr>
                <w:rFonts w:asciiTheme="majorHAnsi" w:hAnsiTheme="majorHAnsi" w:cstheme="majorHAnsi"/>
                <w:sz w:val="16"/>
                <w:szCs w:val="16"/>
              </w:rPr>
            </w:pPr>
          </w:p>
        </w:tc>
        <w:tc>
          <w:tcPr>
            <w:tcW w:w="681" w:type="pct"/>
            <w:tcBorders>
              <w:top w:val="nil"/>
              <w:left w:val="nil"/>
              <w:bottom w:val="nil"/>
              <w:right w:val="nil"/>
            </w:tcBorders>
            <w:shd w:val="clear" w:color="auto" w:fill="auto"/>
            <w:vAlign w:val="bottom"/>
            <w:hideMark/>
          </w:tcPr>
          <w:p w14:paraId="3E867318"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01/07/2022</w:t>
            </w:r>
          </w:p>
        </w:tc>
        <w:tc>
          <w:tcPr>
            <w:tcW w:w="681" w:type="pct"/>
            <w:tcBorders>
              <w:top w:val="nil"/>
              <w:left w:val="nil"/>
              <w:bottom w:val="nil"/>
              <w:right w:val="nil"/>
            </w:tcBorders>
            <w:shd w:val="clear" w:color="auto" w:fill="auto"/>
            <w:vAlign w:val="bottom"/>
            <w:hideMark/>
          </w:tcPr>
          <w:p w14:paraId="46FA2793"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01/01/2022</w:t>
            </w:r>
          </w:p>
        </w:tc>
        <w:tc>
          <w:tcPr>
            <w:tcW w:w="681" w:type="pct"/>
            <w:tcBorders>
              <w:top w:val="nil"/>
              <w:left w:val="nil"/>
              <w:bottom w:val="nil"/>
              <w:right w:val="nil"/>
            </w:tcBorders>
            <w:shd w:val="clear" w:color="auto" w:fill="auto"/>
            <w:vAlign w:val="bottom"/>
            <w:hideMark/>
          </w:tcPr>
          <w:p w14:paraId="05CD13AA"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01/07/2021</w:t>
            </w:r>
          </w:p>
        </w:tc>
        <w:tc>
          <w:tcPr>
            <w:tcW w:w="720" w:type="pct"/>
            <w:tcBorders>
              <w:top w:val="nil"/>
              <w:left w:val="nil"/>
              <w:bottom w:val="nil"/>
              <w:right w:val="nil"/>
            </w:tcBorders>
            <w:shd w:val="clear" w:color="auto" w:fill="auto"/>
            <w:vAlign w:val="bottom"/>
            <w:hideMark/>
          </w:tcPr>
          <w:p w14:paraId="27780B65"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01/01/2021</w:t>
            </w:r>
          </w:p>
        </w:tc>
        <w:tc>
          <w:tcPr>
            <w:tcW w:w="230" w:type="pct"/>
            <w:tcBorders>
              <w:top w:val="nil"/>
              <w:left w:val="nil"/>
              <w:bottom w:val="nil"/>
              <w:right w:val="nil"/>
            </w:tcBorders>
            <w:shd w:val="clear" w:color="auto" w:fill="auto"/>
            <w:noWrap/>
            <w:vAlign w:val="center"/>
            <w:hideMark/>
          </w:tcPr>
          <w:p w14:paraId="4359E2BB" w14:textId="77777777" w:rsidR="00AF45DE" w:rsidRPr="00AF45DE" w:rsidRDefault="00AF45DE" w:rsidP="00AF45DE">
            <w:pPr>
              <w:jc w:val="right"/>
              <w:rPr>
                <w:rFonts w:asciiTheme="majorHAnsi" w:hAnsiTheme="majorHAnsi" w:cstheme="majorHAnsi"/>
                <w:b/>
                <w:bCs/>
                <w:sz w:val="16"/>
                <w:szCs w:val="16"/>
              </w:rPr>
            </w:pPr>
          </w:p>
        </w:tc>
      </w:tr>
      <w:tr w:rsidR="00AF45DE" w:rsidRPr="00AF45DE" w14:paraId="200795E0" w14:textId="77777777" w:rsidTr="00985E67">
        <w:trPr>
          <w:trHeight w:hRule="exact" w:val="227"/>
        </w:trPr>
        <w:tc>
          <w:tcPr>
            <w:tcW w:w="2008" w:type="pct"/>
            <w:tcBorders>
              <w:top w:val="nil"/>
              <w:left w:val="nil"/>
              <w:bottom w:val="nil"/>
              <w:right w:val="nil"/>
            </w:tcBorders>
            <w:shd w:val="clear" w:color="auto" w:fill="auto"/>
            <w:noWrap/>
            <w:vAlign w:val="bottom"/>
            <w:hideMark/>
          </w:tcPr>
          <w:p w14:paraId="639B88D8" w14:textId="77777777" w:rsidR="00AF45DE" w:rsidRPr="00AF45DE" w:rsidRDefault="00AF45DE">
            <w:pPr>
              <w:jc w:val="center"/>
              <w:rPr>
                <w:rFonts w:asciiTheme="majorHAnsi" w:hAnsiTheme="majorHAnsi" w:cstheme="majorHAnsi"/>
                <w:sz w:val="16"/>
                <w:szCs w:val="16"/>
              </w:rPr>
            </w:pPr>
          </w:p>
        </w:tc>
        <w:tc>
          <w:tcPr>
            <w:tcW w:w="681" w:type="pct"/>
            <w:tcBorders>
              <w:top w:val="nil"/>
              <w:left w:val="nil"/>
              <w:bottom w:val="nil"/>
              <w:right w:val="nil"/>
            </w:tcBorders>
            <w:shd w:val="clear" w:color="auto" w:fill="auto"/>
            <w:vAlign w:val="bottom"/>
            <w:hideMark/>
          </w:tcPr>
          <w:p w14:paraId="60DDB224"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a 30/09/2022</w:t>
            </w:r>
          </w:p>
        </w:tc>
        <w:tc>
          <w:tcPr>
            <w:tcW w:w="681" w:type="pct"/>
            <w:tcBorders>
              <w:top w:val="nil"/>
              <w:left w:val="nil"/>
              <w:bottom w:val="nil"/>
              <w:right w:val="nil"/>
            </w:tcBorders>
            <w:shd w:val="clear" w:color="auto" w:fill="auto"/>
            <w:vAlign w:val="bottom"/>
            <w:hideMark/>
          </w:tcPr>
          <w:p w14:paraId="3407E998"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a 30/09/2022</w:t>
            </w:r>
          </w:p>
        </w:tc>
        <w:tc>
          <w:tcPr>
            <w:tcW w:w="681" w:type="pct"/>
            <w:tcBorders>
              <w:top w:val="nil"/>
              <w:left w:val="nil"/>
              <w:bottom w:val="nil"/>
              <w:right w:val="nil"/>
            </w:tcBorders>
            <w:shd w:val="clear" w:color="auto" w:fill="auto"/>
            <w:vAlign w:val="bottom"/>
            <w:hideMark/>
          </w:tcPr>
          <w:p w14:paraId="2E992FE1"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a 30/09/2021</w:t>
            </w:r>
          </w:p>
        </w:tc>
        <w:tc>
          <w:tcPr>
            <w:tcW w:w="720" w:type="pct"/>
            <w:tcBorders>
              <w:top w:val="nil"/>
              <w:left w:val="nil"/>
              <w:bottom w:val="nil"/>
              <w:right w:val="nil"/>
            </w:tcBorders>
            <w:shd w:val="clear" w:color="auto" w:fill="auto"/>
            <w:vAlign w:val="bottom"/>
            <w:hideMark/>
          </w:tcPr>
          <w:p w14:paraId="45CEA567"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a 30/09/2021</w:t>
            </w:r>
          </w:p>
        </w:tc>
        <w:tc>
          <w:tcPr>
            <w:tcW w:w="230" w:type="pct"/>
            <w:tcBorders>
              <w:top w:val="nil"/>
              <w:left w:val="nil"/>
              <w:bottom w:val="nil"/>
              <w:right w:val="nil"/>
            </w:tcBorders>
            <w:shd w:val="clear" w:color="auto" w:fill="auto"/>
            <w:noWrap/>
            <w:vAlign w:val="center"/>
            <w:hideMark/>
          </w:tcPr>
          <w:p w14:paraId="23AC3204"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Nota</w:t>
            </w:r>
          </w:p>
        </w:tc>
      </w:tr>
      <w:tr w:rsidR="00AF45DE" w:rsidRPr="00AF45DE" w14:paraId="758A5A2B" w14:textId="77777777" w:rsidTr="00985E67">
        <w:trPr>
          <w:trHeight w:hRule="exact" w:val="227"/>
        </w:trPr>
        <w:tc>
          <w:tcPr>
            <w:tcW w:w="2008" w:type="pct"/>
            <w:tcBorders>
              <w:top w:val="nil"/>
              <w:left w:val="nil"/>
              <w:bottom w:val="nil"/>
              <w:right w:val="nil"/>
            </w:tcBorders>
            <w:shd w:val="clear" w:color="auto" w:fill="auto"/>
            <w:noWrap/>
            <w:vAlign w:val="bottom"/>
            <w:hideMark/>
          </w:tcPr>
          <w:p w14:paraId="5E0D84B8" w14:textId="77777777" w:rsidR="00AF45DE" w:rsidRPr="00AF45DE" w:rsidRDefault="00AF45DE">
            <w:pPr>
              <w:jc w:val="center"/>
              <w:rPr>
                <w:rFonts w:asciiTheme="majorHAnsi" w:hAnsiTheme="majorHAnsi" w:cstheme="majorHAnsi"/>
                <w:b/>
                <w:bCs/>
                <w:sz w:val="16"/>
                <w:szCs w:val="16"/>
              </w:rPr>
            </w:pPr>
          </w:p>
        </w:tc>
        <w:tc>
          <w:tcPr>
            <w:tcW w:w="681" w:type="pct"/>
            <w:tcBorders>
              <w:top w:val="nil"/>
              <w:left w:val="nil"/>
              <w:bottom w:val="nil"/>
              <w:right w:val="nil"/>
            </w:tcBorders>
            <w:shd w:val="clear" w:color="auto" w:fill="auto"/>
            <w:noWrap/>
            <w:vAlign w:val="bottom"/>
            <w:hideMark/>
          </w:tcPr>
          <w:p w14:paraId="47A97896"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4B83E1FE"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1D819C66" w14:textId="77777777" w:rsidR="00AF45DE" w:rsidRPr="00AF45DE" w:rsidRDefault="00AF45DE" w:rsidP="00AF45DE">
            <w:pPr>
              <w:jc w:val="right"/>
              <w:rPr>
                <w:rFonts w:asciiTheme="majorHAnsi" w:hAnsiTheme="majorHAnsi" w:cstheme="majorHAnsi"/>
                <w:sz w:val="16"/>
                <w:szCs w:val="16"/>
              </w:rPr>
            </w:pPr>
          </w:p>
        </w:tc>
        <w:tc>
          <w:tcPr>
            <w:tcW w:w="720" w:type="pct"/>
            <w:tcBorders>
              <w:top w:val="nil"/>
              <w:left w:val="nil"/>
              <w:bottom w:val="nil"/>
              <w:right w:val="nil"/>
            </w:tcBorders>
            <w:shd w:val="clear" w:color="auto" w:fill="auto"/>
            <w:noWrap/>
            <w:vAlign w:val="bottom"/>
            <w:hideMark/>
          </w:tcPr>
          <w:p w14:paraId="1059C7B4" w14:textId="77777777" w:rsidR="00AF45DE" w:rsidRPr="00AF45DE" w:rsidRDefault="00AF45DE" w:rsidP="00AF45DE">
            <w:pPr>
              <w:jc w:val="right"/>
              <w:rPr>
                <w:rFonts w:asciiTheme="majorHAnsi" w:hAnsiTheme="majorHAnsi" w:cstheme="majorHAnsi"/>
                <w:sz w:val="16"/>
                <w:szCs w:val="16"/>
              </w:rPr>
            </w:pPr>
          </w:p>
        </w:tc>
        <w:tc>
          <w:tcPr>
            <w:tcW w:w="230" w:type="pct"/>
            <w:tcBorders>
              <w:top w:val="nil"/>
              <w:left w:val="nil"/>
              <w:bottom w:val="nil"/>
              <w:right w:val="nil"/>
            </w:tcBorders>
            <w:shd w:val="clear" w:color="auto" w:fill="auto"/>
            <w:noWrap/>
            <w:vAlign w:val="center"/>
            <w:hideMark/>
          </w:tcPr>
          <w:p w14:paraId="5F4F0547" w14:textId="77777777" w:rsidR="00AF45DE" w:rsidRPr="00AF45DE" w:rsidRDefault="00AF45DE" w:rsidP="00AF45DE">
            <w:pPr>
              <w:jc w:val="right"/>
              <w:rPr>
                <w:rFonts w:asciiTheme="majorHAnsi" w:hAnsiTheme="majorHAnsi" w:cstheme="majorHAnsi"/>
                <w:sz w:val="16"/>
                <w:szCs w:val="16"/>
              </w:rPr>
            </w:pPr>
          </w:p>
        </w:tc>
      </w:tr>
      <w:tr w:rsidR="00AF45DE" w:rsidRPr="00AF45DE" w14:paraId="16FAA4DB" w14:textId="77777777" w:rsidTr="00985E67">
        <w:trPr>
          <w:trHeight w:hRule="exact" w:val="227"/>
        </w:trPr>
        <w:tc>
          <w:tcPr>
            <w:tcW w:w="2008" w:type="pct"/>
            <w:tcBorders>
              <w:top w:val="nil"/>
              <w:left w:val="nil"/>
              <w:bottom w:val="nil"/>
              <w:right w:val="nil"/>
            </w:tcBorders>
            <w:shd w:val="clear" w:color="auto" w:fill="auto"/>
            <w:noWrap/>
            <w:vAlign w:val="bottom"/>
            <w:hideMark/>
          </w:tcPr>
          <w:p w14:paraId="57B21A9B" w14:textId="77777777" w:rsidR="00AF45DE" w:rsidRPr="00AF45DE" w:rsidRDefault="00AF45DE">
            <w:pPr>
              <w:outlineLvl w:val="0"/>
              <w:rPr>
                <w:rFonts w:asciiTheme="majorHAnsi" w:hAnsiTheme="majorHAnsi" w:cstheme="majorHAnsi"/>
                <w:b/>
                <w:bCs/>
                <w:sz w:val="16"/>
                <w:szCs w:val="16"/>
              </w:rPr>
            </w:pPr>
            <w:r w:rsidRPr="00AF45DE">
              <w:rPr>
                <w:rFonts w:asciiTheme="majorHAnsi" w:hAnsiTheme="majorHAnsi" w:cstheme="majorHAnsi"/>
                <w:b/>
                <w:bCs/>
                <w:sz w:val="16"/>
                <w:szCs w:val="16"/>
              </w:rPr>
              <w:t>RECEITAS</w:t>
            </w:r>
          </w:p>
        </w:tc>
        <w:tc>
          <w:tcPr>
            <w:tcW w:w="681" w:type="pct"/>
            <w:tcBorders>
              <w:top w:val="nil"/>
              <w:left w:val="nil"/>
              <w:bottom w:val="nil"/>
              <w:right w:val="nil"/>
            </w:tcBorders>
            <w:shd w:val="clear" w:color="auto" w:fill="auto"/>
            <w:noWrap/>
            <w:vAlign w:val="bottom"/>
            <w:hideMark/>
          </w:tcPr>
          <w:p w14:paraId="66B3973B" w14:textId="77777777" w:rsidR="00AF45DE" w:rsidRPr="00AF45DE" w:rsidRDefault="00AF45DE" w:rsidP="00AF45DE">
            <w:pPr>
              <w:jc w:val="right"/>
              <w:outlineLvl w:val="0"/>
              <w:rPr>
                <w:rFonts w:asciiTheme="majorHAnsi" w:hAnsiTheme="majorHAnsi" w:cstheme="majorHAnsi"/>
                <w:b/>
                <w:bCs/>
                <w:sz w:val="16"/>
                <w:szCs w:val="16"/>
              </w:rPr>
            </w:pPr>
          </w:p>
        </w:tc>
        <w:tc>
          <w:tcPr>
            <w:tcW w:w="681" w:type="pct"/>
            <w:tcBorders>
              <w:top w:val="nil"/>
              <w:left w:val="nil"/>
              <w:bottom w:val="nil"/>
              <w:right w:val="nil"/>
            </w:tcBorders>
            <w:shd w:val="clear" w:color="auto" w:fill="auto"/>
            <w:noWrap/>
            <w:vAlign w:val="bottom"/>
            <w:hideMark/>
          </w:tcPr>
          <w:p w14:paraId="12BD93FE" w14:textId="77777777" w:rsidR="00AF45DE" w:rsidRPr="00AF45DE" w:rsidRDefault="00AF45DE" w:rsidP="00AF45DE">
            <w:pPr>
              <w:jc w:val="right"/>
              <w:outlineLvl w:val="0"/>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0DE33DC9" w14:textId="77777777" w:rsidR="00AF45DE" w:rsidRPr="00AF45DE" w:rsidRDefault="00AF45DE" w:rsidP="00AF45DE">
            <w:pPr>
              <w:jc w:val="right"/>
              <w:outlineLvl w:val="0"/>
              <w:rPr>
                <w:rFonts w:asciiTheme="majorHAnsi" w:hAnsiTheme="majorHAnsi" w:cstheme="majorHAnsi"/>
                <w:sz w:val="16"/>
                <w:szCs w:val="16"/>
              </w:rPr>
            </w:pPr>
          </w:p>
        </w:tc>
        <w:tc>
          <w:tcPr>
            <w:tcW w:w="720" w:type="pct"/>
            <w:tcBorders>
              <w:top w:val="nil"/>
              <w:left w:val="nil"/>
              <w:bottom w:val="nil"/>
              <w:right w:val="nil"/>
            </w:tcBorders>
            <w:shd w:val="clear" w:color="auto" w:fill="auto"/>
            <w:noWrap/>
            <w:vAlign w:val="bottom"/>
            <w:hideMark/>
          </w:tcPr>
          <w:p w14:paraId="61C5F892" w14:textId="77777777" w:rsidR="00AF45DE" w:rsidRPr="00AF45DE" w:rsidRDefault="00AF45DE" w:rsidP="00AF45DE">
            <w:pPr>
              <w:jc w:val="right"/>
              <w:outlineLvl w:val="0"/>
              <w:rPr>
                <w:rFonts w:asciiTheme="majorHAnsi" w:hAnsiTheme="majorHAnsi" w:cstheme="majorHAnsi"/>
                <w:sz w:val="16"/>
                <w:szCs w:val="16"/>
              </w:rPr>
            </w:pPr>
          </w:p>
        </w:tc>
        <w:tc>
          <w:tcPr>
            <w:tcW w:w="230" w:type="pct"/>
            <w:tcBorders>
              <w:top w:val="nil"/>
              <w:left w:val="nil"/>
              <w:bottom w:val="nil"/>
              <w:right w:val="nil"/>
            </w:tcBorders>
            <w:shd w:val="clear" w:color="auto" w:fill="auto"/>
            <w:noWrap/>
            <w:vAlign w:val="center"/>
            <w:hideMark/>
          </w:tcPr>
          <w:p w14:paraId="02DDEDDB" w14:textId="77777777" w:rsidR="00AF45DE" w:rsidRPr="00AF45DE" w:rsidRDefault="00AF45DE" w:rsidP="00AF45DE">
            <w:pPr>
              <w:jc w:val="right"/>
              <w:outlineLvl w:val="0"/>
              <w:rPr>
                <w:rFonts w:asciiTheme="majorHAnsi" w:hAnsiTheme="majorHAnsi" w:cstheme="majorHAnsi"/>
                <w:sz w:val="16"/>
                <w:szCs w:val="16"/>
              </w:rPr>
            </w:pPr>
          </w:p>
        </w:tc>
      </w:tr>
      <w:tr w:rsidR="00AF45DE" w:rsidRPr="00AF45DE" w14:paraId="7841E92F" w14:textId="77777777" w:rsidTr="00985E67">
        <w:trPr>
          <w:trHeight w:hRule="exact" w:val="227"/>
        </w:trPr>
        <w:tc>
          <w:tcPr>
            <w:tcW w:w="2008" w:type="pct"/>
            <w:tcBorders>
              <w:top w:val="nil"/>
              <w:left w:val="nil"/>
              <w:bottom w:val="nil"/>
              <w:right w:val="nil"/>
            </w:tcBorders>
            <w:shd w:val="clear" w:color="auto" w:fill="auto"/>
            <w:noWrap/>
            <w:vAlign w:val="bottom"/>
            <w:hideMark/>
          </w:tcPr>
          <w:p w14:paraId="2893252D" w14:textId="77777777" w:rsidR="00AF45DE" w:rsidRPr="00AF45DE" w:rsidRDefault="00AF45DE">
            <w:pPr>
              <w:outlineLvl w:val="0"/>
              <w:rPr>
                <w:rFonts w:asciiTheme="majorHAnsi" w:hAnsiTheme="majorHAnsi" w:cstheme="majorHAnsi"/>
                <w:sz w:val="16"/>
                <w:szCs w:val="16"/>
              </w:rPr>
            </w:pPr>
            <w:r w:rsidRPr="00AF45DE">
              <w:rPr>
                <w:rFonts w:asciiTheme="majorHAnsi" w:hAnsiTheme="majorHAnsi" w:cstheme="majorHAnsi"/>
                <w:sz w:val="16"/>
                <w:szCs w:val="16"/>
              </w:rPr>
              <w:t xml:space="preserve">        Receita de Exploração da Ferrovia</w:t>
            </w:r>
          </w:p>
        </w:tc>
        <w:tc>
          <w:tcPr>
            <w:tcW w:w="681" w:type="pct"/>
            <w:tcBorders>
              <w:top w:val="nil"/>
              <w:left w:val="nil"/>
              <w:bottom w:val="nil"/>
              <w:right w:val="nil"/>
            </w:tcBorders>
            <w:shd w:val="clear" w:color="auto" w:fill="auto"/>
            <w:noWrap/>
            <w:vAlign w:val="bottom"/>
            <w:hideMark/>
          </w:tcPr>
          <w:p w14:paraId="300601FF"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6.317 </w:t>
            </w:r>
          </w:p>
        </w:tc>
        <w:tc>
          <w:tcPr>
            <w:tcW w:w="681" w:type="pct"/>
            <w:tcBorders>
              <w:top w:val="nil"/>
              <w:left w:val="nil"/>
              <w:bottom w:val="nil"/>
              <w:right w:val="nil"/>
            </w:tcBorders>
            <w:shd w:val="clear" w:color="auto" w:fill="auto"/>
            <w:noWrap/>
            <w:vAlign w:val="bottom"/>
            <w:hideMark/>
          </w:tcPr>
          <w:p w14:paraId="71875486"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22.855 </w:t>
            </w:r>
          </w:p>
        </w:tc>
        <w:tc>
          <w:tcPr>
            <w:tcW w:w="681" w:type="pct"/>
            <w:tcBorders>
              <w:top w:val="nil"/>
              <w:left w:val="nil"/>
              <w:bottom w:val="nil"/>
              <w:right w:val="nil"/>
            </w:tcBorders>
            <w:shd w:val="clear" w:color="auto" w:fill="auto"/>
            <w:noWrap/>
            <w:vAlign w:val="bottom"/>
            <w:hideMark/>
          </w:tcPr>
          <w:p w14:paraId="6FC27E0E"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720" w:type="pct"/>
            <w:tcBorders>
              <w:top w:val="nil"/>
              <w:left w:val="nil"/>
              <w:bottom w:val="nil"/>
              <w:right w:val="nil"/>
            </w:tcBorders>
            <w:shd w:val="clear" w:color="auto" w:fill="auto"/>
            <w:noWrap/>
            <w:vAlign w:val="bottom"/>
            <w:hideMark/>
          </w:tcPr>
          <w:p w14:paraId="136AD626"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110.877 </w:t>
            </w:r>
          </w:p>
        </w:tc>
        <w:tc>
          <w:tcPr>
            <w:tcW w:w="230" w:type="pct"/>
            <w:tcBorders>
              <w:top w:val="nil"/>
              <w:left w:val="nil"/>
              <w:bottom w:val="nil"/>
              <w:right w:val="nil"/>
            </w:tcBorders>
            <w:shd w:val="clear" w:color="auto" w:fill="auto"/>
            <w:noWrap/>
            <w:vAlign w:val="center"/>
            <w:hideMark/>
          </w:tcPr>
          <w:p w14:paraId="04A63B69" w14:textId="77777777" w:rsidR="00AF45DE" w:rsidRPr="00AF45DE" w:rsidRDefault="00AF45DE" w:rsidP="00AF45DE">
            <w:pPr>
              <w:jc w:val="right"/>
              <w:outlineLvl w:val="0"/>
              <w:rPr>
                <w:rFonts w:asciiTheme="majorHAnsi" w:hAnsiTheme="majorHAnsi" w:cstheme="majorHAnsi"/>
                <w:sz w:val="16"/>
                <w:szCs w:val="16"/>
              </w:rPr>
            </w:pPr>
          </w:p>
        </w:tc>
      </w:tr>
      <w:tr w:rsidR="00AF45DE" w:rsidRPr="00AF45DE" w14:paraId="71930283" w14:textId="77777777" w:rsidTr="00985E67">
        <w:trPr>
          <w:trHeight w:hRule="exact" w:val="227"/>
        </w:trPr>
        <w:tc>
          <w:tcPr>
            <w:tcW w:w="2008" w:type="pct"/>
            <w:tcBorders>
              <w:top w:val="nil"/>
              <w:left w:val="nil"/>
              <w:bottom w:val="nil"/>
              <w:right w:val="nil"/>
            </w:tcBorders>
            <w:shd w:val="clear" w:color="auto" w:fill="auto"/>
            <w:noWrap/>
            <w:vAlign w:val="bottom"/>
            <w:hideMark/>
          </w:tcPr>
          <w:p w14:paraId="139B9934" w14:textId="77777777" w:rsidR="00AF45DE" w:rsidRPr="00AF45DE" w:rsidRDefault="00AF45DE">
            <w:pPr>
              <w:outlineLvl w:val="0"/>
              <w:rPr>
                <w:rFonts w:asciiTheme="majorHAnsi" w:hAnsiTheme="majorHAnsi" w:cstheme="majorHAnsi"/>
                <w:sz w:val="16"/>
                <w:szCs w:val="16"/>
              </w:rPr>
            </w:pPr>
            <w:r w:rsidRPr="00AF45DE">
              <w:rPr>
                <w:rFonts w:asciiTheme="majorHAnsi" w:hAnsiTheme="majorHAnsi" w:cstheme="majorHAnsi"/>
                <w:sz w:val="16"/>
                <w:szCs w:val="16"/>
              </w:rPr>
              <w:t xml:space="preserve">        Receita com Subconcessão FIOL</w:t>
            </w:r>
          </w:p>
        </w:tc>
        <w:tc>
          <w:tcPr>
            <w:tcW w:w="681" w:type="pct"/>
            <w:tcBorders>
              <w:top w:val="nil"/>
              <w:left w:val="nil"/>
              <w:bottom w:val="nil"/>
              <w:right w:val="nil"/>
            </w:tcBorders>
            <w:shd w:val="clear" w:color="auto" w:fill="auto"/>
            <w:noWrap/>
            <w:vAlign w:val="bottom"/>
            <w:hideMark/>
          </w:tcPr>
          <w:p w14:paraId="53510D5F"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545.500 </w:t>
            </w:r>
          </w:p>
        </w:tc>
        <w:tc>
          <w:tcPr>
            <w:tcW w:w="681" w:type="pct"/>
            <w:tcBorders>
              <w:top w:val="nil"/>
              <w:left w:val="nil"/>
              <w:bottom w:val="nil"/>
              <w:right w:val="nil"/>
            </w:tcBorders>
            <w:shd w:val="clear" w:color="auto" w:fill="auto"/>
            <w:noWrap/>
            <w:vAlign w:val="bottom"/>
            <w:hideMark/>
          </w:tcPr>
          <w:p w14:paraId="677AD92A"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1.636.500 </w:t>
            </w:r>
          </w:p>
        </w:tc>
        <w:tc>
          <w:tcPr>
            <w:tcW w:w="681" w:type="pct"/>
            <w:tcBorders>
              <w:top w:val="nil"/>
              <w:left w:val="nil"/>
              <w:bottom w:val="nil"/>
              <w:right w:val="nil"/>
            </w:tcBorders>
            <w:shd w:val="clear" w:color="auto" w:fill="auto"/>
            <w:noWrap/>
            <w:vAlign w:val="bottom"/>
            <w:hideMark/>
          </w:tcPr>
          <w:p w14:paraId="6EEA106C"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720" w:type="pct"/>
            <w:tcBorders>
              <w:top w:val="nil"/>
              <w:left w:val="nil"/>
              <w:bottom w:val="nil"/>
              <w:right w:val="nil"/>
            </w:tcBorders>
            <w:shd w:val="clear" w:color="auto" w:fill="auto"/>
            <w:noWrap/>
            <w:vAlign w:val="bottom"/>
            <w:hideMark/>
          </w:tcPr>
          <w:p w14:paraId="2484FC37"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230" w:type="pct"/>
            <w:tcBorders>
              <w:top w:val="nil"/>
              <w:left w:val="nil"/>
              <w:bottom w:val="nil"/>
              <w:right w:val="nil"/>
            </w:tcBorders>
            <w:shd w:val="clear" w:color="auto" w:fill="auto"/>
            <w:noWrap/>
            <w:vAlign w:val="center"/>
            <w:hideMark/>
          </w:tcPr>
          <w:p w14:paraId="1CCCA2EC" w14:textId="77777777" w:rsidR="00AF45DE" w:rsidRPr="00AF45DE" w:rsidRDefault="00AF45DE" w:rsidP="00AF45DE">
            <w:pPr>
              <w:jc w:val="right"/>
              <w:outlineLvl w:val="0"/>
              <w:rPr>
                <w:rFonts w:asciiTheme="majorHAnsi" w:hAnsiTheme="majorHAnsi" w:cstheme="majorHAnsi"/>
                <w:sz w:val="16"/>
                <w:szCs w:val="16"/>
              </w:rPr>
            </w:pPr>
          </w:p>
        </w:tc>
      </w:tr>
      <w:tr w:rsidR="00AF45DE" w:rsidRPr="00AF45DE" w14:paraId="3B048FD5" w14:textId="77777777" w:rsidTr="00985E67">
        <w:trPr>
          <w:trHeight w:hRule="exact" w:val="227"/>
        </w:trPr>
        <w:tc>
          <w:tcPr>
            <w:tcW w:w="2008" w:type="pct"/>
            <w:tcBorders>
              <w:top w:val="nil"/>
              <w:left w:val="nil"/>
              <w:bottom w:val="nil"/>
              <w:right w:val="nil"/>
            </w:tcBorders>
            <w:shd w:val="clear" w:color="auto" w:fill="auto"/>
            <w:noWrap/>
            <w:vAlign w:val="bottom"/>
            <w:hideMark/>
          </w:tcPr>
          <w:p w14:paraId="2FD44012" w14:textId="77777777" w:rsidR="00AF45DE" w:rsidRPr="00AF45DE" w:rsidRDefault="00AF45DE">
            <w:pPr>
              <w:outlineLvl w:val="0"/>
              <w:rPr>
                <w:rFonts w:asciiTheme="majorHAnsi" w:hAnsiTheme="majorHAnsi" w:cstheme="majorHAnsi"/>
                <w:sz w:val="16"/>
                <w:szCs w:val="16"/>
              </w:rPr>
            </w:pPr>
            <w:r w:rsidRPr="00AF45DE">
              <w:rPr>
                <w:rFonts w:asciiTheme="majorHAnsi" w:hAnsiTheme="majorHAnsi" w:cstheme="majorHAnsi"/>
                <w:sz w:val="16"/>
                <w:szCs w:val="16"/>
              </w:rPr>
              <w:t xml:space="preserve">        Permissão para uso de pátios</w:t>
            </w:r>
          </w:p>
        </w:tc>
        <w:tc>
          <w:tcPr>
            <w:tcW w:w="681" w:type="pct"/>
            <w:tcBorders>
              <w:top w:val="nil"/>
              <w:left w:val="nil"/>
              <w:bottom w:val="nil"/>
              <w:right w:val="nil"/>
            </w:tcBorders>
            <w:shd w:val="clear" w:color="auto" w:fill="auto"/>
            <w:noWrap/>
            <w:vAlign w:val="bottom"/>
            <w:hideMark/>
          </w:tcPr>
          <w:p w14:paraId="7CAABC57"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1.109.256 </w:t>
            </w:r>
          </w:p>
        </w:tc>
        <w:tc>
          <w:tcPr>
            <w:tcW w:w="681" w:type="pct"/>
            <w:tcBorders>
              <w:top w:val="nil"/>
              <w:left w:val="nil"/>
              <w:bottom w:val="nil"/>
              <w:right w:val="nil"/>
            </w:tcBorders>
            <w:shd w:val="clear" w:color="000000" w:fill="FFFFFF"/>
            <w:noWrap/>
            <w:vAlign w:val="bottom"/>
            <w:hideMark/>
          </w:tcPr>
          <w:p w14:paraId="3D085296"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3.250.711 </w:t>
            </w:r>
          </w:p>
        </w:tc>
        <w:tc>
          <w:tcPr>
            <w:tcW w:w="681" w:type="pct"/>
            <w:tcBorders>
              <w:top w:val="nil"/>
              <w:left w:val="nil"/>
              <w:bottom w:val="nil"/>
              <w:right w:val="nil"/>
            </w:tcBorders>
            <w:shd w:val="clear" w:color="000000" w:fill="FFFFFF"/>
            <w:noWrap/>
            <w:vAlign w:val="bottom"/>
            <w:hideMark/>
          </w:tcPr>
          <w:p w14:paraId="03551D70"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709.521 </w:t>
            </w:r>
          </w:p>
        </w:tc>
        <w:tc>
          <w:tcPr>
            <w:tcW w:w="720" w:type="pct"/>
            <w:tcBorders>
              <w:top w:val="nil"/>
              <w:left w:val="nil"/>
              <w:bottom w:val="nil"/>
              <w:right w:val="nil"/>
            </w:tcBorders>
            <w:shd w:val="clear" w:color="auto" w:fill="auto"/>
            <w:noWrap/>
            <w:vAlign w:val="bottom"/>
            <w:hideMark/>
          </w:tcPr>
          <w:p w14:paraId="7356F61A"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1.905.712 </w:t>
            </w:r>
          </w:p>
        </w:tc>
        <w:tc>
          <w:tcPr>
            <w:tcW w:w="230" w:type="pct"/>
            <w:tcBorders>
              <w:top w:val="nil"/>
              <w:left w:val="nil"/>
              <w:bottom w:val="nil"/>
              <w:right w:val="nil"/>
            </w:tcBorders>
            <w:shd w:val="clear" w:color="auto" w:fill="auto"/>
            <w:noWrap/>
            <w:vAlign w:val="center"/>
            <w:hideMark/>
          </w:tcPr>
          <w:p w14:paraId="6A2C27ED" w14:textId="77777777" w:rsidR="00AF45DE" w:rsidRPr="00AF45DE" w:rsidRDefault="00AF45DE" w:rsidP="00AF45DE">
            <w:pPr>
              <w:jc w:val="right"/>
              <w:outlineLvl w:val="0"/>
              <w:rPr>
                <w:rFonts w:asciiTheme="majorHAnsi" w:hAnsiTheme="majorHAnsi" w:cstheme="majorHAnsi"/>
                <w:sz w:val="16"/>
                <w:szCs w:val="16"/>
              </w:rPr>
            </w:pPr>
          </w:p>
        </w:tc>
      </w:tr>
      <w:tr w:rsidR="00AF45DE" w:rsidRPr="00AF45DE" w14:paraId="37A49A74" w14:textId="77777777" w:rsidTr="00985E67">
        <w:trPr>
          <w:trHeight w:hRule="exact" w:val="227"/>
        </w:trPr>
        <w:tc>
          <w:tcPr>
            <w:tcW w:w="2008" w:type="pct"/>
            <w:tcBorders>
              <w:top w:val="nil"/>
              <w:left w:val="nil"/>
              <w:bottom w:val="nil"/>
              <w:right w:val="nil"/>
            </w:tcBorders>
            <w:shd w:val="clear" w:color="auto" w:fill="auto"/>
            <w:noWrap/>
            <w:vAlign w:val="bottom"/>
            <w:hideMark/>
          </w:tcPr>
          <w:p w14:paraId="390EA4F6" w14:textId="77777777" w:rsidR="00AF45DE" w:rsidRPr="00AF45DE" w:rsidRDefault="00AF45DE">
            <w:pPr>
              <w:outlineLvl w:val="0"/>
              <w:rPr>
                <w:rFonts w:asciiTheme="majorHAnsi" w:hAnsiTheme="majorHAnsi" w:cstheme="majorHAnsi"/>
                <w:sz w:val="16"/>
                <w:szCs w:val="16"/>
              </w:rPr>
            </w:pPr>
            <w:r w:rsidRPr="00AF45DE">
              <w:rPr>
                <w:rFonts w:asciiTheme="majorHAnsi" w:hAnsiTheme="majorHAnsi" w:cstheme="majorHAnsi"/>
                <w:sz w:val="16"/>
                <w:szCs w:val="16"/>
              </w:rPr>
              <w:t xml:space="preserve">        (-) Deduções de Receita</w:t>
            </w:r>
          </w:p>
        </w:tc>
        <w:tc>
          <w:tcPr>
            <w:tcW w:w="681" w:type="pct"/>
            <w:tcBorders>
              <w:top w:val="nil"/>
              <w:left w:val="nil"/>
              <w:bottom w:val="nil"/>
              <w:right w:val="nil"/>
            </w:tcBorders>
            <w:shd w:val="clear" w:color="auto" w:fill="auto"/>
            <w:noWrap/>
            <w:vAlign w:val="bottom"/>
            <w:hideMark/>
          </w:tcPr>
          <w:p w14:paraId="01DB4F42"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(103.036)</w:t>
            </w:r>
          </w:p>
        </w:tc>
        <w:tc>
          <w:tcPr>
            <w:tcW w:w="681" w:type="pct"/>
            <w:tcBorders>
              <w:top w:val="nil"/>
              <w:left w:val="nil"/>
              <w:bottom w:val="nil"/>
              <w:right w:val="nil"/>
            </w:tcBorders>
            <w:shd w:val="clear" w:color="auto" w:fill="auto"/>
            <w:noWrap/>
            <w:vAlign w:val="bottom"/>
            <w:hideMark/>
          </w:tcPr>
          <w:p w14:paraId="557C3AF1"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(246.697)</w:t>
            </w:r>
          </w:p>
        </w:tc>
        <w:tc>
          <w:tcPr>
            <w:tcW w:w="681" w:type="pct"/>
            <w:tcBorders>
              <w:top w:val="nil"/>
              <w:left w:val="nil"/>
              <w:bottom w:val="nil"/>
              <w:right w:val="nil"/>
            </w:tcBorders>
            <w:shd w:val="clear" w:color="auto" w:fill="auto"/>
            <w:noWrap/>
            <w:vAlign w:val="bottom"/>
            <w:hideMark/>
          </w:tcPr>
          <w:p w14:paraId="19EE1097"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720" w:type="pct"/>
            <w:tcBorders>
              <w:top w:val="nil"/>
              <w:left w:val="nil"/>
              <w:bottom w:val="nil"/>
              <w:right w:val="nil"/>
            </w:tcBorders>
            <w:shd w:val="clear" w:color="auto" w:fill="auto"/>
            <w:noWrap/>
            <w:vAlign w:val="bottom"/>
            <w:hideMark/>
          </w:tcPr>
          <w:p w14:paraId="5CFF1D96" w14:textId="77777777" w:rsidR="00AF45DE" w:rsidRPr="00AF45DE" w:rsidRDefault="00AF45DE" w:rsidP="00AF45DE">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(163.240)</w:t>
            </w:r>
          </w:p>
        </w:tc>
        <w:tc>
          <w:tcPr>
            <w:tcW w:w="230" w:type="pct"/>
            <w:tcBorders>
              <w:top w:val="nil"/>
              <w:left w:val="nil"/>
              <w:bottom w:val="nil"/>
              <w:right w:val="nil"/>
            </w:tcBorders>
            <w:shd w:val="clear" w:color="auto" w:fill="auto"/>
            <w:noWrap/>
            <w:vAlign w:val="center"/>
            <w:hideMark/>
          </w:tcPr>
          <w:p w14:paraId="421EEE31" w14:textId="77777777" w:rsidR="00AF45DE" w:rsidRPr="00AF45DE" w:rsidRDefault="00AF45DE" w:rsidP="00AF45DE">
            <w:pPr>
              <w:jc w:val="right"/>
              <w:outlineLvl w:val="0"/>
              <w:rPr>
                <w:rFonts w:asciiTheme="majorHAnsi" w:hAnsiTheme="majorHAnsi" w:cstheme="majorHAnsi"/>
                <w:sz w:val="16"/>
                <w:szCs w:val="16"/>
              </w:rPr>
            </w:pPr>
          </w:p>
        </w:tc>
      </w:tr>
      <w:tr w:rsidR="00AF45DE" w:rsidRPr="00AF45DE" w14:paraId="3566A765" w14:textId="77777777" w:rsidTr="00985E67">
        <w:trPr>
          <w:trHeight w:hRule="exact" w:val="227"/>
        </w:trPr>
        <w:tc>
          <w:tcPr>
            <w:tcW w:w="2008" w:type="pct"/>
            <w:tcBorders>
              <w:top w:val="nil"/>
              <w:left w:val="nil"/>
              <w:bottom w:val="nil"/>
              <w:right w:val="nil"/>
            </w:tcBorders>
            <w:shd w:val="clear" w:color="auto" w:fill="auto"/>
            <w:noWrap/>
            <w:vAlign w:val="bottom"/>
            <w:hideMark/>
          </w:tcPr>
          <w:p w14:paraId="40C62703" w14:textId="77777777" w:rsidR="00AF45DE" w:rsidRPr="00AF45DE" w:rsidRDefault="00AF45DE">
            <w:pPr>
              <w:jc w:val="center"/>
              <w:outlineLvl w:val="0"/>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0CD373E3" w14:textId="77777777" w:rsidR="00AF45DE" w:rsidRPr="00AF45DE" w:rsidRDefault="00AF45DE" w:rsidP="00AF45DE">
            <w:pPr>
              <w:jc w:val="right"/>
              <w:outlineLvl w:val="0"/>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27117E1E" w14:textId="77777777" w:rsidR="00AF45DE" w:rsidRPr="00AF45DE" w:rsidRDefault="00AF45DE" w:rsidP="00AF45DE">
            <w:pPr>
              <w:jc w:val="right"/>
              <w:outlineLvl w:val="0"/>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652016A5" w14:textId="77777777" w:rsidR="00AF45DE" w:rsidRPr="00AF45DE" w:rsidRDefault="00AF45DE" w:rsidP="00AF45DE">
            <w:pPr>
              <w:jc w:val="right"/>
              <w:outlineLvl w:val="0"/>
              <w:rPr>
                <w:rFonts w:asciiTheme="majorHAnsi" w:hAnsiTheme="majorHAnsi" w:cstheme="majorHAnsi"/>
                <w:sz w:val="16"/>
                <w:szCs w:val="16"/>
              </w:rPr>
            </w:pPr>
          </w:p>
        </w:tc>
        <w:tc>
          <w:tcPr>
            <w:tcW w:w="720" w:type="pct"/>
            <w:tcBorders>
              <w:top w:val="nil"/>
              <w:left w:val="nil"/>
              <w:bottom w:val="nil"/>
              <w:right w:val="nil"/>
            </w:tcBorders>
            <w:shd w:val="clear" w:color="auto" w:fill="auto"/>
            <w:noWrap/>
            <w:vAlign w:val="bottom"/>
            <w:hideMark/>
          </w:tcPr>
          <w:p w14:paraId="1B11984D" w14:textId="77777777" w:rsidR="00AF45DE" w:rsidRPr="00AF45DE" w:rsidRDefault="00AF45DE" w:rsidP="00AF45DE">
            <w:pPr>
              <w:jc w:val="right"/>
              <w:outlineLvl w:val="0"/>
              <w:rPr>
                <w:rFonts w:asciiTheme="majorHAnsi" w:hAnsiTheme="majorHAnsi" w:cstheme="majorHAnsi"/>
                <w:sz w:val="16"/>
                <w:szCs w:val="16"/>
              </w:rPr>
            </w:pPr>
          </w:p>
        </w:tc>
        <w:tc>
          <w:tcPr>
            <w:tcW w:w="230" w:type="pct"/>
            <w:tcBorders>
              <w:top w:val="nil"/>
              <w:left w:val="nil"/>
              <w:bottom w:val="nil"/>
              <w:right w:val="nil"/>
            </w:tcBorders>
            <w:shd w:val="clear" w:color="auto" w:fill="auto"/>
            <w:noWrap/>
            <w:vAlign w:val="center"/>
            <w:hideMark/>
          </w:tcPr>
          <w:p w14:paraId="0D0C8C15" w14:textId="77777777" w:rsidR="00AF45DE" w:rsidRPr="00AF45DE" w:rsidRDefault="00AF45DE" w:rsidP="00AF45DE">
            <w:pPr>
              <w:jc w:val="right"/>
              <w:outlineLvl w:val="0"/>
              <w:rPr>
                <w:rFonts w:asciiTheme="majorHAnsi" w:hAnsiTheme="majorHAnsi" w:cstheme="majorHAnsi"/>
                <w:sz w:val="16"/>
                <w:szCs w:val="16"/>
              </w:rPr>
            </w:pPr>
          </w:p>
        </w:tc>
      </w:tr>
      <w:tr w:rsidR="00AF45DE" w:rsidRPr="00AF45DE" w14:paraId="258BC0D8" w14:textId="77777777" w:rsidTr="00985E67">
        <w:trPr>
          <w:trHeight w:hRule="exact" w:val="227"/>
        </w:trPr>
        <w:tc>
          <w:tcPr>
            <w:tcW w:w="2008" w:type="pct"/>
            <w:tcBorders>
              <w:top w:val="nil"/>
              <w:left w:val="nil"/>
              <w:bottom w:val="nil"/>
              <w:right w:val="nil"/>
            </w:tcBorders>
            <w:shd w:val="clear" w:color="auto" w:fill="auto"/>
            <w:noWrap/>
            <w:vAlign w:val="bottom"/>
            <w:hideMark/>
          </w:tcPr>
          <w:p w14:paraId="3E309626"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RECEITAS LÍQUIDAS</w:t>
            </w:r>
          </w:p>
        </w:tc>
        <w:tc>
          <w:tcPr>
            <w:tcW w:w="681" w:type="pct"/>
            <w:tcBorders>
              <w:top w:val="nil"/>
              <w:left w:val="nil"/>
              <w:bottom w:val="nil"/>
              <w:right w:val="nil"/>
            </w:tcBorders>
            <w:shd w:val="clear" w:color="auto" w:fill="auto"/>
            <w:noWrap/>
            <w:vAlign w:val="bottom"/>
            <w:hideMark/>
          </w:tcPr>
          <w:p w14:paraId="68FCFC14"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1.558.037 </w:t>
            </w:r>
          </w:p>
        </w:tc>
        <w:tc>
          <w:tcPr>
            <w:tcW w:w="681" w:type="pct"/>
            <w:tcBorders>
              <w:top w:val="nil"/>
              <w:left w:val="nil"/>
              <w:bottom w:val="nil"/>
              <w:right w:val="nil"/>
            </w:tcBorders>
            <w:shd w:val="clear" w:color="000000" w:fill="FFFFFF"/>
            <w:noWrap/>
            <w:vAlign w:val="bottom"/>
            <w:hideMark/>
          </w:tcPr>
          <w:p w14:paraId="4C5F8805"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4.663.369 </w:t>
            </w:r>
          </w:p>
        </w:tc>
        <w:tc>
          <w:tcPr>
            <w:tcW w:w="681" w:type="pct"/>
            <w:tcBorders>
              <w:top w:val="nil"/>
              <w:left w:val="nil"/>
              <w:bottom w:val="nil"/>
              <w:right w:val="nil"/>
            </w:tcBorders>
            <w:shd w:val="clear" w:color="000000" w:fill="FFFFFF"/>
            <w:noWrap/>
            <w:vAlign w:val="bottom"/>
            <w:hideMark/>
          </w:tcPr>
          <w:p w14:paraId="07F21238"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709.521 </w:t>
            </w:r>
          </w:p>
        </w:tc>
        <w:tc>
          <w:tcPr>
            <w:tcW w:w="720" w:type="pct"/>
            <w:tcBorders>
              <w:top w:val="nil"/>
              <w:left w:val="nil"/>
              <w:bottom w:val="nil"/>
              <w:right w:val="nil"/>
            </w:tcBorders>
            <w:shd w:val="clear" w:color="000000" w:fill="FFFFFF"/>
            <w:noWrap/>
            <w:vAlign w:val="bottom"/>
            <w:hideMark/>
          </w:tcPr>
          <w:p w14:paraId="6CB19F1F"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1.853.349 </w:t>
            </w:r>
          </w:p>
        </w:tc>
        <w:tc>
          <w:tcPr>
            <w:tcW w:w="230" w:type="pct"/>
            <w:tcBorders>
              <w:top w:val="nil"/>
              <w:left w:val="nil"/>
              <w:bottom w:val="nil"/>
              <w:right w:val="nil"/>
            </w:tcBorders>
            <w:shd w:val="clear" w:color="000000" w:fill="FFFFFF"/>
            <w:noWrap/>
            <w:vAlign w:val="center"/>
            <w:hideMark/>
          </w:tcPr>
          <w:p w14:paraId="75324B9D"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(18)</w:t>
            </w:r>
          </w:p>
        </w:tc>
      </w:tr>
      <w:tr w:rsidR="00AF45DE" w:rsidRPr="00AF45DE" w14:paraId="60020FD6" w14:textId="77777777" w:rsidTr="00985E67">
        <w:trPr>
          <w:trHeight w:hRule="exact" w:val="227"/>
        </w:trPr>
        <w:tc>
          <w:tcPr>
            <w:tcW w:w="2008" w:type="pct"/>
            <w:tcBorders>
              <w:top w:val="nil"/>
              <w:left w:val="nil"/>
              <w:bottom w:val="nil"/>
              <w:right w:val="nil"/>
            </w:tcBorders>
            <w:shd w:val="clear" w:color="auto" w:fill="auto"/>
            <w:noWrap/>
            <w:vAlign w:val="bottom"/>
            <w:hideMark/>
          </w:tcPr>
          <w:p w14:paraId="7D71ED37" w14:textId="77777777" w:rsidR="00AF45DE" w:rsidRPr="00AF45DE" w:rsidRDefault="00AF45DE">
            <w:pPr>
              <w:jc w:val="center"/>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16A65384"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05DE9E3D"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48692EE0" w14:textId="77777777" w:rsidR="00AF45DE" w:rsidRPr="00AF45DE" w:rsidRDefault="00AF45DE" w:rsidP="00AF45DE">
            <w:pPr>
              <w:jc w:val="right"/>
              <w:rPr>
                <w:rFonts w:asciiTheme="majorHAnsi" w:hAnsiTheme="majorHAnsi" w:cstheme="majorHAnsi"/>
                <w:sz w:val="16"/>
                <w:szCs w:val="16"/>
              </w:rPr>
            </w:pPr>
          </w:p>
        </w:tc>
        <w:tc>
          <w:tcPr>
            <w:tcW w:w="720" w:type="pct"/>
            <w:tcBorders>
              <w:top w:val="nil"/>
              <w:left w:val="nil"/>
              <w:bottom w:val="nil"/>
              <w:right w:val="nil"/>
            </w:tcBorders>
            <w:shd w:val="clear" w:color="auto" w:fill="auto"/>
            <w:noWrap/>
            <w:vAlign w:val="bottom"/>
            <w:hideMark/>
          </w:tcPr>
          <w:p w14:paraId="0638215E" w14:textId="77777777" w:rsidR="00AF45DE" w:rsidRPr="00AF45DE" w:rsidRDefault="00AF45DE" w:rsidP="00AF45DE">
            <w:pPr>
              <w:jc w:val="right"/>
              <w:rPr>
                <w:rFonts w:asciiTheme="majorHAnsi" w:hAnsiTheme="majorHAnsi" w:cstheme="majorHAnsi"/>
                <w:sz w:val="16"/>
                <w:szCs w:val="16"/>
              </w:rPr>
            </w:pPr>
          </w:p>
        </w:tc>
        <w:tc>
          <w:tcPr>
            <w:tcW w:w="230" w:type="pct"/>
            <w:tcBorders>
              <w:top w:val="nil"/>
              <w:left w:val="nil"/>
              <w:bottom w:val="nil"/>
              <w:right w:val="nil"/>
            </w:tcBorders>
            <w:shd w:val="clear" w:color="auto" w:fill="auto"/>
            <w:noWrap/>
            <w:vAlign w:val="center"/>
            <w:hideMark/>
          </w:tcPr>
          <w:p w14:paraId="3264CC65" w14:textId="77777777" w:rsidR="00AF45DE" w:rsidRPr="00AF45DE" w:rsidRDefault="00AF45DE" w:rsidP="00AF45DE">
            <w:pPr>
              <w:jc w:val="right"/>
              <w:rPr>
                <w:rFonts w:asciiTheme="majorHAnsi" w:hAnsiTheme="majorHAnsi" w:cstheme="majorHAnsi"/>
                <w:sz w:val="16"/>
                <w:szCs w:val="16"/>
              </w:rPr>
            </w:pPr>
          </w:p>
        </w:tc>
      </w:tr>
      <w:tr w:rsidR="00AF45DE" w:rsidRPr="00AF45DE" w14:paraId="56DD173E" w14:textId="77777777" w:rsidTr="00985E67">
        <w:trPr>
          <w:trHeight w:hRule="exact" w:val="227"/>
        </w:trPr>
        <w:tc>
          <w:tcPr>
            <w:tcW w:w="2008" w:type="pct"/>
            <w:tcBorders>
              <w:top w:val="nil"/>
              <w:left w:val="nil"/>
              <w:bottom w:val="nil"/>
              <w:right w:val="nil"/>
            </w:tcBorders>
            <w:shd w:val="clear" w:color="auto" w:fill="auto"/>
            <w:noWrap/>
            <w:vAlign w:val="bottom"/>
            <w:hideMark/>
          </w:tcPr>
          <w:p w14:paraId="4A267A14"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DESPESAS OPERACIONAIS</w:t>
            </w:r>
          </w:p>
        </w:tc>
        <w:tc>
          <w:tcPr>
            <w:tcW w:w="681" w:type="pct"/>
            <w:tcBorders>
              <w:top w:val="nil"/>
              <w:left w:val="nil"/>
              <w:bottom w:val="nil"/>
              <w:right w:val="nil"/>
            </w:tcBorders>
            <w:shd w:val="clear" w:color="auto" w:fill="auto"/>
            <w:noWrap/>
            <w:vAlign w:val="bottom"/>
            <w:hideMark/>
          </w:tcPr>
          <w:p w14:paraId="41263C57"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(38.950.784)</w:t>
            </w:r>
          </w:p>
        </w:tc>
        <w:tc>
          <w:tcPr>
            <w:tcW w:w="681" w:type="pct"/>
            <w:tcBorders>
              <w:top w:val="nil"/>
              <w:left w:val="nil"/>
              <w:bottom w:val="nil"/>
              <w:right w:val="nil"/>
            </w:tcBorders>
            <w:shd w:val="clear" w:color="000000" w:fill="FFFFFF"/>
            <w:noWrap/>
            <w:vAlign w:val="bottom"/>
            <w:hideMark/>
          </w:tcPr>
          <w:p w14:paraId="72E59EBC"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(119.213.922)</w:t>
            </w:r>
          </w:p>
        </w:tc>
        <w:tc>
          <w:tcPr>
            <w:tcW w:w="681" w:type="pct"/>
            <w:tcBorders>
              <w:top w:val="nil"/>
              <w:left w:val="nil"/>
              <w:bottom w:val="nil"/>
              <w:right w:val="nil"/>
            </w:tcBorders>
            <w:shd w:val="clear" w:color="000000" w:fill="FFFFFF"/>
            <w:noWrap/>
            <w:vAlign w:val="bottom"/>
            <w:hideMark/>
          </w:tcPr>
          <w:p w14:paraId="6E0776EC"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(38.200.192)</w:t>
            </w:r>
          </w:p>
        </w:tc>
        <w:tc>
          <w:tcPr>
            <w:tcW w:w="720" w:type="pct"/>
            <w:tcBorders>
              <w:top w:val="nil"/>
              <w:left w:val="nil"/>
              <w:bottom w:val="nil"/>
              <w:right w:val="nil"/>
            </w:tcBorders>
            <w:shd w:val="clear" w:color="000000" w:fill="FFFFFF"/>
            <w:noWrap/>
            <w:vAlign w:val="bottom"/>
            <w:hideMark/>
          </w:tcPr>
          <w:p w14:paraId="2F6A39D7"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(118.910.087)</w:t>
            </w:r>
          </w:p>
        </w:tc>
        <w:tc>
          <w:tcPr>
            <w:tcW w:w="230" w:type="pct"/>
            <w:tcBorders>
              <w:top w:val="nil"/>
              <w:left w:val="nil"/>
              <w:bottom w:val="nil"/>
              <w:right w:val="nil"/>
            </w:tcBorders>
            <w:shd w:val="clear" w:color="auto" w:fill="auto"/>
            <w:noWrap/>
            <w:vAlign w:val="center"/>
            <w:hideMark/>
          </w:tcPr>
          <w:p w14:paraId="1939BB8F" w14:textId="77777777" w:rsidR="00AF45DE" w:rsidRPr="00AF45DE" w:rsidRDefault="00AF45DE" w:rsidP="00AF45DE">
            <w:pPr>
              <w:jc w:val="right"/>
              <w:rPr>
                <w:rFonts w:asciiTheme="majorHAnsi" w:hAnsiTheme="majorHAnsi" w:cstheme="majorHAnsi"/>
                <w:b/>
                <w:bCs/>
                <w:sz w:val="16"/>
                <w:szCs w:val="16"/>
              </w:rPr>
            </w:pPr>
          </w:p>
        </w:tc>
      </w:tr>
      <w:tr w:rsidR="00AF45DE" w:rsidRPr="00563B63" w14:paraId="0C36A15A" w14:textId="77777777" w:rsidTr="00985E67">
        <w:trPr>
          <w:trHeight w:hRule="exact" w:val="227"/>
        </w:trPr>
        <w:tc>
          <w:tcPr>
            <w:tcW w:w="2008" w:type="pct"/>
            <w:tcBorders>
              <w:top w:val="nil"/>
              <w:left w:val="nil"/>
              <w:bottom w:val="nil"/>
              <w:right w:val="nil"/>
            </w:tcBorders>
            <w:shd w:val="clear" w:color="auto" w:fill="auto"/>
            <w:noWrap/>
            <w:vAlign w:val="bottom"/>
            <w:hideMark/>
          </w:tcPr>
          <w:p w14:paraId="7AD18B7F" w14:textId="77777777" w:rsidR="00AF45DE" w:rsidRPr="007503AC" w:rsidRDefault="00AF45DE">
            <w:pPr>
              <w:rPr>
                <w:rFonts w:asciiTheme="majorHAnsi" w:hAnsiTheme="majorHAnsi" w:cstheme="majorHAnsi"/>
                <w:sz w:val="16"/>
                <w:szCs w:val="16"/>
              </w:rPr>
            </w:pPr>
            <w:r w:rsidRPr="007503AC">
              <w:rPr>
                <w:rFonts w:asciiTheme="majorHAnsi" w:hAnsiTheme="majorHAnsi" w:cstheme="majorHAnsi"/>
                <w:sz w:val="16"/>
                <w:szCs w:val="16"/>
              </w:rPr>
              <w:t xml:space="preserve">        Pessoal</w:t>
            </w:r>
          </w:p>
        </w:tc>
        <w:tc>
          <w:tcPr>
            <w:tcW w:w="681" w:type="pct"/>
            <w:tcBorders>
              <w:top w:val="nil"/>
              <w:left w:val="nil"/>
              <w:bottom w:val="nil"/>
              <w:right w:val="nil"/>
            </w:tcBorders>
            <w:shd w:val="clear" w:color="auto" w:fill="auto"/>
            <w:noWrap/>
            <w:vAlign w:val="bottom"/>
            <w:hideMark/>
          </w:tcPr>
          <w:p w14:paraId="53E18F81" w14:textId="77777777" w:rsidR="00AF45DE" w:rsidRPr="007503AC" w:rsidRDefault="00AF45DE" w:rsidP="00AF45DE">
            <w:pPr>
              <w:jc w:val="right"/>
              <w:rPr>
                <w:rFonts w:asciiTheme="majorHAnsi" w:hAnsiTheme="majorHAnsi" w:cstheme="majorHAnsi"/>
                <w:sz w:val="16"/>
                <w:szCs w:val="16"/>
              </w:rPr>
            </w:pPr>
            <w:r w:rsidRPr="007503AC">
              <w:rPr>
                <w:rFonts w:asciiTheme="majorHAnsi" w:hAnsiTheme="majorHAnsi" w:cstheme="majorHAnsi"/>
                <w:sz w:val="16"/>
                <w:szCs w:val="16"/>
              </w:rPr>
              <w:t xml:space="preserve">            (30.951.706)</w:t>
            </w:r>
          </w:p>
        </w:tc>
        <w:tc>
          <w:tcPr>
            <w:tcW w:w="681" w:type="pct"/>
            <w:tcBorders>
              <w:top w:val="nil"/>
              <w:left w:val="nil"/>
              <w:bottom w:val="nil"/>
              <w:right w:val="nil"/>
            </w:tcBorders>
            <w:shd w:val="clear" w:color="auto" w:fill="auto"/>
            <w:noWrap/>
            <w:vAlign w:val="bottom"/>
            <w:hideMark/>
          </w:tcPr>
          <w:p w14:paraId="0F4B382F" w14:textId="77777777" w:rsidR="00AF45DE" w:rsidRPr="007503AC" w:rsidRDefault="00AF45DE" w:rsidP="00AF45DE">
            <w:pPr>
              <w:jc w:val="right"/>
              <w:rPr>
                <w:rFonts w:asciiTheme="majorHAnsi" w:hAnsiTheme="majorHAnsi" w:cstheme="majorHAnsi"/>
                <w:sz w:val="16"/>
                <w:szCs w:val="16"/>
              </w:rPr>
            </w:pPr>
            <w:r w:rsidRPr="007503AC">
              <w:rPr>
                <w:rFonts w:asciiTheme="majorHAnsi" w:hAnsiTheme="majorHAnsi" w:cstheme="majorHAnsi"/>
                <w:sz w:val="16"/>
                <w:szCs w:val="16"/>
              </w:rPr>
              <w:t xml:space="preserve">            (92.830.076)</w:t>
            </w:r>
          </w:p>
        </w:tc>
        <w:tc>
          <w:tcPr>
            <w:tcW w:w="681" w:type="pct"/>
            <w:tcBorders>
              <w:top w:val="nil"/>
              <w:left w:val="nil"/>
              <w:bottom w:val="nil"/>
              <w:right w:val="nil"/>
            </w:tcBorders>
            <w:shd w:val="clear" w:color="auto" w:fill="auto"/>
            <w:noWrap/>
            <w:vAlign w:val="bottom"/>
            <w:hideMark/>
          </w:tcPr>
          <w:p w14:paraId="53B72144" w14:textId="77777777" w:rsidR="00AF45DE" w:rsidRPr="007503AC" w:rsidRDefault="00AF45DE" w:rsidP="00AF45DE">
            <w:pPr>
              <w:jc w:val="right"/>
              <w:rPr>
                <w:rFonts w:asciiTheme="majorHAnsi" w:hAnsiTheme="majorHAnsi" w:cstheme="majorHAnsi"/>
                <w:sz w:val="16"/>
                <w:szCs w:val="16"/>
              </w:rPr>
            </w:pPr>
            <w:r w:rsidRPr="007503AC">
              <w:rPr>
                <w:rFonts w:asciiTheme="majorHAnsi" w:hAnsiTheme="majorHAnsi" w:cstheme="majorHAnsi"/>
                <w:sz w:val="16"/>
                <w:szCs w:val="16"/>
              </w:rPr>
              <w:t xml:space="preserve">            (27.327.709)</w:t>
            </w:r>
          </w:p>
        </w:tc>
        <w:tc>
          <w:tcPr>
            <w:tcW w:w="720" w:type="pct"/>
            <w:tcBorders>
              <w:top w:val="nil"/>
              <w:left w:val="nil"/>
              <w:bottom w:val="nil"/>
              <w:right w:val="nil"/>
            </w:tcBorders>
            <w:shd w:val="clear" w:color="auto" w:fill="auto"/>
            <w:noWrap/>
            <w:vAlign w:val="bottom"/>
            <w:hideMark/>
          </w:tcPr>
          <w:p w14:paraId="3383FE67" w14:textId="77777777" w:rsidR="00AF45DE" w:rsidRPr="007503AC" w:rsidRDefault="00AF45DE" w:rsidP="00AF45DE">
            <w:pPr>
              <w:jc w:val="right"/>
              <w:rPr>
                <w:rFonts w:asciiTheme="majorHAnsi" w:hAnsiTheme="majorHAnsi" w:cstheme="majorHAnsi"/>
                <w:sz w:val="16"/>
                <w:szCs w:val="16"/>
              </w:rPr>
            </w:pPr>
            <w:r w:rsidRPr="007503AC">
              <w:rPr>
                <w:rFonts w:asciiTheme="majorHAnsi" w:hAnsiTheme="majorHAnsi" w:cstheme="majorHAnsi"/>
                <w:sz w:val="16"/>
                <w:szCs w:val="16"/>
              </w:rPr>
              <w:t xml:space="preserve">               (85.389.757)</w:t>
            </w:r>
          </w:p>
        </w:tc>
        <w:tc>
          <w:tcPr>
            <w:tcW w:w="230" w:type="pct"/>
            <w:tcBorders>
              <w:top w:val="nil"/>
              <w:left w:val="nil"/>
              <w:bottom w:val="nil"/>
              <w:right w:val="nil"/>
            </w:tcBorders>
            <w:shd w:val="clear" w:color="auto" w:fill="auto"/>
            <w:noWrap/>
            <w:vAlign w:val="center"/>
            <w:hideMark/>
          </w:tcPr>
          <w:p w14:paraId="69C380F2" w14:textId="77777777" w:rsidR="00AF45DE" w:rsidRPr="007503AC" w:rsidRDefault="00AF45DE" w:rsidP="00AF45DE">
            <w:pPr>
              <w:jc w:val="right"/>
              <w:rPr>
                <w:rFonts w:asciiTheme="majorHAnsi" w:hAnsiTheme="majorHAnsi" w:cstheme="majorHAnsi"/>
                <w:sz w:val="16"/>
                <w:szCs w:val="16"/>
              </w:rPr>
            </w:pPr>
            <w:r w:rsidRPr="007503AC">
              <w:rPr>
                <w:rFonts w:asciiTheme="majorHAnsi" w:hAnsiTheme="majorHAnsi" w:cstheme="majorHAnsi"/>
                <w:sz w:val="16"/>
                <w:szCs w:val="16"/>
              </w:rPr>
              <w:t>(19a)</w:t>
            </w:r>
          </w:p>
        </w:tc>
      </w:tr>
      <w:tr w:rsidR="00AF45DE" w:rsidRPr="00AF45DE" w14:paraId="7FD08EEF" w14:textId="77777777" w:rsidTr="00985E67">
        <w:trPr>
          <w:trHeight w:hRule="exact" w:val="227"/>
        </w:trPr>
        <w:tc>
          <w:tcPr>
            <w:tcW w:w="2008" w:type="pct"/>
            <w:tcBorders>
              <w:top w:val="nil"/>
              <w:left w:val="nil"/>
              <w:bottom w:val="nil"/>
              <w:right w:val="nil"/>
            </w:tcBorders>
            <w:shd w:val="clear" w:color="auto" w:fill="auto"/>
            <w:noWrap/>
            <w:vAlign w:val="bottom"/>
            <w:hideMark/>
          </w:tcPr>
          <w:p w14:paraId="26D8C094"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Remuneração dos Administradores e Conselho Fiscal</w:t>
            </w:r>
          </w:p>
        </w:tc>
        <w:tc>
          <w:tcPr>
            <w:tcW w:w="681" w:type="pct"/>
            <w:tcBorders>
              <w:top w:val="nil"/>
              <w:left w:val="nil"/>
              <w:bottom w:val="nil"/>
              <w:right w:val="nil"/>
            </w:tcBorders>
            <w:shd w:val="clear" w:color="auto" w:fill="auto"/>
            <w:noWrap/>
            <w:vAlign w:val="bottom"/>
            <w:hideMark/>
          </w:tcPr>
          <w:p w14:paraId="6460C129"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(345.210)</w:t>
            </w:r>
          </w:p>
        </w:tc>
        <w:tc>
          <w:tcPr>
            <w:tcW w:w="681" w:type="pct"/>
            <w:tcBorders>
              <w:top w:val="nil"/>
              <w:left w:val="nil"/>
              <w:bottom w:val="nil"/>
              <w:right w:val="nil"/>
            </w:tcBorders>
            <w:shd w:val="clear" w:color="auto" w:fill="auto"/>
            <w:noWrap/>
            <w:vAlign w:val="bottom"/>
            <w:hideMark/>
          </w:tcPr>
          <w:p w14:paraId="6EDF221A"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(1.119.401)</w:t>
            </w:r>
          </w:p>
        </w:tc>
        <w:tc>
          <w:tcPr>
            <w:tcW w:w="681" w:type="pct"/>
            <w:tcBorders>
              <w:top w:val="nil"/>
              <w:left w:val="nil"/>
              <w:bottom w:val="nil"/>
              <w:right w:val="nil"/>
            </w:tcBorders>
            <w:shd w:val="clear" w:color="auto" w:fill="auto"/>
            <w:noWrap/>
            <w:vAlign w:val="bottom"/>
            <w:hideMark/>
          </w:tcPr>
          <w:p w14:paraId="012C21FB"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(368.477)</w:t>
            </w:r>
          </w:p>
        </w:tc>
        <w:tc>
          <w:tcPr>
            <w:tcW w:w="720" w:type="pct"/>
            <w:tcBorders>
              <w:top w:val="nil"/>
              <w:left w:val="nil"/>
              <w:bottom w:val="nil"/>
              <w:right w:val="nil"/>
            </w:tcBorders>
            <w:shd w:val="clear" w:color="auto" w:fill="auto"/>
            <w:noWrap/>
            <w:vAlign w:val="bottom"/>
            <w:hideMark/>
          </w:tcPr>
          <w:p w14:paraId="15204844"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(1.179.795)</w:t>
            </w:r>
          </w:p>
        </w:tc>
        <w:tc>
          <w:tcPr>
            <w:tcW w:w="230" w:type="pct"/>
            <w:tcBorders>
              <w:top w:val="nil"/>
              <w:left w:val="nil"/>
              <w:bottom w:val="nil"/>
              <w:right w:val="nil"/>
            </w:tcBorders>
            <w:shd w:val="clear" w:color="auto" w:fill="auto"/>
            <w:noWrap/>
            <w:vAlign w:val="center"/>
            <w:hideMark/>
          </w:tcPr>
          <w:p w14:paraId="12812762" w14:textId="77777777" w:rsidR="00AF45DE" w:rsidRPr="00AF45DE" w:rsidRDefault="00AF45DE" w:rsidP="00AF45DE">
            <w:pPr>
              <w:jc w:val="right"/>
              <w:rPr>
                <w:rFonts w:asciiTheme="majorHAnsi" w:hAnsiTheme="majorHAnsi" w:cstheme="majorHAnsi"/>
                <w:sz w:val="16"/>
                <w:szCs w:val="16"/>
              </w:rPr>
            </w:pPr>
          </w:p>
        </w:tc>
      </w:tr>
      <w:tr w:rsidR="00AF45DE" w:rsidRPr="00AF45DE" w14:paraId="785D3AFD" w14:textId="77777777" w:rsidTr="00985E67">
        <w:trPr>
          <w:trHeight w:hRule="exact" w:val="227"/>
        </w:trPr>
        <w:tc>
          <w:tcPr>
            <w:tcW w:w="2008" w:type="pct"/>
            <w:tcBorders>
              <w:top w:val="nil"/>
              <w:left w:val="nil"/>
              <w:bottom w:val="nil"/>
              <w:right w:val="nil"/>
            </w:tcBorders>
            <w:shd w:val="clear" w:color="auto" w:fill="auto"/>
            <w:noWrap/>
            <w:vAlign w:val="bottom"/>
            <w:hideMark/>
          </w:tcPr>
          <w:p w14:paraId="7F087572"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Depreciação e Amortização</w:t>
            </w:r>
          </w:p>
        </w:tc>
        <w:tc>
          <w:tcPr>
            <w:tcW w:w="681" w:type="pct"/>
            <w:tcBorders>
              <w:top w:val="nil"/>
              <w:left w:val="nil"/>
              <w:bottom w:val="nil"/>
              <w:right w:val="nil"/>
            </w:tcBorders>
            <w:shd w:val="clear" w:color="auto" w:fill="auto"/>
            <w:noWrap/>
            <w:vAlign w:val="bottom"/>
            <w:hideMark/>
          </w:tcPr>
          <w:p w14:paraId="028EA05C"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(1.713.164)</w:t>
            </w:r>
          </w:p>
        </w:tc>
        <w:tc>
          <w:tcPr>
            <w:tcW w:w="681" w:type="pct"/>
            <w:tcBorders>
              <w:top w:val="nil"/>
              <w:left w:val="nil"/>
              <w:bottom w:val="nil"/>
              <w:right w:val="nil"/>
            </w:tcBorders>
            <w:shd w:val="clear" w:color="auto" w:fill="auto"/>
            <w:noWrap/>
            <w:vAlign w:val="bottom"/>
            <w:hideMark/>
          </w:tcPr>
          <w:p w14:paraId="34AAAC55"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(5.716.652)</w:t>
            </w:r>
          </w:p>
        </w:tc>
        <w:tc>
          <w:tcPr>
            <w:tcW w:w="681" w:type="pct"/>
            <w:tcBorders>
              <w:top w:val="nil"/>
              <w:left w:val="nil"/>
              <w:bottom w:val="nil"/>
              <w:right w:val="nil"/>
            </w:tcBorders>
            <w:shd w:val="clear" w:color="auto" w:fill="auto"/>
            <w:noWrap/>
            <w:vAlign w:val="bottom"/>
            <w:hideMark/>
          </w:tcPr>
          <w:p w14:paraId="12A21A97"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(3.375.742)</w:t>
            </w:r>
          </w:p>
        </w:tc>
        <w:tc>
          <w:tcPr>
            <w:tcW w:w="720" w:type="pct"/>
            <w:tcBorders>
              <w:top w:val="nil"/>
              <w:left w:val="nil"/>
              <w:bottom w:val="nil"/>
              <w:right w:val="nil"/>
            </w:tcBorders>
            <w:shd w:val="clear" w:color="auto" w:fill="auto"/>
            <w:noWrap/>
            <w:vAlign w:val="bottom"/>
            <w:hideMark/>
          </w:tcPr>
          <w:p w14:paraId="6FE2D7F0"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(8.961.193)</w:t>
            </w:r>
          </w:p>
        </w:tc>
        <w:tc>
          <w:tcPr>
            <w:tcW w:w="230" w:type="pct"/>
            <w:tcBorders>
              <w:top w:val="nil"/>
              <w:left w:val="nil"/>
              <w:bottom w:val="nil"/>
              <w:right w:val="nil"/>
            </w:tcBorders>
            <w:shd w:val="clear" w:color="auto" w:fill="auto"/>
            <w:noWrap/>
            <w:vAlign w:val="center"/>
            <w:hideMark/>
          </w:tcPr>
          <w:p w14:paraId="6C82FE28" w14:textId="77777777" w:rsidR="00AF45DE" w:rsidRPr="00AF45DE" w:rsidRDefault="00AF45DE" w:rsidP="00AF45DE">
            <w:pPr>
              <w:jc w:val="right"/>
              <w:rPr>
                <w:rFonts w:asciiTheme="majorHAnsi" w:hAnsiTheme="majorHAnsi" w:cstheme="majorHAnsi"/>
                <w:sz w:val="16"/>
                <w:szCs w:val="16"/>
              </w:rPr>
            </w:pPr>
          </w:p>
        </w:tc>
      </w:tr>
      <w:tr w:rsidR="00AF45DE" w:rsidRPr="00AF45DE" w14:paraId="215207E3" w14:textId="77777777" w:rsidTr="00985E67">
        <w:trPr>
          <w:trHeight w:hRule="exact" w:val="227"/>
        </w:trPr>
        <w:tc>
          <w:tcPr>
            <w:tcW w:w="2008" w:type="pct"/>
            <w:tcBorders>
              <w:top w:val="nil"/>
              <w:left w:val="nil"/>
              <w:bottom w:val="nil"/>
              <w:right w:val="nil"/>
            </w:tcBorders>
            <w:shd w:val="clear" w:color="auto" w:fill="auto"/>
            <w:noWrap/>
            <w:vAlign w:val="bottom"/>
            <w:hideMark/>
          </w:tcPr>
          <w:p w14:paraId="2BAD02DC"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Gerais e Administrativas</w:t>
            </w:r>
          </w:p>
        </w:tc>
        <w:tc>
          <w:tcPr>
            <w:tcW w:w="681" w:type="pct"/>
            <w:tcBorders>
              <w:top w:val="nil"/>
              <w:left w:val="nil"/>
              <w:bottom w:val="nil"/>
              <w:right w:val="nil"/>
            </w:tcBorders>
            <w:shd w:val="clear" w:color="auto" w:fill="auto"/>
            <w:noWrap/>
            <w:vAlign w:val="bottom"/>
            <w:hideMark/>
          </w:tcPr>
          <w:p w14:paraId="27536AA5"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(5.093.942)</w:t>
            </w:r>
          </w:p>
        </w:tc>
        <w:tc>
          <w:tcPr>
            <w:tcW w:w="681" w:type="pct"/>
            <w:tcBorders>
              <w:top w:val="nil"/>
              <w:left w:val="nil"/>
              <w:bottom w:val="nil"/>
              <w:right w:val="nil"/>
            </w:tcBorders>
            <w:shd w:val="clear" w:color="auto" w:fill="auto"/>
            <w:noWrap/>
            <w:vAlign w:val="bottom"/>
            <w:hideMark/>
          </w:tcPr>
          <w:p w14:paraId="462F02AC"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(17.453.890)</w:t>
            </w:r>
          </w:p>
        </w:tc>
        <w:tc>
          <w:tcPr>
            <w:tcW w:w="681" w:type="pct"/>
            <w:tcBorders>
              <w:top w:val="nil"/>
              <w:left w:val="nil"/>
              <w:bottom w:val="nil"/>
              <w:right w:val="nil"/>
            </w:tcBorders>
            <w:shd w:val="clear" w:color="auto" w:fill="auto"/>
            <w:noWrap/>
            <w:vAlign w:val="bottom"/>
            <w:hideMark/>
          </w:tcPr>
          <w:p w14:paraId="14866C4F"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(6.109.018)</w:t>
            </w:r>
          </w:p>
        </w:tc>
        <w:tc>
          <w:tcPr>
            <w:tcW w:w="720" w:type="pct"/>
            <w:tcBorders>
              <w:top w:val="nil"/>
              <w:left w:val="nil"/>
              <w:bottom w:val="nil"/>
              <w:right w:val="nil"/>
            </w:tcBorders>
            <w:shd w:val="clear" w:color="auto" w:fill="auto"/>
            <w:noWrap/>
            <w:vAlign w:val="bottom"/>
            <w:hideMark/>
          </w:tcPr>
          <w:p w14:paraId="03F5D4CA"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(21.819.424)</w:t>
            </w:r>
          </w:p>
        </w:tc>
        <w:tc>
          <w:tcPr>
            <w:tcW w:w="230" w:type="pct"/>
            <w:tcBorders>
              <w:top w:val="nil"/>
              <w:left w:val="nil"/>
              <w:bottom w:val="nil"/>
              <w:right w:val="nil"/>
            </w:tcBorders>
            <w:shd w:val="clear" w:color="auto" w:fill="auto"/>
            <w:noWrap/>
            <w:vAlign w:val="center"/>
            <w:hideMark/>
          </w:tcPr>
          <w:p w14:paraId="08F104CE"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(19b)</w:t>
            </w:r>
          </w:p>
        </w:tc>
      </w:tr>
      <w:tr w:rsidR="00AF45DE" w:rsidRPr="00AF45DE" w14:paraId="05E69182" w14:textId="77777777" w:rsidTr="00985E67">
        <w:trPr>
          <w:trHeight w:hRule="exact" w:val="227"/>
        </w:trPr>
        <w:tc>
          <w:tcPr>
            <w:tcW w:w="2008" w:type="pct"/>
            <w:tcBorders>
              <w:top w:val="nil"/>
              <w:left w:val="nil"/>
              <w:bottom w:val="nil"/>
              <w:right w:val="nil"/>
            </w:tcBorders>
            <w:shd w:val="clear" w:color="auto" w:fill="auto"/>
            <w:noWrap/>
            <w:vAlign w:val="bottom"/>
            <w:hideMark/>
          </w:tcPr>
          <w:p w14:paraId="63055A04"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Diárias, Passagens e Despesas de Locomoção</w:t>
            </w:r>
          </w:p>
        </w:tc>
        <w:tc>
          <w:tcPr>
            <w:tcW w:w="681" w:type="pct"/>
            <w:tcBorders>
              <w:top w:val="nil"/>
              <w:left w:val="nil"/>
              <w:bottom w:val="nil"/>
              <w:right w:val="nil"/>
            </w:tcBorders>
            <w:shd w:val="clear" w:color="auto" w:fill="auto"/>
            <w:noWrap/>
            <w:vAlign w:val="bottom"/>
            <w:hideMark/>
          </w:tcPr>
          <w:p w14:paraId="5F5B4163"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(246.898)</w:t>
            </w:r>
          </w:p>
        </w:tc>
        <w:tc>
          <w:tcPr>
            <w:tcW w:w="681" w:type="pct"/>
            <w:tcBorders>
              <w:top w:val="nil"/>
              <w:left w:val="nil"/>
              <w:bottom w:val="nil"/>
              <w:right w:val="nil"/>
            </w:tcBorders>
            <w:shd w:val="clear" w:color="auto" w:fill="auto"/>
            <w:noWrap/>
            <w:vAlign w:val="bottom"/>
            <w:hideMark/>
          </w:tcPr>
          <w:p w14:paraId="4AE86F6C"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(580.307)</w:t>
            </w:r>
          </w:p>
        </w:tc>
        <w:tc>
          <w:tcPr>
            <w:tcW w:w="681" w:type="pct"/>
            <w:tcBorders>
              <w:top w:val="nil"/>
              <w:left w:val="nil"/>
              <w:bottom w:val="nil"/>
              <w:right w:val="nil"/>
            </w:tcBorders>
            <w:shd w:val="clear" w:color="auto" w:fill="auto"/>
            <w:noWrap/>
            <w:vAlign w:val="bottom"/>
            <w:hideMark/>
          </w:tcPr>
          <w:p w14:paraId="520750C2"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(142.249)</w:t>
            </w:r>
          </w:p>
        </w:tc>
        <w:tc>
          <w:tcPr>
            <w:tcW w:w="720" w:type="pct"/>
            <w:tcBorders>
              <w:top w:val="nil"/>
              <w:left w:val="nil"/>
              <w:bottom w:val="nil"/>
              <w:right w:val="nil"/>
            </w:tcBorders>
            <w:shd w:val="clear" w:color="auto" w:fill="auto"/>
            <w:noWrap/>
            <w:vAlign w:val="bottom"/>
            <w:hideMark/>
          </w:tcPr>
          <w:p w14:paraId="7DB20A19"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(356.682)</w:t>
            </w:r>
          </w:p>
        </w:tc>
        <w:tc>
          <w:tcPr>
            <w:tcW w:w="230" w:type="pct"/>
            <w:tcBorders>
              <w:top w:val="nil"/>
              <w:left w:val="nil"/>
              <w:bottom w:val="nil"/>
              <w:right w:val="nil"/>
            </w:tcBorders>
            <w:shd w:val="clear" w:color="auto" w:fill="auto"/>
            <w:noWrap/>
            <w:vAlign w:val="center"/>
            <w:hideMark/>
          </w:tcPr>
          <w:p w14:paraId="323A694E" w14:textId="77777777" w:rsidR="00AF45DE" w:rsidRPr="00AF45DE" w:rsidRDefault="00AF45DE" w:rsidP="00AF45DE">
            <w:pPr>
              <w:jc w:val="right"/>
              <w:rPr>
                <w:rFonts w:asciiTheme="majorHAnsi" w:hAnsiTheme="majorHAnsi" w:cstheme="majorHAnsi"/>
                <w:sz w:val="16"/>
                <w:szCs w:val="16"/>
              </w:rPr>
            </w:pPr>
          </w:p>
        </w:tc>
      </w:tr>
      <w:tr w:rsidR="00AF45DE" w:rsidRPr="00AF45DE" w14:paraId="3BCCC8EB" w14:textId="77777777" w:rsidTr="00985E67">
        <w:trPr>
          <w:trHeight w:hRule="exact" w:val="227"/>
        </w:trPr>
        <w:tc>
          <w:tcPr>
            <w:tcW w:w="2008" w:type="pct"/>
            <w:tcBorders>
              <w:top w:val="nil"/>
              <w:left w:val="nil"/>
              <w:bottom w:val="nil"/>
              <w:right w:val="nil"/>
            </w:tcBorders>
            <w:shd w:val="clear" w:color="auto" w:fill="auto"/>
            <w:noWrap/>
            <w:vAlign w:val="bottom"/>
            <w:hideMark/>
          </w:tcPr>
          <w:p w14:paraId="7968D63B"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Transferência Voluntária </w:t>
            </w:r>
          </w:p>
        </w:tc>
        <w:tc>
          <w:tcPr>
            <w:tcW w:w="681" w:type="pct"/>
            <w:tcBorders>
              <w:top w:val="nil"/>
              <w:left w:val="nil"/>
              <w:bottom w:val="nil"/>
              <w:right w:val="nil"/>
            </w:tcBorders>
            <w:shd w:val="clear" w:color="auto" w:fill="auto"/>
            <w:noWrap/>
            <w:vAlign w:val="bottom"/>
            <w:hideMark/>
          </w:tcPr>
          <w:p w14:paraId="45EF8381"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(1.122.598)</w:t>
            </w:r>
          </w:p>
        </w:tc>
        <w:tc>
          <w:tcPr>
            <w:tcW w:w="681" w:type="pct"/>
            <w:tcBorders>
              <w:top w:val="nil"/>
              <w:left w:val="nil"/>
              <w:bottom w:val="nil"/>
              <w:right w:val="nil"/>
            </w:tcBorders>
            <w:shd w:val="clear" w:color="auto" w:fill="auto"/>
            <w:noWrap/>
            <w:vAlign w:val="bottom"/>
            <w:hideMark/>
          </w:tcPr>
          <w:p w14:paraId="1094BF43"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(2.036.332)</w:t>
            </w:r>
          </w:p>
        </w:tc>
        <w:tc>
          <w:tcPr>
            <w:tcW w:w="681" w:type="pct"/>
            <w:tcBorders>
              <w:top w:val="nil"/>
              <w:left w:val="nil"/>
              <w:bottom w:val="nil"/>
              <w:right w:val="nil"/>
            </w:tcBorders>
            <w:shd w:val="clear" w:color="auto" w:fill="auto"/>
            <w:noWrap/>
            <w:vAlign w:val="bottom"/>
            <w:hideMark/>
          </w:tcPr>
          <w:p w14:paraId="357A272F"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(876.997)</w:t>
            </w:r>
          </w:p>
        </w:tc>
        <w:tc>
          <w:tcPr>
            <w:tcW w:w="720" w:type="pct"/>
            <w:tcBorders>
              <w:top w:val="nil"/>
              <w:left w:val="nil"/>
              <w:bottom w:val="nil"/>
              <w:right w:val="nil"/>
            </w:tcBorders>
            <w:shd w:val="clear" w:color="auto" w:fill="auto"/>
            <w:noWrap/>
            <w:vAlign w:val="bottom"/>
            <w:hideMark/>
          </w:tcPr>
          <w:p w14:paraId="2A3E189B"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(1.203.236)</w:t>
            </w:r>
          </w:p>
        </w:tc>
        <w:tc>
          <w:tcPr>
            <w:tcW w:w="230" w:type="pct"/>
            <w:tcBorders>
              <w:top w:val="nil"/>
              <w:left w:val="nil"/>
              <w:bottom w:val="nil"/>
              <w:right w:val="nil"/>
            </w:tcBorders>
            <w:shd w:val="clear" w:color="auto" w:fill="auto"/>
            <w:noWrap/>
            <w:vAlign w:val="center"/>
            <w:hideMark/>
          </w:tcPr>
          <w:p w14:paraId="2B42C6AE" w14:textId="77777777" w:rsidR="00AF45DE" w:rsidRPr="00AF45DE" w:rsidRDefault="00AF45DE" w:rsidP="00AF45DE">
            <w:pPr>
              <w:jc w:val="right"/>
              <w:rPr>
                <w:rFonts w:asciiTheme="majorHAnsi" w:hAnsiTheme="majorHAnsi" w:cstheme="majorHAnsi"/>
                <w:sz w:val="16"/>
                <w:szCs w:val="16"/>
              </w:rPr>
            </w:pPr>
          </w:p>
        </w:tc>
      </w:tr>
      <w:tr w:rsidR="00AF45DE" w:rsidRPr="00AF45DE" w14:paraId="269E517D" w14:textId="77777777" w:rsidTr="00985E67">
        <w:trPr>
          <w:trHeight w:hRule="exact" w:val="227"/>
        </w:trPr>
        <w:tc>
          <w:tcPr>
            <w:tcW w:w="2008" w:type="pct"/>
            <w:tcBorders>
              <w:top w:val="nil"/>
              <w:left w:val="nil"/>
              <w:bottom w:val="nil"/>
              <w:right w:val="nil"/>
            </w:tcBorders>
            <w:shd w:val="clear" w:color="auto" w:fill="auto"/>
            <w:noWrap/>
            <w:vAlign w:val="bottom"/>
            <w:hideMark/>
          </w:tcPr>
          <w:p w14:paraId="3A44B2B1" w14:textId="77777777" w:rsidR="00AF45DE" w:rsidRPr="00AF45DE" w:rsidRDefault="00AF45DE">
            <w:pPr>
              <w:jc w:val="center"/>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7888098A"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15E2D9CA"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3AC9C82A" w14:textId="77777777" w:rsidR="00AF45DE" w:rsidRPr="00AF45DE" w:rsidRDefault="00AF45DE" w:rsidP="00AF45DE">
            <w:pPr>
              <w:jc w:val="right"/>
              <w:rPr>
                <w:rFonts w:asciiTheme="majorHAnsi" w:hAnsiTheme="majorHAnsi" w:cstheme="majorHAnsi"/>
                <w:sz w:val="16"/>
                <w:szCs w:val="16"/>
              </w:rPr>
            </w:pPr>
          </w:p>
        </w:tc>
        <w:tc>
          <w:tcPr>
            <w:tcW w:w="720" w:type="pct"/>
            <w:tcBorders>
              <w:top w:val="nil"/>
              <w:left w:val="nil"/>
              <w:bottom w:val="nil"/>
              <w:right w:val="nil"/>
            </w:tcBorders>
            <w:shd w:val="clear" w:color="auto" w:fill="auto"/>
            <w:noWrap/>
            <w:vAlign w:val="center"/>
            <w:hideMark/>
          </w:tcPr>
          <w:p w14:paraId="6A10CC6C" w14:textId="77777777" w:rsidR="00AF45DE" w:rsidRPr="00AF45DE" w:rsidRDefault="00AF45DE" w:rsidP="00AF45DE">
            <w:pPr>
              <w:jc w:val="right"/>
              <w:rPr>
                <w:rFonts w:asciiTheme="majorHAnsi" w:hAnsiTheme="majorHAnsi" w:cstheme="majorHAnsi"/>
                <w:sz w:val="16"/>
                <w:szCs w:val="16"/>
              </w:rPr>
            </w:pPr>
          </w:p>
        </w:tc>
        <w:tc>
          <w:tcPr>
            <w:tcW w:w="230" w:type="pct"/>
            <w:tcBorders>
              <w:top w:val="nil"/>
              <w:left w:val="nil"/>
              <w:bottom w:val="nil"/>
              <w:right w:val="nil"/>
            </w:tcBorders>
            <w:shd w:val="clear" w:color="auto" w:fill="auto"/>
            <w:noWrap/>
            <w:vAlign w:val="center"/>
            <w:hideMark/>
          </w:tcPr>
          <w:p w14:paraId="217F2AEC" w14:textId="77777777" w:rsidR="00AF45DE" w:rsidRPr="00AF45DE" w:rsidRDefault="00AF45DE" w:rsidP="00AF45DE">
            <w:pPr>
              <w:jc w:val="right"/>
              <w:rPr>
                <w:rFonts w:asciiTheme="majorHAnsi" w:hAnsiTheme="majorHAnsi" w:cstheme="majorHAnsi"/>
                <w:sz w:val="16"/>
                <w:szCs w:val="16"/>
              </w:rPr>
            </w:pPr>
          </w:p>
        </w:tc>
      </w:tr>
      <w:tr w:rsidR="00AF45DE" w:rsidRPr="00AF45DE" w14:paraId="6332219A" w14:textId="77777777" w:rsidTr="00985E67">
        <w:trPr>
          <w:trHeight w:hRule="exact" w:val="227"/>
        </w:trPr>
        <w:tc>
          <w:tcPr>
            <w:tcW w:w="2008" w:type="pct"/>
            <w:tcBorders>
              <w:top w:val="nil"/>
              <w:left w:val="nil"/>
              <w:bottom w:val="nil"/>
              <w:right w:val="nil"/>
            </w:tcBorders>
            <w:shd w:val="clear" w:color="auto" w:fill="auto"/>
            <w:hideMark/>
          </w:tcPr>
          <w:p w14:paraId="22A8F344"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OUTRAS RECEITAS/DESPESAS OPERACIONAIS</w:t>
            </w:r>
          </w:p>
        </w:tc>
        <w:tc>
          <w:tcPr>
            <w:tcW w:w="681" w:type="pct"/>
            <w:tcBorders>
              <w:top w:val="nil"/>
              <w:left w:val="nil"/>
              <w:bottom w:val="nil"/>
              <w:right w:val="nil"/>
            </w:tcBorders>
            <w:shd w:val="clear" w:color="auto" w:fill="auto"/>
            <w:noWrap/>
            <w:vAlign w:val="bottom"/>
            <w:hideMark/>
          </w:tcPr>
          <w:p w14:paraId="46893CC9"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(23.784.221)</w:t>
            </w:r>
          </w:p>
        </w:tc>
        <w:tc>
          <w:tcPr>
            <w:tcW w:w="681" w:type="pct"/>
            <w:tcBorders>
              <w:top w:val="nil"/>
              <w:left w:val="nil"/>
              <w:bottom w:val="nil"/>
              <w:right w:val="nil"/>
            </w:tcBorders>
            <w:shd w:val="clear" w:color="auto" w:fill="auto"/>
            <w:noWrap/>
            <w:vAlign w:val="bottom"/>
            <w:hideMark/>
          </w:tcPr>
          <w:p w14:paraId="19EDD6FE"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8.176.980 </w:t>
            </w:r>
          </w:p>
        </w:tc>
        <w:tc>
          <w:tcPr>
            <w:tcW w:w="681" w:type="pct"/>
            <w:tcBorders>
              <w:top w:val="nil"/>
              <w:left w:val="nil"/>
              <w:bottom w:val="nil"/>
              <w:right w:val="nil"/>
            </w:tcBorders>
            <w:shd w:val="clear" w:color="auto" w:fill="auto"/>
            <w:noWrap/>
            <w:vAlign w:val="bottom"/>
            <w:hideMark/>
          </w:tcPr>
          <w:p w14:paraId="545D9E4C"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(32.740.779)</w:t>
            </w:r>
          </w:p>
        </w:tc>
        <w:tc>
          <w:tcPr>
            <w:tcW w:w="720" w:type="pct"/>
            <w:tcBorders>
              <w:top w:val="nil"/>
              <w:left w:val="nil"/>
              <w:bottom w:val="nil"/>
              <w:right w:val="nil"/>
            </w:tcBorders>
            <w:shd w:val="clear" w:color="auto" w:fill="auto"/>
            <w:noWrap/>
            <w:vAlign w:val="bottom"/>
            <w:hideMark/>
          </w:tcPr>
          <w:p w14:paraId="268EA327"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(91.574.272)</w:t>
            </w:r>
          </w:p>
        </w:tc>
        <w:tc>
          <w:tcPr>
            <w:tcW w:w="230" w:type="pct"/>
            <w:tcBorders>
              <w:top w:val="nil"/>
              <w:left w:val="nil"/>
              <w:bottom w:val="nil"/>
              <w:right w:val="nil"/>
            </w:tcBorders>
            <w:shd w:val="clear" w:color="auto" w:fill="auto"/>
            <w:noWrap/>
            <w:vAlign w:val="center"/>
            <w:hideMark/>
          </w:tcPr>
          <w:p w14:paraId="4915C4F7"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(20)</w:t>
            </w:r>
          </w:p>
        </w:tc>
      </w:tr>
      <w:tr w:rsidR="00AF45DE" w:rsidRPr="00AF45DE" w14:paraId="48DB83B0" w14:textId="77777777" w:rsidTr="00985E67">
        <w:trPr>
          <w:trHeight w:hRule="exact" w:val="227"/>
        </w:trPr>
        <w:tc>
          <w:tcPr>
            <w:tcW w:w="2008" w:type="pct"/>
            <w:tcBorders>
              <w:top w:val="nil"/>
              <w:left w:val="nil"/>
              <w:bottom w:val="nil"/>
              <w:right w:val="nil"/>
            </w:tcBorders>
            <w:shd w:val="clear" w:color="auto" w:fill="auto"/>
            <w:noWrap/>
            <w:vAlign w:val="bottom"/>
            <w:hideMark/>
          </w:tcPr>
          <w:p w14:paraId="1540040A"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Provisão/Reversão para Contingências</w:t>
            </w:r>
          </w:p>
        </w:tc>
        <w:tc>
          <w:tcPr>
            <w:tcW w:w="681" w:type="pct"/>
            <w:tcBorders>
              <w:top w:val="nil"/>
              <w:left w:val="nil"/>
              <w:bottom w:val="nil"/>
              <w:right w:val="nil"/>
            </w:tcBorders>
            <w:shd w:val="clear" w:color="auto" w:fill="auto"/>
            <w:noWrap/>
            <w:vAlign w:val="bottom"/>
            <w:hideMark/>
          </w:tcPr>
          <w:p w14:paraId="53E7A71C"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(17.945.908)</w:t>
            </w:r>
          </w:p>
        </w:tc>
        <w:tc>
          <w:tcPr>
            <w:tcW w:w="681" w:type="pct"/>
            <w:tcBorders>
              <w:top w:val="nil"/>
              <w:left w:val="nil"/>
              <w:bottom w:val="nil"/>
              <w:right w:val="nil"/>
            </w:tcBorders>
            <w:shd w:val="clear" w:color="auto" w:fill="auto"/>
            <w:noWrap/>
            <w:vAlign w:val="bottom"/>
            <w:hideMark/>
          </w:tcPr>
          <w:p w14:paraId="7902AED7"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26.358.467 </w:t>
            </w:r>
          </w:p>
        </w:tc>
        <w:tc>
          <w:tcPr>
            <w:tcW w:w="681" w:type="pct"/>
            <w:tcBorders>
              <w:top w:val="nil"/>
              <w:left w:val="nil"/>
              <w:bottom w:val="nil"/>
              <w:right w:val="nil"/>
            </w:tcBorders>
            <w:shd w:val="clear" w:color="auto" w:fill="auto"/>
            <w:noWrap/>
            <w:vAlign w:val="bottom"/>
            <w:hideMark/>
          </w:tcPr>
          <w:p w14:paraId="76FA6DDB"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(25.076.153)</w:t>
            </w:r>
          </w:p>
        </w:tc>
        <w:tc>
          <w:tcPr>
            <w:tcW w:w="720" w:type="pct"/>
            <w:tcBorders>
              <w:top w:val="nil"/>
              <w:left w:val="nil"/>
              <w:bottom w:val="nil"/>
              <w:right w:val="nil"/>
            </w:tcBorders>
            <w:shd w:val="clear" w:color="auto" w:fill="auto"/>
            <w:noWrap/>
            <w:vAlign w:val="bottom"/>
            <w:hideMark/>
          </w:tcPr>
          <w:p w14:paraId="00555F3A"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(70.667.674)</w:t>
            </w:r>
          </w:p>
        </w:tc>
        <w:tc>
          <w:tcPr>
            <w:tcW w:w="230" w:type="pct"/>
            <w:tcBorders>
              <w:top w:val="nil"/>
              <w:left w:val="nil"/>
              <w:bottom w:val="nil"/>
              <w:right w:val="nil"/>
            </w:tcBorders>
            <w:shd w:val="clear" w:color="000000" w:fill="FFFFFF"/>
            <w:noWrap/>
            <w:vAlign w:val="center"/>
            <w:hideMark/>
          </w:tcPr>
          <w:p w14:paraId="6632E080"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w:t>
            </w:r>
          </w:p>
        </w:tc>
      </w:tr>
      <w:tr w:rsidR="00AF45DE" w:rsidRPr="00AF45DE" w14:paraId="788C4021" w14:textId="77777777" w:rsidTr="00985E67">
        <w:trPr>
          <w:trHeight w:hRule="exact" w:val="227"/>
        </w:trPr>
        <w:tc>
          <w:tcPr>
            <w:tcW w:w="2008" w:type="pct"/>
            <w:tcBorders>
              <w:top w:val="nil"/>
              <w:left w:val="nil"/>
              <w:bottom w:val="nil"/>
              <w:right w:val="nil"/>
            </w:tcBorders>
            <w:shd w:val="clear" w:color="auto" w:fill="auto"/>
            <w:noWrap/>
            <w:vAlign w:val="bottom"/>
            <w:hideMark/>
          </w:tcPr>
          <w:p w14:paraId="2857E276"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Outras receitas</w:t>
            </w:r>
          </w:p>
        </w:tc>
        <w:tc>
          <w:tcPr>
            <w:tcW w:w="681" w:type="pct"/>
            <w:tcBorders>
              <w:top w:val="nil"/>
              <w:left w:val="nil"/>
              <w:bottom w:val="nil"/>
              <w:right w:val="nil"/>
            </w:tcBorders>
            <w:shd w:val="clear" w:color="auto" w:fill="auto"/>
            <w:noWrap/>
            <w:vAlign w:val="bottom"/>
            <w:hideMark/>
          </w:tcPr>
          <w:p w14:paraId="4E979571"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1.002.203 </w:t>
            </w:r>
          </w:p>
        </w:tc>
        <w:tc>
          <w:tcPr>
            <w:tcW w:w="681" w:type="pct"/>
            <w:tcBorders>
              <w:top w:val="nil"/>
              <w:left w:val="nil"/>
              <w:bottom w:val="nil"/>
              <w:right w:val="nil"/>
            </w:tcBorders>
            <w:shd w:val="clear" w:color="auto" w:fill="auto"/>
            <w:noWrap/>
            <w:vAlign w:val="bottom"/>
            <w:hideMark/>
          </w:tcPr>
          <w:p w14:paraId="284D0251"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8.196.588 </w:t>
            </w:r>
          </w:p>
        </w:tc>
        <w:tc>
          <w:tcPr>
            <w:tcW w:w="681" w:type="pct"/>
            <w:tcBorders>
              <w:top w:val="nil"/>
              <w:left w:val="nil"/>
              <w:bottom w:val="nil"/>
              <w:right w:val="nil"/>
            </w:tcBorders>
            <w:shd w:val="clear" w:color="auto" w:fill="auto"/>
            <w:noWrap/>
            <w:vAlign w:val="bottom"/>
            <w:hideMark/>
          </w:tcPr>
          <w:p w14:paraId="2D5EB757"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8.625.175 </w:t>
            </w:r>
          </w:p>
        </w:tc>
        <w:tc>
          <w:tcPr>
            <w:tcW w:w="720" w:type="pct"/>
            <w:tcBorders>
              <w:top w:val="nil"/>
              <w:left w:val="nil"/>
              <w:bottom w:val="nil"/>
              <w:right w:val="nil"/>
            </w:tcBorders>
            <w:shd w:val="clear" w:color="auto" w:fill="auto"/>
            <w:noWrap/>
            <w:vAlign w:val="bottom"/>
            <w:hideMark/>
          </w:tcPr>
          <w:p w14:paraId="25AC5D3F"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11.706.437 </w:t>
            </w:r>
          </w:p>
        </w:tc>
        <w:tc>
          <w:tcPr>
            <w:tcW w:w="230" w:type="pct"/>
            <w:tcBorders>
              <w:top w:val="nil"/>
              <w:left w:val="nil"/>
              <w:bottom w:val="nil"/>
              <w:right w:val="nil"/>
            </w:tcBorders>
            <w:shd w:val="clear" w:color="000000" w:fill="FFFFFF"/>
            <w:noWrap/>
            <w:vAlign w:val="center"/>
            <w:hideMark/>
          </w:tcPr>
          <w:p w14:paraId="60820F27"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w:t>
            </w:r>
          </w:p>
        </w:tc>
      </w:tr>
      <w:tr w:rsidR="00AF45DE" w:rsidRPr="00AF45DE" w14:paraId="624BC49F" w14:textId="77777777" w:rsidTr="00985E67">
        <w:trPr>
          <w:trHeight w:hRule="exact" w:val="227"/>
        </w:trPr>
        <w:tc>
          <w:tcPr>
            <w:tcW w:w="2008" w:type="pct"/>
            <w:tcBorders>
              <w:top w:val="nil"/>
              <w:left w:val="nil"/>
              <w:bottom w:val="nil"/>
              <w:right w:val="nil"/>
            </w:tcBorders>
            <w:shd w:val="clear" w:color="auto" w:fill="auto"/>
            <w:noWrap/>
            <w:vAlign w:val="bottom"/>
            <w:hideMark/>
          </w:tcPr>
          <w:p w14:paraId="37852095"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Resultado de Equivalência Patrimonial</w:t>
            </w:r>
          </w:p>
        </w:tc>
        <w:tc>
          <w:tcPr>
            <w:tcW w:w="681" w:type="pct"/>
            <w:tcBorders>
              <w:top w:val="nil"/>
              <w:left w:val="nil"/>
              <w:bottom w:val="nil"/>
              <w:right w:val="nil"/>
            </w:tcBorders>
            <w:shd w:val="clear" w:color="auto" w:fill="auto"/>
            <w:noWrap/>
            <w:vAlign w:val="bottom"/>
            <w:hideMark/>
          </w:tcPr>
          <w:p w14:paraId="093FD1DE"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(6.172.326)</w:t>
            </w:r>
          </w:p>
        </w:tc>
        <w:tc>
          <w:tcPr>
            <w:tcW w:w="681" w:type="pct"/>
            <w:tcBorders>
              <w:top w:val="nil"/>
              <w:left w:val="nil"/>
              <w:bottom w:val="nil"/>
              <w:right w:val="nil"/>
            </w:tcBorders>
            <w:shd w:val="clear" w:color="auto" w:fill="auto"/>
            <w:noWrap/>
            <w:vAlign w:val="bottom"/>
            <w:hideMark/>
          </w:tcPr>
          <w:p w14:paraId="7062EE0A"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(19.303.670)</w:t>
            </w:r>
          </w:p>
        </w:tc>
        <w:tc>
          <w:tcPr>
            <w:tcW w:w="681" w:type="pct"/>
            <w:tcBorders>
              <w:top w:val="nil"/>
              <w:left w:val="nil"/>
              <w:bottom w:val="nil"/>
              <w:right w:val="nil"/>
            </w:tcBorders>
            <w:shd w:val="clear" w:color="auto" w:fill="auto"/>
            <w:noWrap/>
            <w:vAlign w:val="bottom"/>
            <w:hideMark/>
          </w:tcPr>
          <w:p w14:paraId="1E52DEE9"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(15.971.177)</w:t>
            </w:r>
          </w:p>
        </w:tc>
        <w:tc>
          <w:tcPr>
            <w:tcW w:w="720" w:type="pct"/>
            <w:tcBorders>
              <w:top w:val="nil"/>
              <w:left w:val="nil"/>
              <w:bottom w:val="nil"/>
              <w:right w:val="nil"/>
            </w:tcBorders>
            <w:shd w:val="clear" w:color="auto" w:fill="auto"/>
            <w:noWrap/>
            <w:vAlign w:val="bottom"/>
            <w:hideMark/>
          </w:tcPr>
          <w:p w14:paraId="6C3E4C0F"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(32.248.507)</w:t>
            </w:r>
          </w:p>
        </w:tc>
        <w:tc>
          <w:tcPr>
            <w:tcW w:w="230" w:type="pct"/>
            <w:tcBorders>
              <w:top w:val="nil"/>
              <w:left w:val="nil"/>
              <w:bottom w:val="nil"/>
              <w:right w:val="nil"/>
            </w:tcBorders>
            <w:shd w:val="clear" w:color="000000" w:fill="FFFFFF"/>
            <w:noWrap/>
            <w:vAlign w:val="center"/>
            <w:hideMark/>
          </w:tcPr>
          <w:p w14:paraId="2CF8DD3A"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w:t>
            </w:r>
          </w:p>
        </w:tc>
      </w:tr>
      <w:tr w:rsidR="00AF45DE" w:rsidRPr="00AF45DE" w14:paraId="33D61419" w14:textId="77777777" w:rsidTr="00985E67">
        <w:trPr>
          <w:trHeight w:hRule="exact" w:val="227"/>
        </w:trPr>
        <w:tc>
          <w:tcPr>
            <w:tcW w:w="2008" w:type="pct"/>
            <w:tcBorders>
              <w:top w:val="nil"/>
              <w:left w:val="nil"/>
              <w:bottom w:val="nil"/>
              <w:right w:val="nil"/>
            </w:tcBorders>
            <w:shd w:val="clear" w:color="auto" w:fill="auto"/>
            <w:noWrap/>
            <w:vAlign w:val="bottom"/>
            <w:hideMark/>
          </w:tcPr>
          <w:p w14:paraId="0FC2FDB4"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Baixa de Ativos - Imobilizado e Intangível</w:t>
            </w:r>
          </w:p>
        </w:tc>
        <w:tc>
          <w:tcPr>
            <w:tcW w:w="681" w:type="pct"/>
            <w:tcBorders>
              <w:top w:val="nil"/>
              <w:left w:val="nil"/>
              <w:bottom w:val="nil"/>
              <w:right w:val="nil"/>
            </w:tcBorders>
            <w:shd w:val="clear" w:color="auto" w:fill="auto"/>
            <w:noWrap/>
            <w:vAlign w:val="bottom"/>
            <w:hideMark/>
          </w:tcPr>
          <w:p w14:paraId="468B921F"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(522.734)</w:t>
            </w:r>
          </w:p>
        </w:tc>
        <w:tc>
          <w:tcPr>
            <w:tcW w:w="681" w:type="pct"/>
            <w:tcBorders>
              <w:top w:val="nil"/>
              <w:left w:val="nil"/>
              <w:bottom w:val="nil"/>
              <w:right w:val="nil"/>
            </w:tcBorders>
            <w:shd w:val="clear" w:color="auto" w:fill="auto"/>
            <w:noWrap/>
            <w:vAlign w:val="bottom"/>
            <w:hideMark/>
          </w:tcPr>
          <w:p w14:paraId="73717DC9"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(6.598.523)</w:t>
            </w:r>
          </w:p>
        </w:tc>
        <w:tc>
          <w:tcPr>
            <w:tcW w:w="681" w:type="pct"/>
            <w:tcBorders>
              <w:top w:val="nil"/>
              <w:left w:val="nil"/>
              <w:bottom w:val="nil"/>
              <w:right w:val="nil"/>
            </w:tcBorders>
            <w:shd w:val="clear" w:color="auto" w:fill="auto"/>
            <w:noWrap/>
            <w:vAlign w:val="bottom"/>
            <w:hideMark/>
          </w:tcPr>
          <w:p w14:paraId="63F36FA5"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(121.587)</w:t>
            </w:r>
          </w:p>
        </w:tc>
        <w:tc>
          <w:tcPr>
            <w:tcW w:w="720" w:type="pct"/>
            <w:tcBorders>
              <w:top w:val="nil"/>
              <w:left w:val="nil"/>
              <w:bottom w:val="nil"/>
              <w:right w:val="nil"/>
            </w:tcBorders>
            <w:shd w:val="clear" w:color="auto" w:fill="auto"/>
            <w:noWrap/>
            <w:vAlign w:val="bottom"/>
            <w:hideMark/>
          </w:tcPr>
          <w:p w14:paraId="0D0EEEE0"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(167.491)</w:t>
            </w:r>
          </w:p>
        </w:tc>
        <w:tc>
          <w:tcPr>
            <w:tcW w:w="230" w:type="pct"/>
            <w:tcBorders>
              <w:top w:val="nil"/>
              <w:left w:val="nil"/>
              <w:bottom w:val="nil"/>
              <w:right w:val="nil"/>
            </w:tcBorders>
            <w:shd w:val="clear" w:color="000000" w:fill="FFFFFF"/>
            <w:noWrap/>
            <w:vAlign w:val="center"/>
            <w:hideMark/>
          </w:tcPr>
          <w:p w14:paraId="10EECA5D"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w:t>
            </w:r>
          </w:p>
        </w:tc>
      </w:tr>
      <w:tr w:rsidR="00AF45DE" w:rsidRPr="00AF45DE" w14:paraId="10BE07AE" w14:textId="77777777" w:rsidTr="00985E67">
        <w:trPr>
          <w:trHeight w:hRule="exact" w:val="227"/>
        </w:trPr>
        <w:tc>
          <w:tcPr>
            <w:tcW w:w="2008" w:type="pct"/>
            <w:tcBorders>
              <w:top w:val="nil"/>
              <w:left w:val="nil"/>
              <w:bottom w:val="nil"/>
              <w:right w:val="nil"/>
            </w:tcBorders>
            <w:shd w:val="clear" w:color="auto" w:fill="auto"/>
            <w:noWrap/>
            <w:vAlign w:val="bottom"/>
            <w:hideMark/>
          </w:tcPr>
          <w:p w14:paraId="36CDD368"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Baixa de Ativos - Tributos a recuperar/compensar</w:t>
            </w:r>
          </w:p>
        </w:tc>
        <w:tc>
          <w:tcPr>
            <w:tcW w:w="681" w:type="pct"/>
            <w:tcBorders>
              <w:top w:val="nil"/>
              <w:left w:val="nil"/>
              <w:bottom w:val="nil"/>
              <w:right w:val="nil"/>
            </w:tcBorders>
            <w:shd w:val="clear" w:color="auto" w:fill="auto"/>
            <w:noWrap/>
            <w:vAlign w:val="bottom"/>
            <w:hideMark/>
          </w:tcPr>
          <w:p w14:paraId="11340BD5"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(145.455)</w:t>
            </w:r>
          </w:p>
        </w:tc>
        <w:tc>
          <w:tcPr>
            <w:tcW w:w="681" w:type="pct"/>
            <w:tcBorders>
              <w:top w:val="nil"/>
              <w:left w:val="nil"/>
              <w:bottom w:val="nil"/>
              <w:right w:val="nil"/>
            </w:tcBorders>
            <w:shd w:val="clear" w:color="auto" w:fill="auto"/>
            <w:noWrap/>
            <w:vAlign w:val="bottom"/>
            <w:hideMark/>
          </w:tcPr>
          <w:p w14:paraId="14B6B60F"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(475.881)</w:t>
            </w:r>
          </w:p>
        </w:tc>
        <w:tc>
          <w:tcPr>
            <w:tcW w:w="681" w:type="pct"/>
            <w:tcBorders>
              <w:top w:val="nil"/>
              <w:left w:val="nil"/>
              <w:bottom w:val="nil"/>
              <w:right w:val="nil"/>
            </w:tcBorders>
            <w:shd w:val="clear" w:color="auto" w:fill="auto"/>
            <w:noWrap/>
            <w:vAlign w:val="bottom"/>
            <w:hideMark/>
          </w:tcPr>
          <w:p w14:paraId="40732275"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(197.037)</w:t>
            </w:r>
          </w:p>
        </w:tc>
        <w:tc>
          <w:tcPr>
            <w:tcW w:w="720" w:type="pct"/>
            <w:tcBorders>
              <w:top w:val="nil"/>
              <w:left w:val="nil"/>
              <w:bottom w:val="nil"/>
              <w:right w:val="nil"/>
            </w:tcBorders>
            <w:shd w:val="clear" w:color="auto" w:fill="auto"/>
            <w:noWrap/>
            <w:vAlign w:val="bottom"/>
            <w:hideMark/>
          </w:tcPr>
          <w:p w14:paraId="1BFDC783"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(197.037)</w:t>
            </w:r>
          </w:p>
        </w:tc>
        <w:tc>
          <w:tcPr>
            <w:tcW w:w="230" w:type="pct"/>
            <w:tcBorders>
              <w:top w:val="nil"/>
              <w:left w:val="nil"/>
              <w:bottom w:val="nil"/>
              <w:right w:val="nil"/>
            </w:tcBorders>
            <w:shd w:val="clear" w:color="auto" w:fill="auto"/>
            <w:noWrap/>
            <w:vAlign w:val="center"/>
            <w:hideMark/>
          </w:tcPr>
          <w:p w14:paraId="71DB9A5E" w14:textId="77777777" w:rsidR="00AF45DE" w:rsidRPr="00AF45DE" w:rsidRDefault="00AF45DE" w:rsidP="00AF45DE">
            <w:pPr>
              <w:jc w:val="right"/>
              <w:rPr>
                <w:rFonts w:asciiTheme="majorHAnsi" w:hAnsiTheme="majorHAnsi" w:cstheme="majorHAnsi"/>
                <w:sz w:val="16"/>
                <w:szCs w:val="16"/>
              </w:rPr>
            </w:pPr>
          </w:p>
        </w:tc>
      </w:tr>
      <w:tr w:rsidR="00AF45DE" w:rsidRPr="00AF45DE" w14:paraId="47B70EF0" w14:textId="77777777" w:rsidTr="00985E67">
        <w:trPr>
          <w:trHeight w:hRule="exact" w:val="227"/>
        </w:trPr>
        <w:tc>
          <w:tcPr>
            <w:tcW w:w="2008" w:type="pct"/>
            <w:tcBorders>
              <w:top w:val="nil"/>
              <w:left w:val="nil"/>
              <w:bottom w:val="nil"/>
              <w:right w:val="nil"/>
            </w:tcBorders>
            <w:shd w:val="clear" w:color="auto" w:fill="auto"/>
            <w:noWrap/>
            <w:vAlign w:val="bottom"/>
            <w:hideMark/>
          </w:tcPr>
          <w:p w14:paraId="653957AE" w14:textId="77777777" w:rsidR="00AF45DE" w:rsidRPr="00AF45DE" w:rsidRDefault="00AF45DE">
            <w:pPr>
              <w:jc w:val="center"/>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63E59443"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7975B750"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34066443" w14:textId="77777777" w:rsidR="00AF45DE" w:rsidRPr="00AF45DE" w:rsidRDefault="00AF45DE" w:rsidP="00AF45DE">
            <w:pPr>
              <w:jc w:val="right"/>
              <w:rPr>
                <w:rFonts w:asciiTheme="majorHAnsi" w:hAnsiTheme="majorHAnsi" w:cstheme="majorHAnsi"/>
                <w:sz w:val="16"/>
                <w:szCs w:val="16"/>
              </w:rPr>
            </w:pPr>
          </w:p>
        </w:tc>
        <w:tc>
          <w:tcPr>
            <w:tcW w:w="720" w:type="pct"/>
            <w:tcBorders>
              <w:top w:val="nil"/>
              <w:left w:val="nil"/>
              <w:bottom w:val="nil"/>
              <w:right w:val="nil"/>
            </w:tcBorders>
            <w:shd w:val="clear" w:color="auto" w:fill="auto"/>
            <w:noWrap/>
            <w:vAlign w:val="center"/>
            <w:hideMark/>
          </w:tcPr>
          <w:p w14:paraId="74411CE7" w14:textId="77777777" w:rsidR="00AF45DE" w:rsidRPr="00AF45DE" w:rsidRDefault="00AF45DE" w:rsidP="00AF45DE">
            <w:pPr>
              <w:jc w:val="right"/>
              <w:rPr>
                <w:rFonts w:asciiTheme="majorHAnsi" w:hAnsiTheme="majorHAnsi" w:cstheme="majorHAnsi"/>
                <w:sz w:val="16"/>
                <w:szCs w:val="16"/>
              </w:rPr>
            </w:pPr>
          </w:p>
        </w:tc>
        <w:tc>
          <w:tcPr>
            <w:tcW w:w="230" w:type="pct"/>
            <w:tcBorders>
              <w:top w:val="nil"/>
              <w:left w:val="nil"/>
              <w:bottom w:val="nil"/>
              <w:right w:val="nil"/>
            </w:tcBorders>
            <w:shd w:val="clear" w:color="auto" w:fill="auto"/>
            <w:noWrap/>
            <w:vAlign w:val="center"/>
            <w:hideMark/>
          </w:tcPr>
          <w:p w14:paraId="00FEBD76" w14:textId="77777777" w:rsidR="00AF45DE" w:rsidRPr="00AF45DE" w:rsidRDefault="00AF45DE" w:rsidP="00AF45DE">
            <w:pPr>
              <w:jc w:val="right"/>
              <w:rPr>
                <w:rFonts w:asciiTheme="majorHAnsi" w:hAnsiTheme="majorHAnsi" w:cstheme="majorHAnsi"/>
                <w:sz w:val="16"/>
                <w:szCs w:val="16"/>
              </w:rPr>
            </w:pPr>
          </w:p>
        </w:tc>
      </w:tr>
      <w:tr w:rsidR="00AF45DE" w:rsidRPr="00AF45DE" w14:paraId="5482AC9E" w14:textId="77777777" w:rsidTr="00985E67">
        <w:trPr>
          <w:trHeight w:hRule="exact" w:val="227"/>
        </w:trPr>
        <w:tc>
          <w:tcPr>
            <w:tcW w:w="2008" w:type="pct"/>
            <w:tcBorders>
              <w:top w:val="nil"/>
              <w:left w:val="nil"/>
              <w:bottom w:val="nil"/>
              <w:right w:val="nil"/>
            </w:tcBorders>
            <w:shd w:val="clear" w:color="auto" w:fill="auto"/>
            <w:hideMark/>
          </w:tcPr>
          <w:p w14:paraId="54C4FA6F"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RESULTADO ANTES DO RESULTADO FINANCEIRO</w:t>
            </w:r>
          </w:p>
        </w:tc>
        <w:tc>
          <w:tcPr>
            <w:tcW w:w="681" w:type="pct"/>
            <w:tcBorders>
              <w:top w:val="nil"/>
              <w:left w:val="nil"/>
              <w:bottom w:val="nil"/>
              <w:right w:val="nil"/>
            </w:tcBorders>
            <w:shd w:val="clear" w:color="auto" w:fill="auto"/>
            <w:noWrap/>
            <w:vAlign w:val="bottom"/>
            <w:hideMark/>
          </w:tcPr>
          <w:p w14:paraId="23C8532F"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(61.176.969)</w:t>
            </w:r>
          </w:p>
        </w:tc>
        <w:tc>
          <w:tcPr>
            <w:tcW w:w="681" w:type="pct"/>
            <w:tcBorders>
              <w:top w:val="nil"/>
              <w:left w:val="nil"/>
              <w:bottom w:val="nil"/>
              <w:right w:val="nil"/>
            </w:tcBorders>
            <w:shd w:val="clear" w:color="auto" w:fill="auto"/>
            <w:noWrap/>
            <w:vAlign w:val="bottom"/>
            <w:hideMark/>
          </w:tcPr>
          <w:p w14:paraId="572C0A44"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(106.373.573)</w:t>
            </w:r>
          </w:p>
        </w:tc>
        <w:tc>
          <w:tcPr>
            <w:tcW w:w="681" w:type="pct"/>
            <w:tcBorders>
              <w:top w:val="nil"/>
              <w:left w:val="nil"/>
              <w:bottom w:val="nil"/>
              <w:right w:val="nil"/>
            </w:tcBorders>
            <w:shd w:val="clear" w:color="auto" w:fill="auto"/>
            <w:noWrap/>
            <w:vAlign w:val="bottom"/>
            <w:hideMark/>
          </w:tcPr>
          <w:p w14:paraId="4F92A486"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(70.231.450)</w:t>
            </w:r>
          </w:p>
        </w:tc>
        <w:tc>
          <w:tcPr>
            <w:tcW w:w="720" w:type="pct"/>
            <w:tcBorders>
              <w:top w:val="nil"/>
              <w:left w:val="nil"/>
              <w:bottom w:val="nil"/>
              <w:right w:val="nil"/>
            </w:tcBorders>
            <w:shd w:val="clear" w:color="auto" w:fill="auto"/>
            <w:noWrap/>
            <w:vAlign w:val="bottom"/>
            <w:hideMark/>
          </w:tcPr>
          <w:p w14:paraId="47BE9001"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(208.631.010)</w:t>
            </w:r>
          </w:p>
        </w:tc>
        <w:tc>
          <w:tcPr>
            <w:tcW w:w="230" w:type="pct"/>
            <w:tcBorders>
              <w:top w:val="nil"/>
              <w:left w:val="nil"/>
              <w:bottom w:val="nil"/>
              <w:right w:val="nil"/>
            </w:tcBorders>
            <w:shd w:val="clear" w:color="auto" w:fill="auto"/>
            <w:noWrap/>
            <w:vAlign w:val="center"/>
            <w:hideMark/>
          </w:tcPr>
          <w:p w14:paraId="74A762B5" w14:textId="77777777" w:rsidR="00AF45DE" w:rsidRPr="00AF45DE" w:rsidRDefault="00AF45DE" w:rsidP="00AF45DE">
            <w:pPr>
              <w:jc w:val="right"/>
              <w:rPr>
                <w:rFonts w:asciiTheme="majorHAnsi" w:hAnsiTheme="majorHAnsi" w:cstheme="majorHAnsi"/>
                <w:b/>
                <w:bCs/>
                <w:sz w:val="16"/>
                <w:szCs w:val="16"/>
              </w:rPr>
            </w:pPr>
          </w:p>
        </w:tc>
      </w:tr>
      <w:tr w:rsidR="00AF45DE" w:rsidRPr="00AF45DE" w14:paraId="252D05A5" w14:textId="77777777" w:rsidTr="00985E67">
        <w:trPr>
          <w:trHeight w:hRule="exact" w:val="227"/>
        </w:trPr>
        <w:tc>
          <w:tcPr>
            <w:tcW w:w="2008" w:type="pct"/>
            <w:tcBorders>
              <w:top w:val="nil"/>
              <w:left w:val="nil"/>
              <w:bottom w:val="nil"/>
              <w:right w:val="nil"/>
            </w:tcBorders>
            <w:shd w:val="clear" w:color="auto" w:fill="auto"/>
            <w:hideMark/>
          </w:tcPr>
          <w:p w14:paraId="342514C6" w14:textId="77777777" w:rsidR="00AF45DE" w:rsidRPr="00AF45DE" w:rsidRDefault="00AF45DE">
            <w:pPr>
              <w:jc w:val="center"/>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0D9AAE93"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0227EB30"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5076433D" w14:textId="77777777" w:rsidR="00AF45DE" w:rsidRPr="00AF45DE" w:rsidRDefault="00AF45DE" w:rsidP="00AF45DE">
            <w:pPr>
              <w:jc w:val="right"/>
              <w:rPr>
                <w:rFonts w:asciiTheme="majorHAnsi" w:hAnsiTheme="majorHAnsi" w:cstheme="majorHAnsi"/>
                <w:sz w:val="16"/>
                <w:szCs w:val="16"/>
              </w:rPr>
            </w:pPr>
          </w:p>
        </w:tc>
        <w:tc>
          <w:tcPr>
            <w:tcW w:w="720" w:type="pct"/>
            <w:tcBorders>
              <w:top w:val="nil"/>
              <w:left w:val="nil"/>
              <w:bottom w:val="nil"/>
              <w:right w:val="nil"/>
            </w:tcBorders>
            <w:shd w:val="clear" w:color="auto" w:fill="auto"/>
            <w:noWrap/>
            <w:vAlign w:val="bottom"/>
            <w:hideMark/>
          </w:tcPr>
          <w:p w14:paraId="63FE5AD8" w14:textId="77777777" w:rsidR="00AF45DE" w:rsidRPr="00AF45DE" w:rsidRDefault="00AF45DE" w:rsidP="00AF45DE">
            <w:pPr>
              <w:jc w:val="right"/>
              <w:rPr>
                <w:rFonts w:asciiTheme="majorHAnsi" w:hAnsiTheme="majorHAnsi" w:cstheme="majorHAnsi"/>
                <w:sz w:val="16"/>
                <w:szCs w:val="16"/>
              </w:rPr>
            </w:pPr>
          </w:p>
        </w:tc>
        <w:tc>
          <w:tcPr>
            <w:tcW w:w="230" w:type="pct"/>
            <w:tcBorders>
              <w:top w:val="nil"/>
              <w:left w:val="nil"/>
              <w:bottom w:val="nil"/>
              <w:right w:val="nil"/>
            </w:tcBorders>
            <w:shd w:val="clear" w:color="auto" w:fill="auto"/>
            <w:noWrap/>
            <w:vAlign w:val="center"/>
            <w:hideMark/>
          </w:tcPr>
          <w:p w14:paraId="2FEFFF97" w14:textId="77777777" w:rsidR="00AF45DE" w:rsidRPr="00AF45DE" w:rsidRDefault="00AF45DE" w:rsidP="00AF45DE">
            <w:pPr>
              <w:jc w:val="right"/>
              <w:rPr>
                <w:rFonts w:asciiTheme="majorHAnsi" w:hAnsiTheme="majorHAnsi" w:cstheme="majorHAnsi"/>
                <w:sz w:val="16"/>
                <w:szCs w:val="16"/>
              </w:rPr>
            </w:pPr>
          </w:p>
        </w:tc>
      </w:tr>
      <w:tr w:rsidR="00AF45DE" w:rsidRPr="00AF45DE" w14:paraId="6BB28A79" w14:textId="77777777" w:rsidTr="00985E67">
        <w:trPr>
          <w:trHeight w:hRule="exact" w:val="227"/>
        </w:trPr>
        <w:tc>
          <w:tcPr>
            <w:tcW w:w="2008" w:type="pct"/>
            <w:tcBorders>
              <w:top w:val="nil"/>
              <w:left w:val="nil"/>
              <w:bottom w:val="nil"/>
              <w:right w:val="nil"/>
            </w:tcBorders>
            <w:shd w:val="clear" w:color="auto" w:fill="auto"/>
            <w:noWrap/>
            <w:vAlign w:val="bottom"/>
            <w:hideMark/>
          </w:tcPr>
          <w:p w14:paraId="4B3E50D9"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RESUTADO FINANCEIRO LÍQUIDO</w:t>
            </w:r>
          </w:p>
        </w:tc>
        <w:tc>
          <w:tcPr>
            <w:tcW w:w="681" w:type="pct"/>
            <w:tcBorders>
              <w:top w:val="nil"/>
              <w:left w:val="nil"/>
              <w:bottom w:val="nil"/>
              <w:right w:val="nil"/>
            </w:tcBorders>
            <w:shd w:val="clear" w:color="auto" w:fill="auto"/>
            <w:noWrap/>
            <w:vAlign w:val="bottom"/>
            <w:hideMark/>
          </w:tcPr>
          <w:p w14:paraId="30B080BB"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(852.944)</w:t>
            </w:r>
          </w:p>
        </w:tc>
        <w:tc>
          <w:tcPr>
            <w:tcW w:w="681" w:type="pct"/>
            <w:tcBorders>
              <w:top w:val="nil"/>
              <w:left w:val="nil"/>
              <w:bottom w:val="nil"/>
              <w:right w:val="nil"/>
            </w:tcBorders>
            <w:shd w:val="clear" w:color="auto" w:fill="auto"/>
            <w:noWrap/>
            <w:vAlign w:val="bottom"/>
            <w:hideMark/>
          </w:tcPr>
          <w:p w14:paraId="7E474EFC"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2.179.506 </w:t>
            </w:r>
          </w:p>
        </w:tc>
        <w:tc>
          <w:tcPr>
            <w:tcW w:w="681" w:type="pct"/>
            <w:tcBorders>
              <w:top w:val="nil"/>
              <w:left w:val="nil"/>
              <w:bottom w:val="nil"/>
              <w:right w:val="nil"/>
            </w:tcBorders>
            <w:shd w:val="clear" w:color="auto" w:fill="auto"/>
            <w:noWrap/>
            <w:vAlign w:val="bottom"/>
            <w:hideMark/>
          </w:tcPr>
          <w:p w14:paraId="10AE1D93"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833.759 </w:t>
            </w:r>
          </w:p>
        </w:tc>
        <w:tc>
          <w:tcPr>
            <w:tcW w:w="720" w:type="pct"/>
            <w:tcBorders>
              <w:top w:val="nil"/>
              <w:left w:val="nil"/>
              <w:bottom w:val="nil"/>
              <w:right w:val="nil"/>
            </w:tcBorders>
            <w:shd w:val="clear" w:color="auto" w:fill="auto"/>
            <w:noWrap/>
            <w:vAlign w:val="bottom"/>
            <w:hideMark/>
          </w:tcPr>
          <w:p w14:paraId="02B145FB"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4.295.598 </w:t>
            </w:r>
          </w:p>
        </w:tc>
        <w:tc>
          <w:tcPr>
            <w:tcW w:w="230" w:type="pct"/>
            <w:tcBorders>
              <w:top w:val="nil"/>
              <w:left w:val="nil"/>
              <w:bottom w:val="nil"/>
              <w:right w:val="nil"/>
            </w:tcBorders>
            <w:shd w:val="clear" w:color="auto" w:fill="auto"/>
            <w:noWrap/>
            <w:vAlign w:val="center"/>
            <w:hideMark/>
          </w:tcPr>
          <w:p w14:paraId="65D65CC9" w14:textId="77777777" w:rsidR="00AF45DE" w:rsidRPr="00AF45DE" w:rsidRDefault="00AF45DE" w:rsidP="00AF45DE">
            <w:pPr>
              <w:jc w:val="right"/>
              <w:rPr>
                <w:rFonts w:asciiTheme="majorHAnsi" w:hAnsiTheme="majorHAnsi" w:cstheme="majorHAnsi"/>
                <w:b/>
                <w:bCs/>
                <w:sz w:val="16"/>
                <w:szCs w:val="16"/>
              </w:rPr>
            </w:pPr>
          </w:p>
        </w:tc>
      </w:tr>
      <w:tr w:rsidR="00AF45DE" w:rsidRPr="00AF45DE" w14:paraId="67FE8B10" w14:textId="77777777" w:rsidTr="00985E67">
        <w:trPr>
          <w:trHeight w:hRule="exact" w:val="227"/>
        </w:trPr>
        <w:tc>
          <w:tcPr>
            <w:tcW w:w="2008" w:type="pct"/>
            <w:tcBorders>
              <w:top w:val="nil"/>
              <w:left w:val="nil"/>
              <w:bottom w:val="nil"/>
              <w:right w:val="nil"/>
            </w:tcBorders>
            <w:shd w:val="clear" w:color="auto" w:fill="auto"/>
            <w:noWrap/>
            <w:vAlign w:val="bottom"/>
            <w:hideMark/>
          </w:tcPr>
          <w:p w14:paraId="3B7733AD" w14:textId="77777777" w:rsidR="00AF45DE" w:rsidRPr="007503AC" w:rsidRDefault="00AF45DE">
            <w:pPr>
              <w:rPr>
                <w:rFonts w:asciiTheme="majorHAnsi" w:hAnsiTheme="majorHAnsi" w:cstheme="majorHAnsi"/>
                <w:sz w:val="16"/>
                <w:szCs w:val="16"/>
              </w:rPr>
            </w:pPr>
            <w:r w:rsidRPr="007503AC">
              <w:rPr>
                <w:rFonts w:asciiTheme="majorHAnsi" w:hAnsiTheme="majorHAnsi" w:cstheme="majorHAnsi"/>
                <w:sz w:val="16"/>
                <w:szCs w:val="16"/>
              </w:rPr>
              <w:t xml:space="preserve">        Receita Financeira</w:t>
            </w:r>
          </w:p>
        </w:tc>
        <w:tc>
          <w:tcPr>
            <w:tcW w:w="681" w:type="pct"/>
            <w:tcBorders>
              <w:top w:val="nil"/>
              <w:left w:val="nil"/>
              <w:bottom w:val="nil"/>
              <w:right w:val="nil"/>
            </w:tcBorders>
            <w:shd w:val="clear" w:color="auto" w:fill="auto"/>
            <w:noWrap/>
            <w:vAlign w:val="bottom"/>
            <w:hideMark/>
          </w:tcPr>
          <w:p w14:paraId="67064717" w14:textId="77777777" w:rsidR="00AF45DE" w:rsidRPr="007503AC" w:rsidRDefault="00AF45DE" w:rsidP="00AF45DE">
            <w:pPr>
              <w:jc w:val="right"/>
              <w:rPr>
                <w:rFonts w:asciiTheme="majorHAnsi" w:hAnsiTheme="majorHAnsi" w:cstheme="majorHAnsi"/>
                <w:sz w:val="16"/>
                <w:szCs w:val="16"/>
              </w:rPr>
            </w:pPr>
            <w:r w:rsidRPr="007503AC">
              <w:rPr>
                <w:rFonts w:asciiTheme="majorHAnsi" w:hAnsiTheme="majorHAnsi" w:cstheme="majorHAnsi"/>
                <w:sz w:val="16"/>
                <w:szCs w:val="16"/>
              </w:rPr>
              <w:t xml:space="preserve">                    345.572 </w:t>
            </w:r>
          </w:p>
        </w:tc>
        <w:tc>
          <w:tcPr>
            <w:tcW w:w="681" w:type="pct"/>
            <w:tcBorders>
              <w:top w:val="nil"/>
              <w:left w:val="nil"/>
              <w:bottom w:val="nil"/>
              <w:right w:val="nil"/>
            </w:tcBorders>
            <w:shd w:val="clear" w:color="auto" w:fill="auto"/>
            <w:noWrap/>
            <w:vAlign w:val="bottom"/>
            <w:hideMark/>
          </w:tcPr>
          <w:p w14:paraId="76E235FD" w14:textId="77777777" w:rsidR="00AF45DE" w:rsidRPr="007503AC" w:rsidRDefault="00AF45DE" w:rsidP="00AF45DE">
            <w:pPr>
              <w:jc w:val="right"/>
              <w:rPr>
                <w:rFonts w:asciiTheme="majorHAnsi" w:hAnsiTheme="majorHAnsi" w:cstheme="majorHAnsi"/>
                <w:sz w:val="16"/>
                <w:szCs w:val="16"/>
              </w:rPr>
            </w:pPr>
            <w:r w:rsidRPr="007503AC">
              <w:rPr>
                <w:rFonts w:asciiTheme="majorHAnsi" w:hAnsiTheme="majorHAnsi" w:cstheme="majorHAnsi"/>
                <w:sz w:val="16"/>
                <w:szCs w:val="16"/>
              </w:rPr>
              <w:t xml:space="preserve">                3.954.653 </w:t>
            </w:r>
          </w:p>
        </w:tc>
        <w:tc>
          <w:tcPr>
            <w:tcW w:w="681" w:type="pct"/>
            <w:tcBorders>
              <w:top w:val="nil"/>
              <w:left w:val="nil"/>
              <w:bottom w:val="nil"/>
              <w:right w:val="nil"/>
            </w:tcBorders>
            <w:shd w:val="clear" w:color="auto" w:fill="auto"/>
            <w:noWrap/>
            <w:vAlign w:val="bottom"/>
            <w:hideMark/>
          </w:tcPr>
          <w:p w14:paraId="5F3E15AE" w14:textId="77777777" w:rsidR="00AF45DE" w:rsidRPr="007503AC" w:rsidRDefault="00AF45DE" w:rsidP="00AF45DE">
            <w:pPr>
              <w:jc w:val="right"/>
              <w:rPr>
                <w:rFonts w:asciiTheme="majorHAnsi" w:hAnsiTheme="majorHAnsi" w:cstheme="majorHAnsi"/>
                <w:sz w:val="16"/>
                <w:szCs w:val="16"/>
              </w:rPr>
            </w:pPr>
            <w:r w:rsidRPr="007503AC">
              <w:rPr>
                <w:rFonts w:asciiTheme="majorHAnsi" w:hAnsiTheme="majorHAnsi" w:cstheme="majorHAnsi"/>
                <w:sz w:val="16"/>
                <w:szCs w:val="16"/>
              </w:rPr>
              <w:t xml:space="preserve">                    833.759 </w:t>
            </w:r>
          </w:p>
        </w:tc>
        <w:tc>
          <w:tcPr>
            <w:tcW w:w="720" w:type="pct"/>
            <w:tcBorders>
              <w:top w:val="nil"/>
              <w:left w:val="nil"/>
              <w:bottom w:val="nil"/>
              <w:right w:val="nil"/>
            </w:tcBorders>
            <w:shd w:val="clear" w:color="auto" w:fill="auto"/>
            <w:noWrap/>
            <w:vAlign w:val="bottom"/>
            <w:hideMark/>
          </w:tcPr>
          <w:p w14:paraId="6BD2AE44" w14:textId="77777777" w:rsidR="00AF45DE" w:rsidRPr="007503AC" w:rsidRDefault="00AF45DE" w:rsidP="00AF45DE">
            <w:pPr>
              <w:jc w:val="right"/>
              <w:rPr>
                <w:rFonts w:asciiTheme="majorHAnsi" w:hAnsiTheme="majorHAnsi" w:cstheme="majorHAnsi"/>
                <w:sz w:val="16"/>
                <w:szCs w:val="16"/>
              </w:rPr>
            </w:pPr>
            <w:r w:rsidRPr="007503AC">
              <w:rPr>
                <w:rFonts w:asciiTheme="majorHAnsi" w:hAnsiTheme="majorHAnsi" w:cstheme="majorHAnsi"/>
                <w:sz w:val="16"/>
                <w:szCs w:val="16"/>
              </w:rPr>
              <w:t xml:space="preserve">                   4.295.598 </w:t>
            </w:r>
          </w:p>
        </w:tc>
        <w:tc>
          <w:tcPr>
            <w:tcW w:w="230" w:type="pct"/>
            <w:tcBorders>
              <w:top w:val="nil"/>
              <w:left w:val="nil"/>
              <w:bottom w:val="nil"/>
              <w:right w:val="nil"/>
            </w:tcBorders>
            <w:shd w:val="clear" w:color="auto" w:fill="auto"/>
            <w:noWrap/>
            <w:vAlign w:val="center"/>
            <w:hideMark/>
          </w:tcPr>
          <w:p w14:paraId="0C7462CA" w14:textId="77777777" w:rsidR="00AF45DE" w:rsidRPr="007503AC" w:rsidRDefault="00AF45DE" w:rsidP="00AF45DE">
            <w:pPr>
              <w:jc w:val="right"/>
              <w:rPr>
                <w:rFonts w:asciiTheme="majorHAnsi" w:hAnsiTheme="majorHAnsi" w:cstheme="majorHAnsi"/>
                <w:sz w:val="16"/>
                <w:szCs w:val="16"/>
              </w:rPr>
            </w:pPr>
            <w:r w:rsidRPr="007503AC">
              <w:rPr>
                <w:rFonts w:asciiTheme="majorHAnsi" w:hAnsiTheme="majorHAnsi" w:cstheme="majorHAnsi"/>
                <w:sz w:val="16"/>
                <w:szCs w:val="16"/>
              </w:rPr>
              <w:t>(21)</w:t>
            </w:r>
          </w:p>
        </w:tc>
      </w:tr>
      <w:tr w:rsidR="00AF45DE" w:rsidRPr="00AF45DE" w14:paraId="04DB26BA" w14:textId="77777777" w:rsidTr="00985E67">
        <w:trPr>
          <w:trHeight w:hRule="exact" w:val="227"/>
        </w:trPr>
        <w:tc>
          <w:tcPr>
            <w:tcW w:w="2008" w:type="pct"/>
            <w:tcBorders>
              <w:top w:val="nil"/>
              <w:left w:val="nil"/>
              <w:bottom w:val="nil"/>
              <w:right w:val="nil"/>
            </w:tcBorders>
            <w:shd w:val="clear" w:color="auto" w:fill="auto"/>
            <w:noWrap/>
            <w:vAlign w:val="bottom"/>
            <w:hideMark/>
          </w:tcPr>
          <w:p w14:paraId="2B29E10C"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Despesa Financeira</w:t>
            </w:r>
          </w:p>
        </w:tc>
        <w:tc>
          <w:tcPr>
            <w:tcW w:w="681" w:type="pct"/>
            <w:tcBorders>
              <w:top w:val="nil"/>
              <w:left w:val="nil"/>
              <w:bottom w:val="nil"/>
              <w:right w:val="nil"/>
            </w:tcBorders>
            <w:shd w:val="clear" w:color="auto" w:fill="auto"/>
            <w:noWrap/>
            <w:vAlign w:val="bottom"/>
            <w:hideMark/>
          </w:tcPr>
          <w:p w14:paraId="00AB42FC"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(1.198.515)</w:t>
            </w:r>
          </w:p>
        </w:tc>
        <w:tc>
          <w:tcPr>
            <w:tcW w:w="681" w:type="pct"/>
            <w:tcBorders>
              <w:top w:val="nil"/>
              <w:left w:val="nil"/>
              <w:bottom w:val="nil"/>
              <w:right w:val="nil"/>
            </w:tcBorders>
            <w:shd w:val="clear" w:color="auto" w:fill="auto"/>
            <w:noWrap/>
            <w:vAlign w:val="bottom"/>
            <w:hideMark/>
          </w:tcPr>
          <w:p w14:paraId="453564CF"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(1.775.147)</w:t>
            </w:r>
          </w:p>
        </w:tc>
        <w:tc>
          <w:tcPr>
            <w:tcW w:w="681" w:type="pct"/>
            <w:tcBorders>
              <w:top w:val="nil"/>
              <w:left w:val="nil"/>
              <w:bottom w:val="nil"/>
              <w:right w:val="nil"/>
            </w:tcBorders>
            <w:shd w:val="clear" w:color="auto" w:fill="auto"/>
            <w:noWrap/>
            <w:vAlign w:val="bottom"/>
            <w:hideMark/>
          </w:tcPr>
          <w:p w14:paraId="2C6939EF"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720" w:type="pct"/>
            <w:tcBorders>
              <w:top w:val="nil"/>
              <w:left w:val="nil"/>
              <w:bottom w:val="nil"/>
              <w:right w:val="nil"/>
            </w:tcBorders>
            <w:shd w:val="clear" w:color="auto" w:fill="auto"/>
            <w:noWrap/>
            <w:vAlign w:val="bottom"/>
            <w:hideMark/>
          </w:tcPr>
          <w:p w14:paraId="5BE057DF"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230" w:type="pct"/>
            <w:tcBorders>
              <w:top w:val="nil"/>
              <w:left w:val="nil"/>
              <w:bottom w:val="nil"/>
              <w:right w:val="nil"/>
            </w:tcBorders>
            <w:shd w:val="clear" w:color="auto" w:fill="auto"/>
            <w:noWrap/>
            <w:vAlign w:val="center"/>
            <w:hideMark/>
          </w:tcPr>
          <w:p w14:paraId="4897DBE1" w14:textId="77777777" w:rsidR="00AF45DE" w:rsidRPr="00AF45DE" w:rsidRDefault="00AF45DE" w:rsidP="00AF45DE">
            <w:pPr>
              <w:jc w:val="right"/>
              <w:rPr>
                <w:rFonts w:asciiTheme="majorHAnsi" w:hAnsiTheme="majorHAnsi" w:cstheme="majorHAnsi"/>
                <w:sz w:val="16"/>
                <w:szCs w:val="16"/>
              </w:rPr>
            </w:pPr>
          </w:p>
        </w:tc>
      </w:tr>
      <w:tr w:rsidR="00AF45DE" w:rsidRPr="00AF45DE" w14:paraId="5CDBF389" w14:textId="77777777" w:rsidTr="00985E67">
        <w:trPr>
          <w:trHeight w:hRule="exact" w:val="227"/>
        </w:trPr>
        <w:tc>
          <w:tcPr>
            <w:tcW w:w="2008" w:type="pct"/>
            <w:tcBorders>
              <w:top w:val="nil"/>
              <w:left w:val="nil"/>
              <w:bottom w:val="nil"/>
              <w:right w:val="nil"/>
            </w:tcBorders>
            <w:shd w:val="clear" w:color="auto" w:fill="auto"/>
            <w:noWrap/>
            <w:vAlign w:val="bottom"/>
            <w:hideMark/>
          </w:tcPr>
          <w:p w14:paraId="666954D5" w14:textId="77777777" w:rsidR="00AF45DE" w:rsidRPr="00AF45DE" w:rsidRDefault="00AF45DE">
            <w:pPr>
              <w:jc w:val="center"/>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71E8501C"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78562F1D"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1D5A6FF0" w14:textId="77777777" w:rsidR="00AF45DE" w:rsidRPr="00AF45DE" w:rsidRDefault="00AF45DE" w:rsidP="00AF45DE">
            <w:pPr>
              <w:jc w:val="right"/>
              <w:rPr>
                <w:rFonts w:asciiTheme="majorHAnsi" w:hAnsiTheme="majorHAnsi" w:cstheme="majorHAnsi"/>
                <w:sz w:val="16"/>
                <w:szCs w:val="16"/>
              </w:rPr>
            </w:pPr>
          </w:p>
        </w:tc>
        <w:tc>
          <w:tcPr>
            <w:tcW w:w="720" w:type="pct"/>
            <w:tcBorders>
              <w:top w:val="nil"/>
              <w:left w:val="nil"/>
              <w:bottom w:val="nil"/>
              <w:right w:val="nil"/>
            </w:tcBorders>
            <w:shd w:val="clear" w:color="auto" w:fill="auto"/>
            <w:noWrap/>
            <w:vAlign w:val="bottom"/>
            <w:hideMark/>
          </w:tcPr>
          <w:p w14:paraId="3184FC2A" w14:textId="77777777" w:rsidR="00AF45DE" w:rsidRPr="00AF45DE" w:rsidRDefault="00AF45DE" w:rsidP="00AF45DE">
            <w:pPr>
              <w:jc w:val="right"/>
              <w:rPr>
                <w:rFonts w:asciiTheme="majorHAnsi" w:hAnsiTheme="majorHAnsi" w:cstheme="majorHAnsi"/>
                <w:sz w:val="16"/>
                <w:szCs w:val="16"/>
              </w:rPr>
            </w:pPr>
          </w:p>
        </w:tc>
        <w:tc>
          <w:tcPr>
            <w:tcW w:w="230" w:type="pct"/>
            <w:tcBorders>
              <w:top w:val="nil"/>
              <w:left w:val="nil"/>
              <w:bottom w:val="nil"/>
              <w:right w:val="nil"/>
            </w:tcBorders>
            <w:shd w:val="clear" w:color="auto" w:fill="auto"/>
            <w:noWrap/>
            <w:vAlign w:val="center"/>
            <w:hideMark/>
          </w:tcPr>
          <w:p w14:paraId="55CAB704" w14:textId="77777777" w:rsidR="00AF45DE" w:rsidRPr="00AF45DE" w:rsidRDefault="00AF45DE" w:rsidP="00AF45DE">
            <w:pPr>
              <w:jc w:val="right"/>
              <w:rPr>
                <w:rFonts w:asciiTheme="majorHAnsi" w:hAnsiTheme="majorHAnsi" w:cstheme="majorHAnsi"/>
                <w:sz w:val="16"/>
                <w:szCs w:val="16"/>
              </w:rPr>
            </w:pPr>
          </w:p>
        </w:tc>
      </w:tr>
      <w:tr w:rsidR="00AF45DE" w:rsidRPr="00AF45DE" w14:paraId="0BEDFE8C" w14:textId="77777777" w:rsidTr="00985E67">
        <w:trPr>
          <w:trHeight w:hRule="exact" w:val="227"/>
        </w:trPr>
        <w:tc>
          <w:tcPr>
            <w:tcW w:w="2008" w:type="pct"/>
            <w:tcBorders>
              <w:top w:val="nil"/>
              <w:left w:val="nil"/>
              <w:bottom w:val="nil"/>
              <w:right w:val="nil"/>
            </w:tcBorders>
            <w:shd w:val="clear" w:color="auto" w:fill="auto"/>
            <w:noWrap/>
            <w:vAlign w:val="bottom"/>
            <w:hideMark/>
          </w:tcPr>
          <w:p w14:paraId="7D1ABBDD"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RESULTADO ANTES DAS SUBVENÇÕES DO TESOURO NACIONAL</w:t>
            </w:r>
          </w:p>
        </w:tc>
        <w:tc>
          <w:tcPr>
            <w:tcW w:w="681" w:type="pct"/>
            <w:tcBorders>
              <w:top w:val="nil"/>
              <w:left w:val="nil"/>
              <w:bottom w:val="nil"/>
              <w:right w:val="nil"/>
            </w:tcBorders>
            <w:shd w:val="clear" w:color="auto" w:fill="auto"/>
            <w:noWrap/>
            <w:vAlign w:val="bottom"/>
            <w:hideMark/>
          </w:tcPr>
          <w:p w14:paraId="05A5F91C"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(62.029.913)</w:t>
            </w:r>
          </w:p>
        </w:tc>
        <w:tc>
          <w:tcPr>
            <w:tcW w:w="681" w:type="pct"/>
            <w:tcBorders>
              <w:top w:val="nil"/>
              <w:left w:val="nil"/>
              <w:bottom w:val="nil"/>
              <w:right w:val="nil"/>
            </w:tcBorders>
            <w:shd w:val="clear" w:color="auto" w:fill="auto"/>
            <w:noWrap/>
            <w:vAlign w:val="bottom"/>
            <w:hideMark/>
          </w:tcPr>
          <w:p w14:paraId="4B526955"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(104.194.068)</w:t>
            </w:r>
          </w:p>
        </w:tc>
        <w:tc>
          <w:tcPr>
            <w:tcW w:w="681" w:type="pct"/>
            <w:tcBorders>
              <w:top w:val="nil"/>
              <w:left w:val="nil"/>
              <w:bottom w:val="nil"/>
              <w:right w:val="nil"/>
            </w:tcBorders>
            <w:shd w:val="clear" w:color="auto" w:fill="auto"/>
            <w:noWrap/>
            <w:vAlign w:val="bottom"/>
            <w:hideMark/>
          </w:tcPr>
          <w:p w14:paraId="339FCAA1"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(69.397.692)</w:t>
            </w:r>
          </w:p>
        </w:tc>
        <w:tc>
          <w:tcPr>
            <w:tcW w:w="720" w:type="pct"/>
            <w:tcBorders>
              <w:top w:val="nil"/>
              <w:left w:val="nil"/>
              <w:bottom w:val="nil"/>
              <w:right w:val="nil"/>
            </w:tcBorders>
            <w:shd w:val="clear" w:color="auto" w:fill="auto"/>
            <w:noWrap/>
            <w:vAlign w:val="bottom"/>
            <w:hideMark/>
          </w:tcPr>
          <w:p w14:paraId="142D59C8"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(204.335.413)</w:t>
            </w:r>
          </w:p>
        </w:tc>
        <w:tc>
          <w:tcPr>
            <w:tcW w:w="230" w:type="pct"/>
            <w:tcBorders>
              <w:top w:val="nil"/>
              <w:left w:val="nil"/>
              <w:bottom w:val="nil"/>
              <w:right w:val="nil"/>
            </w:tcBorders>
            <w:shd w:val="clear" w:color="auto" w:fill="auto"/>
            <w:noWrap/>
            <w:vAlign w:val="center"/>
            <w:hideMark/>
          </w:tcPr>
          <w:p w14:paraId="2ADA1896" w14:textId="77777777" w:rsidR="00AF45DE" w:rsidRPr="00AF45DE" w:rsidRDefault="00AF45DE" w:rsidP="00AF45DE">
            <w:pPr>
              <w:jc w:val="right"/>
              <w:rPr>
                <w:rFonts w:asciiTheme="majorHAnsi" w:hAnsiTheme="majorHAnsi" w:cstheme="majorHAnsi"/>
                <w:b/>
                <w:bCs/>
                <w:sz w:val="16"/>
                <w:szCs w:val="16"/>
              </w:rPr>
            </w:pPr>
          </w:p>
        </w:tc>
      </w:tr>
      <w:tr w:rsidR="00AF45DE" w:rsidRPr="00AF45DE" w14:paraId="1E812188" w14:textId="77777777" w:rsidTr="00985E67">
        <w:trPr>
          <w:trHeight w:hRule="exact" w:val="227"/>
        </w:trPr>
        <w:tc>
          <w:tcPr>
            <w:tcW w:w="2008" w:type="pct"/>
            <w:tcBorders>
              <w:top w:val="nil"/>
              <w:left w:val="nil"/>
              <w:bottom w:val="nil"/>
              <w:right w:val="nil"/>
            </w:tcBorders>
            <w:shd w:val="clear" w:color="auto" w:fill="auto"/>
            <w:noWrap/>
            <w:vAlign w:val="bottom"/>
            <w:hideMark/>
          </w:tcPr>
          <w:p w14:paraId="444B0259" w14:textId="77777777" w:rsidR="00AF45DE" w:rsidRPr="00AF45DE" w:rsidRDefault="00AF45DE">
            <w:pPr>
              <w:jc w:val="center"/>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0CA5E0BC"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52AB3BF3"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0E27C733" w14:textId="77777777" w:rsidR="00AF45DE" w:rsidRPr="00AF45DE" w:rsidRDefault="00AF45DE" w:rsidP="00AF45DE">
            <w:pPr>
              <w:jc w:val="right"/>
              <w:rPr>
                <w:rFonts w:asciiTheme="majorHAnsi" w:hAnsiTheme="majorHAnsi" w:cstheme="majorHAnsi"/>
                <w:sz w:val="16"/>
                <w:szCs w:val="16"/>
              </w:rPr>
            </w:pPr>
          </w:p>
        </w:tc>
        <w:tc>
          <w:tcPr>
            <w:tcW w:w="720" w:type="pct"/>
            <w:tcBorders>
              <w:top w:val="nil"/>
              <w:left w:val="nil"/>
              <w:bottom w:val="nil"/>
              <w:right w:val="nil"/>
            </w:tcBorders>
            <w:shd w:val="clear" w:color="auto" w:fill="auto"/>
            <w:noWrap/>
            <w:vAlign w:val="bottom"/>
            <w:hideMark/>
          </w:tcPr>
          <w:p w14:paraId="2711B4EA" w14:textId="77777777" w:rsidR="00AF45DE" w:rsidRPr="00AF45DE" w:rsidRDefault="00AF45DE" w:rsidP="00AF45DE">
            <w:pPr>
              <w:jc w:val="right"/>
              <w:rPr>
                <w:rFonts w:asciiTheme="majorHAnsi" w:hAnsiTheme="majorHAnsi" w:cstheme="majorHAnsi"/>
                <w:sz w:val="16"/>
                <w:szCs w:val="16"/>
              </w:rPr>
            </w:pPr>
          </w:p>
        </w:tc>
        <w:tc>
          <w:tcPr>
            <w:tcW w:w="230" w:type="pct"/>
            <w:tcBorders>
              <w:top w:val="nil"/>
              <w:left w:val="nil"/>
              <w:bottom w:val="nil"/>
              <w:right w:val="nil"/>
            </w:tcBorders>
            <w:shd w:val="clear" w:color="auto" w:fill="auto"/>
            <w:noWrap/>
            <w:vAlign w:val="center"/>
            <w:hideMark/>
          </w:tcPr>
          <w:p w14:paraId="6D563020" w14:textId="77777777" w:rsidR="00AF45DE" w:rsidRPr="00AF45DE" w:rsidRDefault="00AF45DE" w:rsidP="00AF45DE">
            <w:pPr>
              <w:jc w:val="right"/>
              <w:rPr>
                <w:rFonts w:asciiTheme="majorHAnsi" w:hAnsiTheme="majorHAnsi" w:cstheme="majorHAnsi"/>
                <w:sz w:val="16"/>
                <w:szCs w:val="16"/>
              </w:rPr>
            </w:pPr>
          </w:p>
        </w:tc>
      </w:tr>
      <w:tr w:rsidR="00AF45DE" w:rsidRPr="00AF45DE" w14:paraId="2F8269CA" w14:textId="77777777" w:rsidTr="00985E67">
        <w:trPr>
          <w:trHeight w:hRule="exact" w:val="227"/>
        </w:trPr>
        <w:tc>
          <w:tcPr>
            <w:tcW w:w="2008" w:type="pct"/>
            <w:tcBorders>
              <w:top w:val="nil"/>
              <w:left w:val="nil"/>
              <w:bottom w:val="nil"/>
              <w:right w:val="nil"/>
            </w:tcBorders>
            <w:shd w:val="clear" w:color="auto" w:fill="auto"/>
            <w:noWrap/>
            <w:vAlign w:val="center"/>
            <w:hideMark/>
          </w:tcPr>
          <w:p w14:paraId="5AF01314"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SUBVENÇÕES DO TESOURO NACIONAL</w:t>
            </w:r>
          </w:p>
        </w:tc>
        <w:tc>
          <w:tcPr>
            <w:tcW w:w="681" w:type="pct"/>
            <w:tcBorders>
              <w:top w:val="nil"/>
              <w:left w:val="nil"/>
              <w:bottom w:val="nil"/>
              <w:right w:val="nil"/>
            </w:tcBorders>
            <w:shd w:val="clear" w:color="auto" w:fill="auto"/>
            <w:noWrap/>
            <w:vAlign w:val="bottom"/>
            <w:hideMark/>
          </w:tcPr>
          <w:p w14:paraId="4718DAB4"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34.423.554 </w:t>
            </w:r>
          </w:p>
        </w:tc>
        <w:tc>
          <w:tcPr>
            <w:tcW w:w="681" w:type="pct"/>
            <w:tcBorders>
              <w:top w:val="nil"/>
              <w:left w:val="nil"/>
              <w:bottom w:val="nil"/>
              <w:right w:val="nil"/>
            </w:tcBorders>
            <w:shd w:val="clear" w:color="auto" w:fill="auto"/>
            <w:noWrap/>
            <w:vAlign w:val="bottom"/>
            <w:hideMark/>
          </w:tcPr>
          <w:p w14:paraId="1F8B0F92"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109.418.760 </w:t>
            </w:r>
          </w:p>
        </w:tc>
        <w:tc>
          <w:tcPr>
            <w:tcW w:w="681" w:type="pct"/>
            <w:tcBorders>
              <w:top w:val="nil"/>
              <w:left w:val="nil"/>
              <w:bottom w:val="nil"/>
              <w:right w:val="nil"/>
            </w:tcBorders>
            <w:shd w:val="clear" w:color="auto" w:fill="auto"/>
            <w:noWrap/>
            <w:vAlign w:val="bottom"/>
            <w:hideMark/>
          </w:tcPr>
          <w:p w14:paraId="34E12842"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26.559.965 </w:t>
            </w:r>
          </w:p>
        </w:tc>
        <w:tc>
          <w:tcPr>
            <w:tcW w:w="720" w:type="pct"/>
            <w:tcBorders>
              <w:top w:val="nil"/>
              <w:left w:val="nil"/>
              <w:bottom w:val="nil"/>
              <w:right w:val="nil"/>
            </w:tcBorders>
            <w:shd w:val="clear" w:color="auto" w:fill="auto"/>
            <w:noWrap/>
            <w:vAlign w:val="bottom"/>
            <w:hideMark/>
          </w:tcPr>
          <w:p w14:paraId="3CD24C1C"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102.401.154 </w:t>
            </w:r>
          </w:p>
        </w:tc>
        <w:tc>
          <w:tcPr>
            <w:tcW w:w="230" w:type="pct"/>
            <w:tcBorders>
              <w:top w:val="nil"/>
              <w:left w:val="nil"/>
              <w:bottom w:val="nil"/>
              <w:right w:val="nil"/>
            </w:tcBorders>
            <w:shd w:val="clear" w:color="auto" w:fill="auto"/>
            <w:noWrap/>
            <w:vAlign w:val="center"/>
            <w:hideMark/>
          </w:tcPr>
          <w:p w14:paraId="6ABEA9BB"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(22)</w:t>
            </w:r>
          </w:p>
        </w:tc>
      </w:tr>
      <w:tr w:rsidR="00AF45DE" w:rsidRPr="00AF45DE" w14:paraId="64189BA9" w14:textId="77777777" w:rsidTr="00985E67">
        <w:trPr>
          <w:trHeight w:hRule="exact" w:val="227"/>
        </w:trPr>
        <w:tc>
          <w:tcPr>
            <w:tcW w:w="2008" w:type="pct"/>
            <w:tcBorders>
              <w:top w:val="nil"/>
              <w:left w:val="nil"/>
              <w:bottom w:val="nil"/>
              <w:right w:val="nil"/>
            </w:tcBorders>
            <w:shd w:val="clear" w:color="auto" w:fill="auto"/>
            <w:noWrap/>
            <w:vAlign w:val="bottom"/>
            <w:hideMark/>
          </w:tcPr>
          <w:p w14:paraId="392131B7"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Repasse de Custeio/Pessoal</w:t>
            </w:r>
          </w:p>
        </w:tc>
        <w:tc>
          <w:tcPr>
            <w:tcW w:w="681" w:type="pct"/>
            <w:tcBorders>
              <w:top w:val="nil"/>
              <w:left w:val="nil"/>
              <w:bottom w:val="nil"/>
              <w:right w:val="nil"/>
            </w:tcBorders>
            <w:shd w:val="clear" w:color="auto" w:fill="auto"/>
            <w:noWrap/>
            <w:vAlign w:val="bottom"/>
            <w:hideMark/>
          </w:tcPr>
          <w:p w14:paraId="497D1052"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34.423.554 </w:t>
            </w:r>
          </w:p>
        </w:tc>
        <w:tc>
          <w:tcPr>
            <w:tcW w:w="681" w:type="pct"/>
            <w:tcBorders>
              <w:top w:val="nil"/>
              <w:left w:val="nil"/>
              <w:bottom w:val="nil"/>
              <w:right w:val="nil"/>
            </w:tcBorders>
            <w:shd w:val="clear" w:color="auto" w:fill="auto"/>
            <w:vAlign w:val="bottom"/>
            <w:hideMark/>
          </w:tcPr>
          <w:p w14:paraId="5DE807A2"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109.418.760 </w:t>
            </w:r>
          </w:p>
        </w:tc>
        <w:tc>
          <w:tcPr>
            <w:tcW w:w="681" w:type="pct"/>
            <w:tcBorders>
              <w:top w:val="nil"/>
              <w:left w:val="nil"/>
              <w:bottom w:val="nil"/>
              <w:right w:val="nil"/>
            </w:tcBorders>
            <w:shd w:val="clear" w:color="auto" w:fill="auto"/>
            <w:vAlign w:val="bottom"/>
            <w:hideMark/>
          </w:tcPr>
          <w:p w14:paraId="2979B6A2"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26.559.965 </w:t>
            </w:r>
          </w:p>
        </w:tc>
        <w:tc>
          <w:tcPr>
            <w:tcW w:w="720" w:type="pct"/>
            <w:tcBorders>
              <w:top w:val="nil"/>
              <w:left w:val="nil"/>
              <w:bottom w:val="nil"/>
              <w:right w:val="nil"/>
            </w:tcBorders>
            <w:shd w:val="clear" w:color="auto" w:fill="auto"/>
            <w:vAlign w:val="bottom"/>
            <w:hideMark/>
          </w:tcPr>
          <w:p w14:paraId="3D602417"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102.401.154 </w:t>
            </w:r>
          </w:p>
        </w:tc>
        <w:tc>
          <w:tcPr>
            <w:tcW w:w="230" w:type="pct"/>
            <w:tcBorders>
              <w:top w:val="nil"/>
              <w:left w:val="nil"/>
              <w:bottom w:val="nil"/>
              <w:right w:val="nil"/>
            </w:tcBorders>
            <w:shd w:val="clear" w:color="auto" w:fill="auto"/>
            <w:noWrap/>
            <w:vAlign w:val="center"/>
            <w:hideMark/>
          </w:tcPr>
          <w:p w14:paraId="2C556BE3" w14:textId="77777777" w:rsidR="00AF45DE" w:rsidRPr="00AF45DE" w:rsidRDefault="00AF45DE" w:rsidP="00AF45DE">
            <w:pPr>
              <w:jc w:val="right"/>
              <w:rPr>
                <w:rFonts w:asciiTheme="majorHAnsi" w:hAnsiTheme="majorHAnsi" w:cstheme="majorHAnsi"/>
                <w:sz w:val="16"/>
                <w:szCs w:val="16"/>
              </w:rPr>
            </w:pPr>
          </w:p>
        </w:tc>
      </w:tr>
      <w:tr w:rsidR="00AF45DE" w:rsidRPr="00AF45DE" w14:paraId="30E47C55" w14:textId="77777777" w:rsidTr="00985E67">
        <w:trPr>
          <w:trHeight w:hRule="exact" w:val="227"/>
        </w:trPr>
        <w:tc>
          <w:tcPr>
            <w:tcW w:w="2008" w:type="pct"/>
            <w:tcBorders>
              <w:top w:val="nil"/>
              <w:left w:val="nil"/>
              <w:bottom w:val="nil"/>
              <w:right w:val="nil"/>
            </w:tcBorders>
            <w:shd w:val="clear" w:color="auto" w:fill="auto"/>
            <w:noWrap/>
            <w:vAlign w:val="bottom"/>
            <w:hideMark/>
          </w:tcPr>
          <w:p w14:paraId="1F188514" w14:textId="77777777" w:rsidR="00AF45DE" w:rsidRPr="00AF45DE" w:rsidRDefault="00AF45DE">
            <w:pPr>
              <w:jc w:val="center"/>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0AB60C36"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04FF3316"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4D5780B3" w14:textId="77777777" w:rsidR="00AF45DE" w:rsidRPr="00AF45DE" w:rsidRDefault="00AF45DE" w:rsidP="00AF45DE">
            <w:pPr>
              <w:jc w:val="right"/>
              <w:rPr>
                <w:rFonts w:asciiTheme="majorHAnsi" w:hAnsiTheme="majorHAnsi" w:cstheme="majorHAnsi"/>
                <w:sz w:val="16"/>
                <w:szCs w:val="16"/>
              </w:rPr>
            </w:pPr>
          </w:p>
        </w:tc>
        <w:tc>
          <w:tcPr>
            <w:tcW w:w="720" w:type="pct"/>
            <w:tcBorders>
              <w:top w:val="nil"/>
              <w:left w:val="nil"/>
              <w:bottom w:val="nil"/>
              <w:right w:val="nil"/>
            </w:tcBorders>
            <w:shd w:val="clear" w:color="auto" w:fill="auto"/>
            <w:noWrap/>
            <w:vAlign w:val="bottom"/>
            <w:hideMark/>
          </w:tcPr>
          <w:p w14:paraId="30F1253A" w14:textId="77777777" w:rsidR="00AF45DE" w:rsidRPr="00AF45DE" w:rsidRDefault="00AF45DE" w:rsidP="00AF45DE">
            <w:pPr>
              <w:jc w:val="right"/>
              <w:rPr>
                <w:rFonts w:asciiTheme="majorHAnsi" w:hAnsiTheme="majorHAnsi" w:cstheme="majorHAnsi"/>
                <w:sz w:val="16"/>
                <w:szCs w:val="16"/>
              </w:rPr>
            </w:pPr>
          </w:p>
        </w:tc>
        <w:tc>
          <w:tcPr>
            <w:tcW w:w="230" w:type="pct"/>
            <w:tcBorders>
              <w:top w:val="nil"/>
              <w:left w:val="nil"/>
              <w:bottom w:val="nil"/>
              <w:right w:val="nil"/>
            </w:tcBorders>
            <w:shd w:val="clear" w:color="auto" w:fill="auto"/>
            <w:noWrap/>
            <w:vAlign w:val="center"/>
            <w:hideMark/>
          </w:tcPr>
          <w:p w14:paraId="2E2DDF83" w14:textId="77777777" w:rsidR="00AF45DE" w:rsidRPr="00AF45DE" w:rsidRDefault="00AF45DE" w:rsidP="00AF45DE">
            <w:pPr>
              <w:jc w:val="right"/>
              <w:rPr>
                <w:rFonts w:asciiTheme="majorHAnsi" w:hAnsiTheme="majorHAnsi" w:cstheme="majorHAnsi"/>
                <w:sz w:val="16"/>
                <w:szCs w:val="16"/>
              </w:rPr>
            </w:pPr>
          </w:p>
        </w:tc>
      </w:tr>
      <w:tr w:rsidR="00AF45DE" w:rsidRPr="00AF45DE" w14:paraId="7EFB9494" w14:textId="77777777" w:rsidTr="00985E67">
        <w:trPr>
          <w:trHeight w:hRule="exact" w:val="227"/>
        </w:trPr>
        <w:tc>
          <w:tcPr>
            <w:tcW w:w="2008" w:type="pct"/>
            <w:tcBorders>
              <w:top w:val="nil"/>
              <w:left w:val="nil"/>
              <w:bottom w:val="nil"/>
              <w:right w:val="nil"/>
            </w:tcBorders>
            <w:shd w:val="clear" w:color="auto" w:fill="auto"/>
            <w:noWrap/>
            <w:vAlign w:val="bottom"/>
            <w:hideMark/>
          </w:tcPr>
          <w:p w14:paraId="48829741"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RESULTADO ANTES DOS TRIBUTOS S/LUCRO (IR/CSLL)</w:t>
            </w:r>
          </w:p>
        </w:tc>
        <w:tc>
          <w:tcPr>
            <w:tcW w:w="681" w:type="pct"/>
            <w:tcBorders>
              <w:top w:val="nil"/>
              <w:left w:val="nil"/>
              <w:bottom w:val="nil"/>
              <w:right w:val="nil"/>
            </w:tcBorders>
            <w:shd w:val="clear" w:color="auto" w:fill="auto"/>
            <w:noWrap/>
            <w:vAlign w:val="bottom"/>
            <w:hideMark/>
          </w:tcPr>
          <w:p w14:paraId="54F1724D"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(27.606.359)</w:t>
            </w:r>
          </w:p>
        </w:tc>
        <w:tc>
          <w:tcPr>
            <w:tcW w:w="681" w:type="pct"/>
            <w:tcBorders>
              <w:top w:val="nil"/>
              <w:left w:val="nil"/>
              <w:bottom w:val="nil"/>
              <w:right w:val="nil"/>
            </w:tcBorders>
            <w:shd w:val="clear" w:color="auto" w:fill="auto"/>
            <w:noWrap/>
            <w:vAlign w:val="bottom"/>
            <w:hideMark/>
          </w:tcPr>
          <w:p w14:paraId="4DBADE12"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5.224.693 </w:t>
            </w:r>
          </w:p>
        </w:tc>
        <w:tc>
          <w:tcPr>
            <w:tcW w:w="681" w:type="pct"/>
            <w:tcBorders>
              <w:top w:val="nil"/>
              <w:left w:val="nil"/>
              <w:bottom w:val="nil"/>
              <w:right w:val="nil"/>
            </w:tcBorders>
            <w:shd w:val="clear" w:color="auto" w:fill="auto"/>
            <w:noWrap/>
            <w:vAlign w:val="bottom"/>
            <w:hideMark/>
          </w:tcPr>
          <w:p w14:paraId="14E63A2C"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(42.837.727)</w:t>
            </w:r>
          </w:p>
        </w:tc>
        <w:tc>
          <w:tcPr>
            <w:tcW w:w="720" w:type="pct"/>
            <w:tcBorders>
              <w:top w:val="nil"/>
              <w:left w:val="nil"/>
              <w:bottom w:val="nil"/>
              <w:right w:val="nil"/>
            </w:tcBorders>
            <w:shd w:val="clear" w:color="auto" w:fill="auto"/>
            <w:noWrap/>
            <w:vAlign w:val="bottom"/>
            <w:hideMark/>
          </w:tcPr>
          <w:p w14:paraId="5F527775"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(101.934.258)</w:t>
            </w:r>
          </w:p>
        </w:tc>
        <w:tc>
          <w:tcPr>
            <w:tcW w:w="230" w:type="pct"/>
            <w:tcBorders>
              <w:top w:val="nil"/>
              <w:left w:val="nil"/>
              <w:bottom w:val="nil"/>
              <w:right w:val="nil"/>
            </w:tcBorders>
            <w:shd w:val="clear" w:color="auto" w:fill="auto"/>
            <w:noWrap/>
            <w:vAlign w:val="center"/>
            <w:hideMark/>
          </w:tcPr>
          <w:p w14:paraId="79BDBCA9" w14:textId="77777777" w:rsidR="00AF45DE" w:rsidRPr="00AF45DE" w:rsidRDefault="00AF45DE" w:rsidP="00AF45DE">
            <w:pPr>
              <w:jc w:val="right"/>
              <w:rPr>
                <w:rFonts w:asciiTheme="majorHAnsi" w:hAnsiTheme="majorHAnsi" w:cstheme="majorHAnsi"/>
                <w:b/>
                <w:bCs/>
                <w:sz w:val="16"/>
                <w:szCs w:val="16"/>
              </w:rPr>
            </w:pPr>
          </w:p>
        </w:tc>
      </w:tr>
      <w:tr w:rsidR="00985E67" w:rsidRPr="00AF45DE" w14:paraId="66BA733D" w14:textId="77777777" w:rsidTr="00985E67">
        <w:trPr>
          <w:trHeight w:hRule="exact" w:val="227"/>
        </w:trPr>
        <w:tc>
          <w:tcPr>
            <w:tcW w:w="2008" w:type="pct"/>
            <w:tcBorders>
              <w:top w:val="nil"/>
              <w:left w:val="nil"/>
              <w:bottom w:val="nil"/>
              <w:right w:val="nil"/>
            </w:tcBorders>
            <w:shd w:val="clear" w:color="auto" w:fill="auto"/>
            <w:noWrap/>
            <w:vAlign w:val="bottom"/>
            <w:hideMark/>
          </w:tcPr>
          <w:p w14:paraId="147FF545" w14:textId="77777777" w:rsidR="00985E67" w:rsidRPr="00AF45DE" w:rsidRDefault="00985E67" w:rsidP="00985E67">
            <w:pPr>
              <w:outlineLvl w:val="0"/>
              <w:rPr>
                <w:rFonts w:asciiTheme="majorHAnsi" w:hAnsiTheme="majorHAnsi" w:cstheme="majorHAnsi"/>
                <w:sz w:val="16"/>
                <w:szCs w:val="16"/>
              </w:rPr>
            </w:pPr>
            <w:r w:rsidRPr="00AF45DE">
              <w:rPr>
                <w:rFonts w:asciiTheme="majorHAnsi" w:hAnsiTheme="majorHAnsi" w:cstheme="majorHAnsi"/>
                <w:sz w:val="16"/>
                <w:szCs w:val="16"/>
              </w:rPr>
              <w:t xml:space="preserve">        Imposto de Renda</w:t>
            </w:r>
          </w:p>
        </w:tc>
        <w:tc>
          <w:tcPr>
            <w:tcW w:w="681" w:type="pct"/>
            <w:tcBorders>
              <w:top w:val="nil"/>
              <w:left w:val="nil"/>
              <w:bottom w:val="nil"/>
              <w:right w:val="nil"/>
            </w:tcBorders>
            <w:shd w:val="clear" w:color="auto" w:fill="auto"/>
            <w:noWrap/>
            <w:vAlign w:val="bottom"/>
            <w:hideMark/>
          </w:tcPr>
          <w:p w14:paraId="0BF10327" w14:textId="32AFBCA4" w:rsidR="00985E67" w:rsidRPr="00AF45DE" w:rsidRDefault="00985E67" w:rsidP="00985E67">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(169.037)</w:t>
            </w:r>
          </w:p>
        </w:tc>
        <w:tc>
          <w:tcPr>
            <w:tcW w:w="681" w:type="pct"/>
            <w:tcBorders>
              <w:top w:val="nil"/>
              <w:left w:val="nil"/>
              <w:bottom w:val="nil"/>
              <w:right w:val="nil"/>
            </w:tcBorders>
            <w:shd w:val="clear" w:color="auto" w:fill="auto"/>
            <w:noWrap/>
            <w:vAlign w:val="bottom"/>
            <w:hideMark/>
          </w:tcPr>
          <w:p w14:paraId="3812B3A7" w14:textId="77777777" w:rsidR="00985E67" w:rsidRPr="00AF45DE" w:rsidRDefault="00985E67" w:rsidP="00985E67">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(169.037)</w:t>
            </w:r>
          </w:p>
        </w:tc>
        <w:tc>
          <w:tcPr>
            <w:tcW w:w="681" w:type="pct"/>
            <w:tcBorders>
              <w:top w:val="nil"/>
              <w:left w:val="nil"/>
              <w:bottom w:val="nil"/>
              <w:right w:val="nil"/>
            </w:tcBorders>
            <w:shd w:val="clear" w:color="auto" w:fill="auto"/>
            <w:noWrap/>
            <w:vAlign w:val="bottom"/>
            <w:hideMark/>
          </w:tcPr>
          <w:p w14:paraId="4082E842" w14:textId="54DA4554" w:rsidR="00985E67" w:rsidRPr="00AF45DE" w:rsidRDefault="00985E67" w:rsidP="00985E67">
            <w:pPr>
              <w:jc w:val="right"/>
              <w:outlineLvl w:val="0"/>
              <w:rPr>
                <w:rFonts w:asciiTheme="majorHAnsi" w:hAnsiTheme="majorHAnsi" w:cstheme="majorHAnsi"/>
                <w:sz w:val="16"/>
                <w:szCs w:val="16"/>
              </w:rPr>
            </w:pPr>
            <w:r>
              <w:rPr>
                <w:rFonts w:asciiTheme="majorHAnsi" w:hAnsiTheme="majorHAnsi" w:cstheme="majorHAnsi"/>
                <w:sz w:val="16"/>
                <w:szCs w:val="16"/>
              </w:rPr>
              <w:t>-</w:t>
            </w:r>
          </w:p>
        </w:tc>
        <w:tc>
          <w:tcPr>
            <w:tcW w:w="720" w:type="pct"/>
            <w:tcBorders>
              <w:top w:val="nil"/>
              <w:left w:val="nil"/>
              <w:bottom w:val="nil"/>
              <w:right w:val="nil"/>
            </w:tcBorders>
            <w:shd w:val="clear" w:color="auto" w:fill="auto"/>
            <w:noWrap/>
            <w:vAlign w:val="bottom"/>
            <w:hideMark/>
          </w:tcPr>
          <w:p w14:paraId="7914F69A" w14:textId="79E1AADF" w:rsidR="00985E67" w:rsidRPr="00AF45DE" w:rsidRDefault="00985E67" w:rsidP="00985E67">
            <w:pPr>
              <w:jc w:val="right"/>
              <w:outlineLvl w:val="0"/>
              <w:rPr>
                <w:rFonts w:asciiTheme="majorHAnsi" w:hAnsiTheme="majorHAnsi" w:cstheme="majorHAnsi"/>
                <w:sz w:val="16"/>
                <w:szCs w:val="16"/>
              </w:rPr>
            </w:pPr>
            <w:r>
              <w:rPr>
                <w:rFonts w:asciiTheme="majorHAnsi" w:hAnsiTheme="majorHAnsi" w:cstheme="majorHAnsi"/>
                <w:sz w:val="16"/>
                <w:szCs w:val="16"/>
              </w:rPr>
              <w:t>-</w:t>
            </w:r>
          </w:p>
        </w:tc>
        <w:tc>
          <w:tcPr>
            <w:tcW w:w="230" w:type="pct"/>
            <w:tcBorders>
              <w:top w:val="nil"/>
              <w:left w:val="nil"/>
              <w:bottom w:val="nil"/>
              <w:right w:val="nil"/>
            </w:tcBorders>
            <w:shd w:val="clear" w:color="auto" w:fill="auto"/>
            <w:noWrap/>
            <w:vAlign w:val="center"/>
            <w:hideMark/>
          </w:tcPr>
          <w:p w14:paraId="34456EDA" w14:textId="7CE62DC6" w:rsidR="00985E67" w:rsidRPr="00AF45DE" w:rsidRDefault="007E49DD" w:rsidP="00985E67">
            <w:pPr>
              <w:jc w:val="right"/>
              <w:outlineLvl w:val="0"/>
              <w:rPr>
                <w:rFonts w:asciiTheme="majorHAnsi" w:hAnsiTheme="majorHAnsi" w:cstheme="majorHAnsi"/>
                <w:sz w:val="16"/>
                <w:szCs w:val="16"/>
              </w:rPr>
            </w:pPr>
            <w:r>
              <w:rPr>
                <w:rFonts w:asciiTheme="majorHAnsi" w:hAnsiTheme="majorHAnsi" w:cstheme="majorHAnsi"/>
                <w:sz w:val="16"/>
                <w:szCs w:val="16"/>
              </w:rPr>
              <w:t>(23)</w:t>
            </w:r>
          </w:p>
        </w:tc>
      </w:tr>
      <w:tr w:rsidR="00985E67" w:rsidRPr="00AF45DE" w14:paraId="4A55CC24" w14:textId="77777777" w:rsidTr="00985E67">
        <w:trPr>
          <w:trHeight w:hRule="exact" w:val="227"/>
        </w:trPr>
        <w:tc>
          <w:tcPr>
            <w:tcW w:w="2008" w:type="pct"/>
            <w:tcBorders>
              <w:top w:val="nil"/>
              <w:left w:val="nil"/>
              <w:bottom w:val="nil"/>
              <w:right w:val="nil"/>
            </w:tcBorders>
            <w:shd w:val="clear" w:color="auto" w:fill="auto"/>
            <w:noWrap/>
            <w:vAlign w:val="bottom"/>
            <w:hideMark/>
          </w:tcPr>
          <w:p w14:paraId="19E3E765" w14:textId="77777777" w:rsidR="00985E67" w:rsidRPr="00AF45DE" w:rsidRDefault="00985E67" w:rsidP="00985E67">
            <w:pPr>
              <w:outlineLvl w:val="0"/>
              <w:rPr>
                <w:rFonts w:asciiTheme="majorHAnsi" w:hAnsiTheme="majorHAnsi" w:cstheme="majorHAnsi"/>
                <w:sz w:val="16"/>
                <w:szCs w:val="16"/>
              </w:rPr>
            </w:pPr>
            <w:r w:rsidRPr="00AF45DE">
              <w:rPr>
                <w:rFonts w:asciiTheme="majorHAnsi" w:hAnsiTheme="majorHAnsi" w:cstheme="majorHAnsi"/>
                <w:sz w:val="16"/>
                <w:szCs w:val="16"/>
              </w:rPr>
              <w:t xml:space="preserve">        Contribuição Social sobre o Lucro Líquido</w:t>
            </w:r>
          </w:p>
        </w:tc>
        <w:tc>
          <w:tcPr>
            <w:tcW w:w="681" w:type="pct"/>
            <w:tcBorders>
              <w:top w:val="nil"/>
              <w:left w:val="nil"/>
              <w:bottom w:val="nil"/>
              <w:right w:val="nil"/>
            </w:tcBorders>
            <w:shd w:val="clear" w:color="auto" w:fill="auto"/>
            <w:noWrap/>
            <w:vAlign w:val="bottom"/>
            <w:hideMark/>
          </w:tcPr>
          <w:p w14:paraId="5730C74F" w14:textId="510C592D" w:rsidR="00985E67" w:rsidRPr="00AF45DE" w:rsidRDefault="00985E67" w:rsidP="00985E67">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(65.563)</w:t>
            </w:r>
          </w:p>
        </w:tc>
        <w:tc>
          <w:tcPr>
            <w:tcW w:w="681" w:type="pct"/>
            <w:tcBorders>
              <w:top w:val="nil"/>
              <w:left w:val="nil"/>
              <w:bottom w:val="nil"/>
              <w:right w:val="nil"/>
            </w:tcBorders>
            <w:shd w:val="clear" w:color="auto" w:fill="auto"/>
            <w:noWrap/>
            <w:vAlign w:val="bottom"/>
            <w:hideMark/>
          </w:tcPr>
          <w:p w14:paraId="055B15B1" w14:textId="77777777" w:rsidR="00985E67" w:rsidRPr="00AF45DE" w:rsidRDefault="00985E67" w:rsidP="00985E67">
            <w:pPr>
              <w:jc w:val="right"/>
              <w:outlineLvl w:val="0"/>
              <w:rPr>
                <w:rFonts w:asciiTheme="majorHAnsi" w:hAnsiTheme="majorHAnsi" w:cstheme="majorHAnsi"/>
                <w:sz w:val="16"/>
                <w:szCs w:val="16"/>
              </w:rPr>
            </w:pPr>
            <w:r w:rsidRPr="00AF45DE">
              <w:rPr>
                <w:rFonts w:asciiTheme="majorHAnsi" w:hAnsiTheme="majorHAnsi" w:cstheme="majorHAnsi"/>
                <w:sz w:val="16"/>
                <w:szCs w:val="16"/>
              </w:rPr>
              <w:t xml:space="preserve">                    (65.563)</w:t>
            </w:r>
          </w:p>
        </w:tc>
        <w:tc>
          <w:tcPr>
            <w:tcW w:w="681" w:type="pct"/>
            <w:tcBorders>
              <w:top w:val="nil"/>
              <w:left w:val="nil"/>
              <w:bottom w:val="nil"/>
              <w:right w:val="nil"/>
            </w:tcBorders>
            <w:shd w:val="clear" w:color="auto" w:fill="auto"/>
            <w:noWrap/>
            <w:vAlign w:val="bottom"/>
            <w:hideMark/>
          </w:tcPr>
          <w:p w14:paraId="125BE1AC" w14:textId="54A28553" w:rsidR="00985E67" w:rsidRPr="00AF45DE" w:rsidRDefault="00985E67" w:rsidP="00985E67">
            <w:pPr>
              <w:jc w:val="right"/>
              <w:outlineLvl w:val="0"/>
              <w:rPr>
                <w:rFonts w:asciiTheme="majorHAnsi" w:hAnsiTheme="majorHAnsi" w:cstheme="majorHAnsi"/>
                <w:sz w:val="16"/>
                <w:szCs w:val="16"/>
              </w:rPr>
            </w:pPr>
            <w:r>
              <w:rPr>
                <w:rFonts w:asciiTheme="majorHAnsi" w:hAnsiTheme="majorHAnsi" w:cstheme="majorHAnsi"/>
                <w:sz w:val="16"/>
                <w:szCs w:val="16"/>
              </w:rPr>
              <w:t>-</w:t>
            </w:r>
          </w:p>
        </w:tc>
        <w:tc>
          <w:tcPr>
            <w:tcW w:w="720" w:type="pct"/>
            <w:tcBorders>
              <w:top w:val="nil"/>
              <w:left w:val="nil"/>
              <w:bottom w:val="nil"/>
              <w:right w:val="nil"/>
            </w:tcBorders>
            <w:shd w:val="clear" w:color="auto" w:fill="auto"/>
            <w:noWrap/>
            <w:vAlign w:val="bottom"/>
            <w:hideMark/>
          </w:tcPr>
          <w:p w14:paraId="69ED4A11" w14:textId="61653887" w:rsidR="00985E67" w:rsidRPr="00AF45DE" w:rsidRDefault="00985E67" w:rsidP="00985E67">
            <w:pPr>
              <w:jc w:val="right"/>
              <w:outlineLvl w:val="0"/>
              <w:rPr>
                <w:rFonts w:asciiTheme="majorHAnsi" w:hAnsiTheme="majorHAnsi" w:cstheme="majorHAnsi"/>
                <w:sz w:val="16"/>
                <w:szCs w:val="16"/>
              </w:rPr>
            </w:pPr>
            <w:r>
              <w:rPr>
                <w:rFonts w:asciiTheme="majorHAnsi" w:hAnsiTheme="majorHAnsi" w:cstheme="majorHAnsi"/>
                <w:sz w:val="16"/>
                <w:szCs w:val="16"/>
              </w:rPr>
              <w:t>-</w:t>
            </w:r>
          </w:p>
        </w:tc>
        <w:tc>
          <w:tcPr>
            <w:tcW w:w="230" w:type="pct"/>
            <w:tcBorders>
              <w:top w:val="nil"/>
              <w:left w:val="nil"/>
              <w:bottom w:val="nil"/>
              <w:right w:val="nil"/>
            </w:tcBorders>
            <w:shd w:val="clear" w:color="auto" w:fill="auto"/>
            <w:noWrap/>
            <w:vAlign w:val="center"/>
            <w:hideMark/>
          </w:tcPr>
          <w:p w14:paraId="4F3F4C0F" w14:textId="615455D5" w:rsidR="00985E67" w:rsidRPr="00AF45DE" w:rsidRDefault="007E49DD" w:rsidP="00985E67">
            <w:pPr>
              <w:jc w:val="right"/>
              <w:outlineLvl w:val="0"/>
              <w:rPr>
                <w:rFonts w:asciiTheme="majorHAnsi" w:hAnsiTheme="majorHAnsi" w:cstheme="majorHAnsi"/>
                <w:sz w:val="16"/>
                <w:szCs w:val="16"/>
              </w:rPr>
            </w:pPr>
            <w:r>
              <w:rPr>
                <w:rFonts w:asciiTheme="majorHAnsi" w:hAnsiTheme="majorHAnsi" w:cstheme="majorHAnsi"/>
                <w:sz w:val="16"/>
                <w:szCs w:val="16"/>
              </w:rPr>
              <w:t>(23)</w:t>
            </w:r>
          </w:p>
        </w:tc>
      </w:tr>
      <w:tr w:rsidR="00AF45DE" w:rsidRPr="00AF45DE" w14:paraId="5299C7E4" w14:textId="77777777" w:rsidTr="00985E67">
        <w:trPr>
          <w:trHeight w:hRule="exact" w:val="227"/>
        </w:trPr>
        <w:tc>
          <w:tcPr>
            <w:tcW w:w="2008" w:type="pct"/>
            <w:tcBorders>
              <w:top w:val="nil"/>
              <w:left w:val="nil"/>
              <w:bottom w:val="nil"/>
              <w:right w:val="nil"/>
            </w:tcBorders>
            <w:shd w:val="clear" w:color="auto" w:fill="auto"/>
            <w:noWrap/>
            <w:vAlign w:val="bottom"/>
            <w:hideMark/>
          </w:tcPr>
          <w:p w14:paraId="5885621C" w14:textId="77777777" w:rsidR="00AF45DE" w:rsidRPr="00AF45DE" w:rsidRDefault="00AF45DE">
            <w:pPr>
              <w:jc w:val="center"/>
              <w:outlineLvl w:val="0"/>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1011AEA2"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116523E4" w14:textId="77777777" w:rsidR="00AF45DE" w:rsidRPr="00AF45DE" w:rsidRDefault="00AF45DE" w:rsidP="00AF45DE">
            <w:pPr>
              <w:jc w:val="right"/>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701EADA7" w14:textId="77777777" w:rsidR="00AF45DE" w:rsidRPr="00AF45DE" w:rsidRDefault="00AF45DE" w:rsidP="00AF45DE">
            <w:pPr>
              <w:jc w:val="right"/>
              <w:rPr>
                <w:rFonts w:asciiTheme="majorHAnsi" w:hAnsiTheme="majorHAnsi" w:cstheme="majorHAnsi"/>
                <w:sz w:val="16"/>
                <w:szCs w:val="16"/>
              </w:rPr>
            </w:pPr>
          </w:p>
        </w:tc>
        <w:tc>
          <w:tcPr>
            <w:tcW w:w="720" w:type="pct"/>
            <w:tcBorders>
              <w:top w:val="nil"/>
              <w:left w:val="nil"/>
              <w:bottom w:val="nil"/>
              <w:right w:val="nil"/>
            </w:tcBorders>
            <w:shd w:val="clear" w:color="auto" w:fill="auto"/>
            <w:noWrap/>
            <w:vAlign w:val="bottom"/>
            <w:hideMark/>
          </w:tcPr>
          <w:p w14:paraId="63F8D8FA" w14:textId="77777777" w:rsidR="00AF45DE" w:rsidRPr="00AF45DE" w:rsidRDefault="00AF45DE" w:rsidP="00AF45DE">
            <w:pPr>
              <w:jc w:val="right"/>
              <w:rPr>
                <w:rFonts w:asciiTheme="majorHAnsi" w:hAnsiTheme="majorHAnsi" w:cstheme="majorHAnsi"/>
                <w:sz w:val="16"/>
                <w:szCs w:val="16"/>
              </w:rPr>
            </w:pPr>
          </w:p>
        </w:tc>
        <w:tc>
          <w:tcPr>
            <w:tcW w:w="230" w:type="pct"/>
            <w:tcBorders>
              <w:top w:val="nil"/>
              <w:left w:val="nil"/>
              <w:bottom w:val="nil"/>
              <w:right w:val="nil"/>
            </w:tcBorders>
            <w:shd w:val="clear" w:color="auto" w:fill="auto"/>
            <w:noWrap/>
            <w:vAlign w:val="center"/>
            <w:hideMark/>
          </w:tcPr>
          <w:p w14:paraId="5CA8CBA8" w14:textId="77777777" w:rsidR="00AF45DE" w:rsidRPr="00AF45DE" w:rsidRDefault="00AF45DE" w:rsidP="00AF45DE">
            <w:pPr>
              <w:jc w:val="right"/>
              <w:rPr>
                <w:rFonts w:asciiTheme="majorHAnsi" w:hAnsiTheme="majorHAnsi" w:cstheme="majorHAnsi"/>
                <w:sz w:val="16"/>
                <w:szCs w:val="16"/>
              </w:rPr>
            </w:pPr>
          </w:p>
        </w:tc>
      </w:tr>
      <w:tr w:rsidR="00AF45DE" w:rsidRPr="00AF45DE" w14:paraId="02514A69" w14:textId="77777777" w:rsidTr="00985E67">
        <w:trPr>
          <w:trHeight w:hRule="exact" w:val="227"/>
        </w:trPr>
        <w:tc>
          <w:tcPr>
            <w:tcW w:w="2008" w:type="pct"/>
            <w:tcBorders>
              <w:top w:val="nil"/>
              <w:left w:val="nil"/>
              <w:bottom w:val="nil"/>
              <w:right w:val="nil"/>
            </w:tcBorders>
            <w:shd w:val="clear" w:color="auto" w:fill="auto"/>
            <w:noWrap/>
            <w:vAlign w:val="bottom"/>
            <w:hideMark/>
          </w:tcPr>
          <w:p w14:paraId="70966A30"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RESULTADO LÍQUIDO DO EXERCÍCIO</w:t>
            </w:r>
          </w:p>
        </w:tc>
        <w:tc>
          <w:tcPr>
            <w:tcW w:w="681" w:type="pct"/>
            <w:tcBorders>
              <w:top w:val="nil"/>
              <w:left w:val="nil"/>
              <w:bottom w:val="nil"/>
              <w:right w:val="nil"/>
            </w:tcBorders>
            <w:shd w:val="clear" w:color="auto" w:fill="auto"/>
            <w:noWrap/>
            <w:vAlign w:val="bottom"/>
            <w:hideMark/>
          </w:tcPr>
          <w:p w14:paraId="5574B703"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(27.840.960)</w:t>
            </w:r>
          </w:p>
        </w:tc>
        <w:tc>
          <w:tcPr>
            <w:tcW w:w="681" w:type="pct"/>
            <w:tcBorders>
              <w:top w:val="nil"/>
              <w:left w:val="nil"/>
              <w:bottom w:val="nil"/>
              <w:right w:val="nil"/>
            </w:tcBorders>
            <w:shd w:val="clear" w:color="auto" w:fill="auto"/>
            <w:noWrap/>
            <w:vAlign w:val="bottom"/>
            <w:hideMark/>
          </w:tcPr>
          <w:p w14:paraId="799DC66D"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4.990.093 </w:t>
            </w:r>
          </w:p>
        </w:tc>
        <w:tc>
          <w:tcPr>
            <w:tcW w:w="681" w:type="pct"/>
            <w:tcBorders>
              <w:top w:val="nil"/>
              <w:left w:val="nil"/>
              <w:bottom w:val="nil"/>
              <w:right w:val="nil"/>
            </w:tcBorders>
            <w:shd w:val="clear" w:color="auto" w:fill="auto"/>
            <w:noWrap/>
            <w:vAlign w:val="bottom"/>
            <w:hideMark/>
          </w:tcPr>
          <w:p w14:paraId="34D249B8"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(42.837.727)</w:t>
            </w:r>
          </w:p>
        </w:tc>
        <w:tc>
          <w:tcPr>
            <w:tcW w:w="720" w:type="pct"/>
            <w:tcBorders>
              <w:top w:val="nil"/>
              <w:left w:val="nil"/>
              <w:bottom w:val="nil"/>
              <w:right w:val="nil"/>
            </w:tcBorders>
            <w:shd w:val="clear" w:color="auto" w:fill="auto"/>
            <w:noWrap/>
            <w:vAlign w:val="bottom"/>
            <w:hideMark/>
          </w:tcPr>
          <w:p w14:paraId="0262F715"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(101.934.258)</w:t>
            </w:r>
          </w:p>
        </w:tc>
        <w:tc>
          <w:tcPr>
            <w:tcW w:w="230" w:type="pct"/>
            <w:tcBorders>
              <w:top w:val="nil"/>
              <w:left w:val="nil"/>
              <w:bottom w:val="nil"/>
              <w:right w:val="nil"/>
            </w:tcBorders>
            <w:shd w:val="clear" w:color="auto" w:fill="auto"/>
            <w:noWrap/>
            <w:vAlign w:val="center"/>
            <w:hideMark/>
          </w:tcPr>
          <w:p w14:paraId="29AD8EF0" w14:textId="3D822AFC"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(2</w:t>
            </w:r>
            <w:r w:rsidR="007E49DD">
              <w:rPr>
                <w:rFonts w:asciiTheme="majorHAnsi" w:hAnsiTheme="majorHAnsi" w:cstheme="majorHAnsi"/>
                <w:sz w:val="16"/>
                <w:szCs w:val="16"/>
              </w:rPr>
              <w:t>4</w:t>
            </w:r>
            <w:r w:rsidRPr="00AF45DE">
              <w:rPr>
                <w:rFonts w:asciiTheme="majorHAnsi" w:hAnsiTheme="majorHAnsi" w:cstheme="majorHAnsi"/>
                <w:sz w:val="16"/>
                <w:szCs w:val="16"/>
              </w:rPr>
              <w:t>)</w:t>
            </w:r>
          </w:p>
        </w:tc>
      </w:tr>
      <w:tr w:rsidR="00AF45DE" w:rsidRPr="00AF45DE" w14:paraId="0538BE10" w14:textId="77777777" w:rsidTr="00985E67">
        <w:trPr>
          <w:trHeight w:hRule="exact" w:val="227"/>
        </w:trPr>
        <w:tc>
          <w:tcPr>
            <w:tcW w:w="2008" w:type="pct"/>
            <w:tcBorders>
              <w:top w:val="nil"/>
              <w:left w:val="nil"/>
              <w:bottom w:val="nil"/>
              <w:right w:val="nil"/>
            </w:tcBorders>
            <w:shd w:val="clear" w:color="auto" w:fill="auto"/>
            <w:noWrap/>
            <w:vAlign w:val="bottom"/>
            <w:hideMark/>
          </w:tcPr>
          <w:p w14:paraId="03A051A0"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Lucro/Prejuízo por ação (em reais)</w:t>
            </w:r>
          </w:p>
        </w:tc>
        <w:tc>
          <w:tcPr>
            <w:tcW w:w="681" w:type="pct"/>
            <w:tcBorders>
              <w:top w:val="nil"/>
              <w:left w:val="nil"/>
              <w:bottom w:val="nil"/>
              <w:right w:val="nil"/>
            </w:tcBorders>
            <w:shd w:val="clear" w:color="auto" w:fill="auto"/>
            <w:noWrap/>
            <w:vAlign w:val="bottom"/>
            <w:hideMark/>
          </w:tcPr>
          <w:p w14:paraId="38681270"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(3,44)</w:t>
            </w:r>
          </w:p>
        </w:tc>
        <w:tc>
          <w:tcPr>
            <w:tcW w:w="681" w:type="pct"/>
            <w:tcBorders>
              <w:top w:val="nil"/>
              <w:left w:val="nil"/>
              <w:bottom w:val="nil"/>
              <w:right w:val="nil"/>
            </w:tcBorders>
            <w:shd w:val="clear" w:color="auto" w:fill="auto"/>
            <w:noWrap/>
            <w:vAlign w:val="bottom"/>
            <w:hideMark/>
          </w:tcPr>
          <w:p w14:paraId="0B981CB6"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0,62 </w:t>
            </w:r>
          </w:p>
        </w:tc>
        <w:tc>
          <w:tcPr>
            <w:tcW w:w="681" w:type="pct"/>
            <w:tcBorders>
              <w:top w:val="nil"/>
              <w:left w:val="nil"/>
              <w:bottom w:val="nil"/>
              <w:right w:val="nil"/>
            </w:tcBorders>
            <w:shd w:val="clear" w:color="auto" w:fill="auto"/>
            <w:noWrap/>
            <w:vAlign w:val="bottom"/>
            <w:hideMark/>
          </w:tcPr>
          <w:p w14:paraId="659227FD"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(5,30)</w:t>
            </w:r>
          </w:p>
        </w:tc>
        <w:tc>
          <w:tcPr>
            <w:tcW w:w="720" w:type="pct"/>
            <w:tcBorders>
              <w:top w:val="nil"/>
              <w:left w:val="nil"/>
              <w:bottom w:val="nil"/>
              <w:right w:val="nil"/>
            </w:tcBorders>
            <w:shd w:val="clear" w:color="auto" w:fill="auto"/>
            <w:noWrap/>
            <w:vAlign w:val="bottom"/>
            <w:hideMark/>
          </w:tcPr>
          <w:p w14:paraId="331505C1"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(12,60)</w:t>
            </w:r>
          </w:p>
        </w:tc>
        <w:tc>
          <w:tcPr>
            <w:tcW w:w="230" w:type="pct"/>
            <w:tcBorders>
              <w:top w:val="nil"/>
              <w:left w:val="nil"/>
              <w:bottom w:val="nil"/>
              <w:right w:val="nil"/>
            </w:tcBorders>
            <w:shd w:val="clear" w:color="auto" w:fill="auto"/>
            <w:noWrap/>
            <w:vAlign w:val="center"/>
            <w:hideMark/>
          </w:tcPr>
          <w:p w14:paraId="488A85B8" w14:textId="77777777" w:rsidR="00AF45DE" w:rsidRPr="00AF45DE" w:rsidRDefault="00AF45DE" w:rsidP="00AF45DE">
            <w:pPr>
              <w:jc w:val="right"/>
              <w:rPr>
                <w:rFonts w:asciiTheme="majorHAnsi" w:hAnsiTheme="majorHAnsi" w:cstheme="majorHAnsi"/>
                <w:b/>
                <w:bCs/>
                <w:sz w:val="16"/>
                <w:szCs w:val="16"/>
              </w:rPr>
            </w:pPr>
          </w:p>
        </w:tc>
      </w:tr>
      <w:tr w:rsidR="00AF45DE" w:rsidRPr="00AF45DE" w14:paraId="307D1D52" w14:textId="77777777" w:rsidTr="00985E67">
        <w:trPr>
          <w:trHeight w:hRule="exact" w:val="227"/>
        </w:trPr>
        <w:tc>
          <w:tcPr>
            <w:tcW w:w="2008" w:type="pct"/>
            <w:tcBorders>
              <w:top w:val="nil"/>
              <w:left w:val="nil"/>
              <w:bottom w:val="nil"/>
              <w:right w:val="nil"/>
            </w:tcBorders>
            <w:shd w:val="clear" w:color="auto" w:fill="auto"/>
            <w:noWrap/>
            <w:vAlign w:val="bottom"/>
            <w:hideMark/>
          </w:tcPr>
          <w:p w14:paraId="6CE01399" w14:textId="77777777" w:rsidR="00AF45DE" w:rsidRPr="00AF45DE" w:rsidRDefault="00AF45DE">
            <w:pPr>
              <w:jc w:val="center"/>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6B5CBFBA" w14:textId="77777777" w:rsidR="00AF45DE" w:rsidRPr="00AF45DE" w:rsidRDefault="00AF45DE">
            <w:pPr>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6034392E" w14:textId="77777777" w:rsidR="00AF45DE" w:rsidRPr="00AF45DE" w:rsidRDefault="00AF45DE">
            <w:pPr>
              <w:rPr>
                <w:rFonts w:asciiTheme="majorHAnsi" w:hAnsiTheme="majorHAnsi" w:cstheme="majorHAnsi"/>
                <w:sz w:val="16"/>
                <w:szCs w:val="16"/>
              </w:rPr>
            </w:pPr>
          </w:p>
        </w:tc>
        <w:tc>
          <w:tcPr>
            <w:tcW w:w="681" w:type="pct"/>
            <w:tcBorders>
              <w:top w:val="nil"/>
              <w:left w:val="nil"/>
              <w:bottom w:val="nil"/>
              <w:right w:val="nil"/>
            </w:tcBorders>
            <w:shd w:val="clear" w:color="auto" w:fill="auto"/>
            <w:noWrap/>
            <w:vAlign w:val="bottom"/>
            <w:hideMark/>
          </w:tcPr>
          <w:p w14:paraId="4E82883B" w14:textId="77777777" w:rsidR="00AF45DE" w:rsidRPr="00AF45DE" w:rsidRDefault="00AF45DE">
            <w:pPr>
              <w:rPr>
                <w:rFonts w:asciiTheme="majorHAnsi" w:hAnsiTheme="majorHAnsi" w:cstheme="majorHAnsi"/>
                <w:sz w:val="16"/>
                <w:szCs w:val="16"/>
              </w:rPr>
            </w:pPr>
          </w:p>
        </w:tc>
        <w:tc>
          <w:tcPr>
            <w:tcW w:w="720" w:type="pct"/>
            <w:tcBorders>
              <w:top w:val="nil"/>
              <w:left w:val="nil"/>
              <w:bottom w:val="nil"/>
              <w:right w:val="nil"/>
            </w:tcBorders>
            <w:shd w:val="clear" w:color="000000" w:fill="FFFFFF"/>
            <w:noWrap/>
            <w:vAlign w:val="bottom"/>
            <w:hideMark/>
          </w:tcPr>
          <w:p w14:paraId="00B11634" w14:textId="77777777" w:rsidR="00AF45DE" w:rsidRPr="00AF45DE" w:rsidRDefault="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w:t>
            </w:r>
          </w:p>
        </w:tc>
        <w:tc>
          <w:tcPr>
            <w:tcW w:w="230" w:type="pct"/>
            <w:tcBorders>
              <w:top w:val="nil"/>
              <w:left w:val="nil"/>
              <w:bottom w:val="nil"/>
              <w:right w:val="nil"/>
            </w:tcBorders>
            <w:shd w:val="clear" w:color="auto" w:fill="auto"/>
            <w:noWrap/>
            <w:vAlign w:val="center"/>
            <w:hideMark/>
          </w:tcPr>
          <w:p w14:paraId="24AD8968" w14:textId="77777777" w:rsidR="00AF45DE" w:rsidRPr="00AF45DE" w:rsidRDefault="00AF45DE">
            <w:pPr>
              <w:jc w:val="right"/>
              <w:rPr>
                <w:rFonts w:asciiTheme="majorHAnsi" w:hAnsiTheme="majorHAnsi" w:cstheme="majorHAnsi"/>
                <w:b/>
                <w:bCs/>
                <w:sz w:val="16"/>
                <w:szCs w:val="16"/>
              </w:rPr>
            </w:pPr>
          </w:p>
        </w:tc>
      </w:tr>
      <w:tr w:rsidR="00AF45DE" w:rsidRPr="00AF45DE" w14:paraId="3FCBD8DE" w14:textId="77777777" w:rsidTr="00AF45DE">
        <w:trPr>
          <w:trHeight w:hRule="exact" w:val="227"/>
        </w:trPr>
        <w:tc>
          <w:tcPr>
            <w:tcW w:w="5000" w:type="pct"/>
            <w:gridSpan w:val="6"/>
            <w:tcBorders>
              <w:top w:val="nil"/>
              <w:left w:val="nil"/>
              <w:bottom w:val="nil"/>
              <w:right w:val="nil"/>
            </w:tcBorders>
            <w:shd w:val="clear" w:color="auto" w:fill="auto"/>
            <w:noWrap/>
            <w:vAlign w:val="bottom"/>
            <w:hideMark/>
          </w:tcPr>
          <w:p w14:paraId="4ADA9D28" w14:textId="77777777" w:rsidR="00AF45DE" w:rsidRPr="00AF45DE" w:rsidRDefault="00AF45DE">
            <w:pPr>
              <w:jc w:val="center"/>
              <w:rPr>
                <w:rFonts w:asciiTheme="majorHAnsi" w:hAnsiTheme="majorHAnsi" w:cstheme="majorHAnsi"/>
                <w:sz w:val="16"/>
                <w:szCs w:val="16"/>
              </w:rPr>
            </w:pPr>
            <w:r w:rsidRPr="00AF45DE">
              <w:rPr>
                <w:rFonts w:asciiTheme="majorHAnsi" w:hAnsiTheme="majorHAnsi" w:cstheme="majorHAnsi"/>
                <w:sz w:val="16"/>
                <w:szCs w:val="16"/>
              </w:rPr>
              <w:t>(As Notas Explicativas são parte integrante das demonstrações contábeis intermediárias)</w:t>
            </w:r>
          </w:p>
        </w:tc>
      </w:tr>
    </w:tbl>
    <w:p w14:paraId="73D01263" w14:textId="105E6843" w:rsidR="00AF45DE" w:rsidRDefault="00AF45DE" w:rsidP="00AF45DE"/>
    <w:p w14:paraId="10D29567" w14:textId="79BA59B2" w:rsidR="00AF45DE" w:rsidRDefault="00AF45DE" w:rsidP="00AF45DE"/>
    <w:p w14:paraId="7D0FF43A" w14:textId="68194AEE" w:rsidR="00AF45DE" w:rsidRDefault="00AF45DE" w:rsidP="00AF45DE"/>
    <w:p w14:paraId="2D5C8206" w14:textId="50F4F9CB" w:rsidR="00AF45DE" w:rsidRDefault="00AF45DE" w:rsidP="00AF45DE"/>
    <w:p w14:paraId="611FC3E0" w14:textId="1AAA4E21" w:rsidR="00AF45DE" w:rsidRDefault="00AF45DE" w:rsidP="00AF45DE"/>
    <w:p w14:paraId="12841518" w14:textId="7029E9AC" w:rsidR="00AF45DE" w:rsidRDefault="00AF45DE" w:rsidP="00AF45DE"/>
    <w:p w14:paraId="12F64EEB" w14:textId="03367547" w:rsidR="00AF45DE" w:rsidRDefault="00AF45DE" w:rsidP="00AF45DE"/>
    <w:p w14:paraId="5B3DDD4A" w14:textId="6F5F3813" w:rsidR="00AF45DE" w:rsidRDefault="00AF45DE" w:rsidP="00AF45DE"/>
    <w:tbl>
      <w:tblPr>
        <w:tblW w:w="5000" w:type="pct"/>
        <w:tblCellMar>
          <w:left w:w="70" w:type="dxa"/>
          <w:right w:w="70" w:type="dxa"/>
        </w:tblCellMar>
        <w:tblLook w:val="04A0" w:firstRow="1" w:lastRow="0" w:firstColumn="1" w:lastColumn="0" w:noHBand="0" w:noVBand="1"/>
      </w:tblPr>
      <w:tblGrid>
        <w:gridCol w:w="3633"/>
        <w:gridCol w:w="146"/>
        <w:gridCol w:w="1659"/>
        <w:gridCol w:w="1626"/>
        <w:gridCol w:w="1651"/>
        <w:gridCol w:w="1752"/>
      </w:tblGrid>
      <w:tr w:rsidR="00AF45DE" w:rsidRPr="00AF45DE" w14:paraId="3ECE424E" w14:textId="77777777" w:rsidTr="00AF45DE">
        <w:trPr>
          <w:trHeight w:hRule="exact" w:val="227"/>
        </w:trPr>
        <w:tc>
          <w:tcPr>
            <w:tcW w:w="5000" w:type="pct"/>
            <w:gridSpan w:val="6"/>
            <w:tcBorders>
              <w:top w:val="nil"/>
              <w:left w:val="nil"/>
              <w:bottom w:val="nil"/>
              <w:right w:val="nil"/>
            </w:tcBorders>
            <w:shd w:val="clear" w:color="auto" w:fill="auto"/>
            <w:noWrap/>
            <w:vAlign w:val="bottom"/>
            <w:hideMark/>
          </w:tcPr>
          <w:p w14:paraId="133DA421" w14:textId="3B6CDB3A" w:rsidR="00AF45DE" w:rsidRPr="00AF45DE" w:rsidRDefault="00AF45DE">
            <w:pPr>
              <w:jc w:val="center"/>
              <w:rPr>
                <w:rFonts w:asciiTheme="majorHAnsi" w:hAnsiTheme="majorHAnsi" w:cstheme="majorHAnsi"/>
                <w:b/>
                <w:bCs/>
                <w:sz w:val="16"/>
                <w:szCs w:val="16"/>
              </w:rPr>
            </w:pPr>
          </w:p>
        </w:tc>
      </w:tr>
      <w:tr w:rsidR="00AF45DE" w:rsidRPr="00AF45DE" w14:paraId="6D6A5567" w14:textId="77777777" w:rsidTr="00AF45DE">
        <w:trPr>
          <w:trHeight w:hRule="exact" w:val="227"/>
        </w:trPr>
        <w:tc>
          <w:tcPr>
            <w:tcW w:w="5000" w:type="pct"/>
            <w:gridSpan w:val="6"/>
            <w:tcBorders>
              <w:top w:val="nil"/>
              <w:left w:val="nil"/>
              <w:bottom w:val="nil"/>
              <w:right w:val="nil"/>
            </w:tcBorders>
            <w:shd w:val="clear" w:color="auto" w:fill="auto"/>
            <w:noWrap/>
            <w:vAlign w:val="bottom"/>
            <w:hideMark/>
          </w:tcPr>
          <w:p w14:paraId="09D28CA5"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 xml:space="preserve">DEMONSTRAÇÃO DO RESULTADO ABRANGENTE  </w:t>
            </w:r>
          </w:p>
        </w:tc>
      </w:tr>
      <w:tr w:rsidR="00AF45DE" w:rsidRPr="00AF45DE" w14:paraId="00535F8C" w14:textId="77777777" w:rsidTr="00AF45DE">
        <w:trPr>
          <w:trHeight w:hRule="exact" w:val="227"/>
        </w:trPr>
        <w:tc>
          <w:tcPr>
            <w:tcW w:w="5000" w:type="pct"/>
            <w:gridSpan w:val="6"/>
            <w:tcBorders>
              <w:top w:val="nil"/>
              <w:left w:val="nil"/>
              <w:bottom w:val="nil"/>
              <w:right w:val="nil"/>
            </w:tcBorders>
            <w:shd w:val="clear" w:color="auto" w:fill="auto"/>
            <w:noWrap/>
            <w:vAlign w:val="bottom"/>
            <w:hideMark/>
          </w:tcPr>
          <w:p w14:paraId="235B4ADA"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3º TRIMESTRE 2022</w:t>
            </w:r>
          </w:p>
        </w:tc>
      </w:tr>
      <w:tr w:rsidR="00AF45DE" w:rsidRPr="00AF45DE" w14:paraId="2397BAE1" w14:textId="77777777" w:rsidTr="00AF45DE">
        <w:trPr>
          <w:trHeight w:hRule="exact" w:val="227"/>
        </w:trPr>
        <w:tc>
          <w:tcPr>
            <w:tcW w:w="5000" w:type="pct"/>
            <w:gridSpan w:val="6"/>
            <w:tcBorders>
              <w:top w:val="nil"/>
              <w:left w:val="nil"/>
              <w:bottom w:val="nil"/>
              <w:right w:val="nil"/>
            </w:tcBorders>
            <w:shd w:val="clear" w:color="auto" w:fill="auto"/>
            <w:noWrap/>
            <w:vAlign w:val="bottom"/>
            <w:hideMark/>
          </w:tcPr>
          <w:p w14:paraId="198522E0"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Em R$ 1</w:t>
            </w:r>
          </w:p>
        </w:tc>
      </w:tr>
      <w:tr w:rsidR="00AF45DE" w:rsidRPr="00AF45DE" w14:paraId="12309AE0" w14:textId="77777777" w:rsidTr="00AF45DE">
        <w:trPr>
          <w:trHeight w:hRule="exact" w:val="227"/>
        </w:trPr>
        <w:tc>
          <w:tcPr>
            <w:tcW w:w="1739" w:type="pct"/>
            <w:tcBorders>
              <w:top w:val="nil"/>
              <w:left w:val="nil"/>
              <w:bottom w:val="nil"/>
              <w:right w:val="nil"/>
            </w:tcBorders>
            <w:shd w:val="clear" w:color="auto" w:fill="auto"/>
            <w:noWrap/>
            <w:vAlign w:val="bottom"/>
            <w:hideMark/>
          </w:tcPr>
          <w:p w14:paraId="0EE900DF" w14:textId="77777777" w:rsidR="00AF45DE" w:rsidRPr="00AF45DE" w:rsidRDefault="00AF45DE">
            <w:pPr>
              <w:jc w:val="center"/>
              <w:rPr>
                <w:rFonts w:asciiTheme="majorHAnsi" w:hAnsiTheme="majorHAnsi" w:cstheme="majorHAnsi"/>
                <w:b/>
                <w:bCs/>
                <w:sz w:val="16"/>
                <w:szCs w:val="16"/>
              </w:rPr>
            </w:pPr>
          </w:p>
        </w:tc>
        <w:tc>
          <w:tcPr>
            <w:tcW w:w="53" w:type="pct"/>
            <w:tcBorders>
              <w:top w:val="nil"/>
              <w:left w:val="nil"/>
              <w:bottom w:val="nil"/>
              <w:right w:val="nil"/>
            </w:tcBorders>
            <w:shd w:val="clear" w:color="auto" w:fill="auto"/>
            <w:noWrap/>
            <w:vAlign w:val="bottom"/>
            <w:hideMark/>
          </w:tcPr>
          <w:p w14:paraId="1BD31A5E" w14:textId="77777777" w:rsidR="00AF45DE" w:rsidRPr="00AF45DE" w:rsidRDefault="00AF45DE">
            <w:pPr>
              <w:jc w:val="center"/>
              <w:rPr>
                <w:rFonts w:asciiTheme="majorHAnsi" w:hAnsiTheme="majorHAnsi" w:cstheme="majorHAnsi"/>
                <w:sz w:val="16"/>
                <w:szCs w:val="16"/>
              </w:rPr>
            </w:pPr>
          </w:p>
        </w:tc>
        <w:tc>
          <w:tcPr>
            <w:tcW w:w="796" w:type="pct"/>
            <w:tcBorders>
              <w:top w:val="nil"/>
              <w:left w:val="nil"/>
              <w:bottom w:val="nil"/>
              <w:right w:val="nil"/>
            </w:tcBorders>
            <w:shd w:val="clear" w:color="auto" w:fill="auto"/>
            <w:noWrap/>
            <w:vAlign w:val="bottom"/>
            <w:hideMark/>
          </w:tcPr>
          <w:p w14:paraId="0CA75A33" w14:textId="77777777" w:rsidR="00AF45DE" w:rsidRPr="00AF45DE" w:rsidRDefault="00AF45DE">
            <w:pPr>
              <w:jc w:val="center"/>
              <w:rPr>
                <w:rFonts w:asciiTheme="majorHAnsi" w:hAnsiTheme="majorHAnsi" w:cstheme="majorHAnsi"/>
                <w:sz w:val="16"/>
                <w:szCs w:val="16"/>
              </w:rPr>
            </w:pPr>
          </w:p>
        </w:tc>
        <w:tc>
          <w:tcPr>
            <w:tcW w:w="780" w:type="pct"/>
            <w:tcBorders>
              <w:top w:val="nil"/>
              <w:left w:val="nil"/>
              <w:bottom w:val="nil"/>
              <w:right w:val="nil"/>
            </w:tcBorders>
            <w:shd w:val="clear" w:color="auto" w:fill="auto"/>
            <w:noWrap/>
            <w:vAlign w:val="bottom"/>
            <w:hideMark/>
          </w:tcPr>
          <w:p w14:paraId="0B3C0609" w14:textId="77777777" w:rsidR="00AF45DE" w:rsidRPr="00AF45DE" w:rsidRDefault="00AF45DE">
            <w:pPr>
              <w:jc w:val="center"/>
              <w:rPr>
                <w:rFonts w:asciiTheme="majorHAnsi" w:hAnsiTheme="majorHAnsi" w:cstheme="majorHAnsi"/>
                <w:sz w:val="16"/>
                <w:szCs w:val="16"/>
              </w:rPr>
            </w:pPr>
          </w:p>
        </w:tc>
        <w:tc>
          <w:tcPr>
            <w:tcW w:w="792" w:type="pct"/>
            <w:tcBorders>
              <w:top w:val="nil"/>
              <w:left w:val="nil"/>
              <w:bottom w:val="nil"/>
              <w:right w:val="nil"/>
            </w:tcBorders>
            <w:shd w:val="clear" w:color="auto" w:fill="auto"/>
            <w:noWrap/>
            <w:vAlign w:val="bottom"/>
            <w:hideMark/>
          </w:tcPr>
          <w:p w14:paraId="18C040E4" w14:textId="77777777" w:rsidR="00AF45DE" w:rsidRPr="00AF45DE" w:rsidRDefault="00AF45DE">
            <w:pPr>
              <w:jc w:val="center"/>
              <w:rPr>
                <w:rFonts w:asciiTheme="majorHAnsi" w:hAnsiTheme="majorHAnsi" w:cstheme="majorHAnsi"/>
                <w:sz w:val="16"/>
                <w:szCs w:val="16"/>
              </w:rPr>
            </w:pPr>
          </w:p>
        </w:tc>
        <w:tc>
          <w:tcPr>
            <w:tcW w:w="840" w:type="pct"/>
            <w:tcBorders>
              <w:top w:val="nil"/>
              <w:left w:val="nil"/>
              <w:bottom w:val="nil"/>
              <w:right w:val="nil"/>
            </w:tcBorders>
            <w:shd w:val="clear" w:color="auto" w:fill="auto"/>
            <w:noWrap/>
            <w:vAlign w:val="bottom"/>
            <w:hideMark/>
          </w:tcPr>
          <w:p w14:paraId="22863875" w14:textId="77777777" w:rsidR="00AF45DE" w:rsidRPr="00AF45DE" w:rsidRDefault="00AF45DE">
            <w:pPr>
              <w:jc w:val="center"/>
              <w:rPr>
                <w:rFonts w:asciiTheme="majorHAnsi" w:hAnsiTheme="majorHAnsi" w:cstheme="majorHAnsi"/>
                <w:sz w:val="16"/>
                <w:szCs w:val="16"/>
              </w:rPr>
            </w:pPr>
          </w:p>
        </w:tc>
      </w:tr>
      <w:tr w:rsidR="00AF45DE" w:rsidRPr="00AF45DE" w14:paraId="09A6127F" w14:textId="77777777" w:rsidTr="00AF45DE">
        <w:trPr>
          <w:trHeight w:hRule="exact" w:val="227"/>
        </w:trPr>
        <w:tc>
          <w:tcPr>
            <w:tcW w:w="1739" w:type="pct"/>
            <w:tcBorders>
              <w:top w:val="nil"/>
              <w:left w:val="nil"/>
              <w:bottom w:val="nil"/>
              <w:right w:val="nil"/>
            </w:tcBorders>
            <w:shd w:val="clear" w:color="auto" w:fill="auto"/>
            <w:noWrap/>
            <w:vAlign w:val="bottom"/>
            <w:hideMark/>
          </w:tcPr>
          <w:p w14:paraId="6DB249F4" w14:textId="77777777" w:rsidR="00AF45DE" w:rsidRPr="00AF45DE" w:rsidRDefault="00AF45DE">
            <w:pPr>
              <w:jc w:val="right"/>
              <w:rPr>
                <w:rFonts w:asciiTheme="majorHAnsi" w:hAnsiTheme="majorHAnsi" w:cstheme="majorHAnsi"/>
                <w:sz w:val="16"/>
                <w:szCs w:val="16"/>
              </w:rPr>
            </w:pPr>
          </w:p>
        </w:tc>
        <w:tc>
          <w:tcPr>
            <w:tcW w:w="53" w:type="pct"/>
            <w:tcBorders>
              <w:top w:val="nil"/>
              <w:left w:val="nil"/>
              <w:bottom w:val="nil"/>
              <w:right w:val="nil"/>
            </w:tcBorders>
            <w:shd w:val="clear" w:color="auto" w:fill="auto"/>
            <w:noWrap/>
            <w:vAlign w:val="bottom"/>
            <w:hideMark/>
          </w:tcPr>
          <w:p w14:paraId="6BCC19E3" w14:textId="77777777" w:rsidR="00AF45DE" w:rsidRPr="00AF45DE" w:rsidRDefault="00AF45DE">
            <w:pPr>
              <w:jc w:val="center"/>
              <w:rPr>
                <w:rFonts w:asciiTheme="majorHAnsi" w:hAnsiTheme="majorHAnsi" w:cstheme="majorHAnsi"/>
                <w:sz w:val="16"/>
                <w:szCs w:val="16"/>
              </w:rPr>
            </w:pPr>
          </w:p>
        </w:tc>
        <w:tc>
          <w:tcPr>
            <w:tcW w:w="796" w:type="pct"/>
            <w:tcBorders>
              <w:top w:val="nil"/>
              <w:left w:val="nil"/>
              <w:bottom w:val="nil"/>
              <w:right w:val="nil"/>
            </w:tcBorders>
            <w:shd w:val="clear" w:color="auto" w:fill="auto"/>
            <w:noWrap/>
            <w:vAlign w:val="bottom"/>
            <w:hideMark/>
          </w:tcPr>
          <w:p w14:paraId="100A0A3C" w14:textId="77777777" w:rsidR="00AF45DE" w:rsidRPr="00AF45DE" w:rsidRDefault="00AF45DE">
            <w:pPr>
              <w:jc w:val="center"/>
              <w:rPr>
                <w:rFonts w:asciiTheme="majorHAnsi" w:hAnsiTheme="majorHAnsi" w:cstheme="majorHAnsi"/>
                <w:sz w:val="16"/>
                <w:szCs w:val="16"/>
              </w:rPr>
            </w:pPr>
          </w:p>
        </w:tc>
        <w:tc>
          <w:tcPr>
            <w:tcW w:w="780" w:type="pct"/>
            <w:tcBorders>
              <w:top w:val="nil"/>
              <w:left w:val="nil"/>
              <w:bottom w:val="nil"/>
              <w:right w:val="nil"/>
            </w:tcBorders>
            <w:shd w:val="clear" w:color="000000" w:fill="FFFFFF"/>
            <w:noWrap/>
            <w:vAlign w:val="bottom"/>
            <w:hideMark/>
          </w:tcPr>
          <w:p w14:paraId="6C376182"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 </w:t>
            </w:r>
          </w:p>
        </w:tc>
        <w:tc>
          <w:tcPr>
            <w:tcW w:w="792" w:type="pct"/>
            <w:tcBorders>
              <w:top w:val="nil"/>
              <w:left w:val="nil"/>
              <w:bottom w:val="nil"/>
              <w:right w:val="nil"/>
            </w:tcBorders>
            <w:shd w:val="clear" w:color="000000" w:fill="FFFFFF"/>
            <w:noWrap/>
            <w:vAlign w:val="bottom"/>
            <w:hideMark/>
          </w:tcPr>
          <w:p w14:paraId="23A49D88"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 </w:t>
            </w:r>
          </w:p>
        </w:tc>
        <w:tc>
          <w:tcPr>
            <w:tcW w:w="840" w:type="pct"/>
            <w:tcBorders>
              <w:top w:val="nil"/>
              <w:left w:val="nil"/>
              <w:bottom w:val="nil"/>
              <w:right w:val="nil"/>
            </w:tcBorders>
            <w:shd w:val="clear" w:color="auto" w:fill="auto"/>
            <w:vAlign w:val="bottom"/>
            <w:hideMark/>
          </w:tcPr>
          <w:p w14:paraId="7D3C340F" w14:textId="77777777" w:rsidR="00AF45DE" w:rsidRPr="00AF45DE" w:rsidRDefault="00AF45DE">
            <w:pPr>
              <w:rPr>
                <w:rFonts w:asciiTheme="majorHAnsi" w:hAnsiTheme="majorHAnsi" w:cstheme="majorHAnsi"/>
                <w:b/>
                <w:bCs/>
                <w:sz w:val="16"/>
                <w:szCs w:val="16"/>
              </w:rPr>
            </w:pPr>
          </w:p>
        </w:tc>
      </w:tr>
      <w:tr w:rsidR="00AF45DE" w:rsidRPr="00AF45DE" w14:paraId="4D357406" w14:textId="77777777" w:rsidTr="00AF45DE">
        <w:trPr>
          <w:trHeight w:hRule="exact" w:val="227"/>
        </w:trPr>
        <w:tc>
          <w:tcPr>
            <w:tcW w:w="1739" w:type="pct"/>
            <w:tcBorders>
              <w:top w:val="nil"/>
              <w:left w:val="nil"/>
              <w:bottom w:val="nil"/>
              <w:right w:val="nil"/>
            </w:tcBorders>
            <w:shd w:val="clear" w:color="auto" w:fill="auto"/>
            <w:noWrap/>
            <w:vAlign w:val="bottom"/>
            <w:hideMark/>
          </w:tcPr>
          <w:p w14:paraId="43204D1B" w14:textId="77777777" w:rsidR="00AF45DE" w:rsidRPr="00AF45DE" w:rsidRDefault="00AF45DE">
            <w:pPr>
              <w:jc w:val="right"/>
              <w:rPr>
                <w:rFonts w:asciiTheme="majorHAnsi" w:hAnsiTheme="majorHAnsi" w:cstheme="majorHAnsi"/>
                <w:sz w:val="16"/>
                <w:szCs w:val="16"/>
              </w:rPr>
            </w:pPr>
          </w:p>
        </w:tc>
        <w:tc>
          <w:tcPr>
            <w:tcW w:w="53" w:type="pct"/>
            <w:tcBorders>
              <w:top w:val="nil"/>
              <w:left w:val="nil"/>
              <w:bottom w:val="nil"/>
              <w:right w:val="nil"/>
            </w:tcBorders>
            <w:shd w:val="clear" w:color="auto" w:fill="auto"/>
            <w:noWrap/>
            <w:vAlign w:val="bottom"/>
            <w:hideMark/>
          </w:tcPr>
          <w:p w14:paraId="493ADCC6" w14:textId="77777777" w:rsidR="00AF45DE" w:rsidRPr="00AF45DE" w:rsidRDefault="00AF45DE">
            <w:pPr>
              <w:rPr>
                <w:rFonts w:asciiTheme="majorHAnsi" w:hAnsiTheme="majorHAnsi" w:cstheme="majorHAnsi"/>
                <w:sz w:val="16"/>
                <w:szCs w:val="16"/>
              </w:rPr>
            </w:pPr>
          </w:p>
        </w:tc>
        <w:tc>
          <w:tcPr>
            <w:tcW w:w="796" w:type="pct"/>
            <w:tcBorders>
              <w:top w:val="nil"/>
              <w:left w:val="nil"/>
              <w:bottom w:val="nil"/>
              <w:right w:val="nil"/>
            </w:tcBorders>
            <w:shd w:val="clear" w:color="auto" w:fill="auto"/>
            <w:vAlign w:val="bottom"/>
            <w:hideMark/>
          </w:tcPr>
          <w:p w14:paraId="72347B35"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01/07/2022</w:t>
            </w:r>
          </w:p>
        </w:tc>
        <w:tc>
          <w:tcPr>
            <w:tcW w:w="780" w:type="pct"/>
            <w:tcBorders>
              <w:top w:val="nil"/>
              <w:left w:val="nil"/>
              <w:bottom w:val="nil"/>
              <w:right w:val="nil"/>
            </w:tcBorders>
            <w:shd w:val="clear" w:color="auto" w:fill="auto"/>
            <w:vAlign w:val="bottom"/>
            <w:hideMark/>
          </w:tcPr>
          <w:p w14:paraId="626793F1"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01/01/2022</w:t>
            </w:r>
          </w:p>
        </w:tc>
        <w:tc>
          <w:tcPr>
            <w:tcW w:w="792" w:type="pct"/>
            <w:tcBorders>
              <w:top w:val="nil"/>
              <w:left w:val="nil"/>
              <w:bottom w:val="nil"/>
              <w:right w:val="nil"/>
            </w:tcBorders>
            <w:shd w:val="clear" w:color="auto" w:fill="auto"/>
            <w:vAlign w:val="bottom"/>
            <w:hideMark/>
          </w:tcPr>
          <w:p w14:paraId="3AA36FC6"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01/07/2021</w:t>
            </w:r>
          </w:p>
        </w:tc>
        <w:tc>
          <w:tcPr>
            <w:tcW w:w="840" w:type="pct"/>
            <w:tcBorders>
              <w:top w:val="nil"/>
              <w:left w:val="nil"/>
              <w:bottom w:val="nil"/>
              <w:right w:val="nil"/>
            </w:tcBorders>
            <w:shd w:val="clear" w:color="auto" w:fill="auto"/>
            <w:vAlign w:val="bottom"/>
            <w:hideMark/>
          </w:tcPr>
          <w:p w14:paraId="2B03D5FF"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01/01/2021</w:t>
            </w:r>
          </w:p>
        </w:tc>
      </w:tr>
      <w:tr w:rsidR="00AF45DE" w:rsidRPr="00AF45DE" w14:paraId="6C6C19CC" w14:textId="77777777" w:rsidTr="00AF45DE">
        <w:trPr>
          <w:trHeight w:hRule="exact" w:val="227"/>
        </w:trPr>
        <w:tc>
          <w:tcPr>
            <w:tcW w:w="1739" w:type="pct"/>
            <w:tcBorders>
              <w:top w:val="nil"/>
              <w:left w:val="nil"/>
              <w:bottom w:val="nil"/>
              <w:right w:val="nil"/>
            </w:tcBorders>
            <w:shd w:val="clear" w:color="auto" w:fill="auto"/>
            <w:noWrap/>
            <w:vAlign w:val="bottom"/>
            <w:hideMark/>
          </w:tcPr>
          <w:p w14:paraId="16B0E299" w14:textId="77777777" w:rsidR="00AF45DE" w:rsidRPr="00AF45DE" w:rsidRDefault="00AF45DE">
            <w:pPr>
              <w:jc w:val="right"/>
              <w:rPr>
                <w:rFonts w:asciiTheme="majorHAnsi" w:hAnsiTheme="majorHAnsi" w:cstheme="majorHAnsi"/>
                <w:b/>
                <w:bCs/>
                <w:sz w:val="16"/>
                <w:szCs w:val="16"/>
              </w:rPr>
            </w:pPr>
          </w:p>
        </w:tc>
        <w:tc>
          <w:tcPr>
            <w:tcW w:w="53" w:type="pct"/>
            <w:tcBorders>
              <w:top w:val="nil"/>
              <w:left w:val="nil"/>
              <w:bottom w:val="nil"/>
              <w:right w:val="nil"/>
            </w:tcBorders>
            <w:shd w:val="clear" w:color="auto" w:fill="auto"/>
            <w:noWrap/>
            <w:vAlign w:val="bottom"/>
            <w:hideMark/>
          </w:tcPr>
          <w:p w14:paraId="1AF1C7F3" w14:textId="77777777" w:rsidR="00AF45DE" w:rsidRPr="00AF45DE" w:rsidRDefault="00AF45DE">
            <w:pPr>
              <w:rPr>
                <w:rFonts w:asciiTheme="majorHAnsi" w:hAnsiTheme="majorHAnsi" w:cstheme="majorHAnsi"/>
                <w:sz w:val="16"/>
                <w:szCs w:val="16"/>
              </w:rPr>
            </w:pPr>
          </w:p>
        </w:tc>
        <w:tc>
          <w:tcPr>
            <w:tcW w:w="796" w:type="pct"/>
            <w:tcBorders>
              <w:top w:val="nil"/>
              <w:left w:val="nil"/>
              <w:bottom w:val="nil"/>
              <w:right w:val="nil"/>
            </w:tcBorders>
            <w:shd w:val="clear" w:color="auto" w:fill="auto"/>
            <w:vAlign w:val="bottom"/>
            <w:hideMark/>
          </w:tcPr>
          <w:p w14:paraId="489069E0"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a 30/09/2022</w:t>
            </w:r>
          </w:p>
        </w:tc>
        <w:tc>
          <w:tcPr>
            <w:tcW w:w="780" w:type="pct"/>
            <w:tcBorders>
              <w:top w:val="nil"/>
              <w:left w:val="nil"/>
              <w:bottom w:val="nil"/>
              <w:right w:val="nil"/>
            </w:tcBorders>
            <w:shd w:val="clear" w:color="auto" w:fill="auto"/>
            <w:vAlign w:val="bottom"/>
            <w:hideMark/>
          </w:tcPr>
          <w:p w14:paraId="673AA3D8"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a 30/09/2022</w:t>
            </w:r>
          </w:p>
        </w:tc>
        <w:tc>
          <w:tcPr>
            <w:tcW w:w="792" w:type="pct"/>
            <w:tcBorders>
              <w:top w:val="nil"/>
              <w:left w:val="nil"/>
              <w:bottom w:val="nil"/>
              <w:right w:val="nil"/>
            </w:tcBorders>
            <w:shd w:val="clear" w:color="auto" w:fill="auto"/>
            <w:vAlign w:val="bottom"/>
            <w:hideMark/>
          </w:tcPr>
          <w:p w14:paraId="4FAC7DC5"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a 30/09/2021</w:t>
            </w:r>
          </w:p>
        </w:tc>
        <w:tc>
          <w:tcPr>
            <w:tcW w:w="840" w:type="pct"/>
            <w:tcBorders>
              <w:top w:val="nil"/>
              <w:left w:val="nil"/>
              <w:bottom w:val="nil"/>
              <w:right w:val="nil"/>
            </w:tcBorders>
            <w:shd w:val="clear" w:color="auto" w:fill="auto"/>
            <w:vAlign w:val="bottom"/>
            <w:hideMark/>
          </w:tcPr>
          <w:p w14:paraId="2761C26A"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a 30/09/2021</w:t>
            </w:r>
          </w:p>
        </w:tc>
      </w:tr>
      <w:tr w:rsidR="00AF45DE" w:rsidRPr="00AF45DE" w14:paraId="232800EA" w14:textId="77777777" w:rsidTr="00AF45DE">
        <w:trPr>
          <w:trHeight w:hRule="exact" w:val="227"/>
        </w:trPr>
        <w:tc>
          <w:tcPr>
            <w:tcW w:w="1739" w:type="pct"/>
            <w:tcBorders>
              <w:top w:val="nil"/>
              <w:left w:val="nil"/>
              <w:bottom w:val="nil"/>
              <w:right w:val="nil"/>
            </w:tcBorders>
            <w:shd w:val="clear" w:color="auto" w:fill="auto"/>
            <w:noWrap/>
            <w:vAlign w:val="bottom"/>
            <w:hideMark/>
          </w:tcPr>
          <w:p w14:paraId="0A269748" w14:textId="77777777" w:rsidR="00AF45DE" w:rsidRPr="00AF45DE" w:rsidRDefault="00AF45DE">
            <w:pPr>
              <w:jc w:val="right"/>
              <w:rPr>
                <w:rFonts w:asciiTheme="majorHAnsi" w:hAnsiTheme="majorHAnsi" w:cstheme="majorHAnsi"/>
                <w:b/>
                <w:bCs/>
                <w:sz w:val="16"/>
                <w:szCs w:val="16"/>
              </w:rPr>
            </w:pPr>
          </w:p>
        </w:tc>
        <w:tc>
          <w:tcPr>
            <w:tcW w:w="53" w:type="pct"/>
            <w:tcBorders>
              <w:top w:val="nil"/>
              <w:left w:val="nil"/>
              <w:bottom w:val="nil"/>
              <w:right w:val="nil"/>
            </w:tcBorders>
            <w:shd w:val="clear" w:color="auto" w:fill="auto"/>
            <w:noWrap/>
            <w:vAlign w:val="bottom"/>
            <w:hideMark/>
          </w:tcPr>
          <w:p w14:paraId="0586557D" w14:textId="77777777" w:rsidR="00AF45DE" w:rsidRPr="00AF45DE" w:rsidRDefault="00AF45DE">
            <w:pPr>
              <w:rPr>
                <w:rFonts w:asciiTheme="majorHAnsi" w:hAnsiTheme="majorHAnsi" w:cstheme="majorHAnsi"/>
                <w:sz w:val="16"/>
                <w:szCs w:val="16"/>
              </w:rPr>
            </w:pPr>
          </w:p>
        </w:tc>
        <w:tc>
          <w:tcPr>
            <w:tcW w:w="796" w:type="pct"/>
            <w:tcBorders>
              <w:top w:val="nil"/>
              <w:left w:val="nil"/>
              <w:bottom w:val="nil"/>
              <w:right w:val="nil"/>
            </w:tcBorders>
            <w:shd w:val="clear" w:color="auto" w:fill="auto"/>
            <w:noWrap/>
            <w:vAlign w:val="bottom"/>
            <w:hideMark/>
          </w:tcPr>
          <w:p w14:paraId="0D8A55F5" w14:textId="77777777" w:rsidR="00AF45DE" w:rsidRPr="00AF45DE" w:rsidRDefault="00AF45DE" w:rsidP="00AF45DE">
            <w:pPr>
              <w:jc w:val="right"/>
              <w:rPr>
                <w:rFonts w:asciiTheme="majorHAnsi" w:hAnsiTheme="majorHAnsi" w:cstheme="majorHAnsi"/>
                <w:sz w:val="16"/>
                <w:szCs w:val="16"/>
              </w:rPr>
            </w:pPr>
          </w:p>
        </w:tc>
        <w:tc>
          <w:tcPr>
            <w:tcW w:w="780" w:type="pct"/>
            <w:tcBorders>
              <w:top w:val="nil"/>
              <w:left w:val="nil"/>
              <w:bottom w:val="nil"/>
              <w:right w:val="nil"/>
            </w:tcBorders>
            <w:shd w:val="clear" w:color="auto" w:fill="auto"/>
            <w:noWrap/>
            <w:vAlign w:val="bottom"/>
            <w:hideMark/>
          </w:tcPr>
          <w:p w14:paraId="0F105EAA" w14:textId="77777777" w:rsidR="00AF45DE" w:rsidRPr="00AF45DE" w:rsidRDefault="00AF45DE" w:rsidP="00AF45DE">
            <w:pPr>
              <w:jc w:val="right"/>
              <w:rPr>
                <w:rFonts w:asciiTheme="majorHAnsi" w:hAnsiTheme="majorHAnsi" w:cstheme="majorHAnsi"/>
                <w:sz w:val="16"/>
                <w:szCs w:val="16"/>
              </w:rPr>
            </w:pPr>
          </w:p>
        </w:tc>
        <w:tc>
          <w:tcPr>
            <w:tcW w:w="792" w:type="pct"/>
            <w:tcBorders>
              <w:top w:val="nil"/>
              <w:left w:val="nil"/>
              <w:bottom w:val="nil"/>
              <w:right w:val="nil"/>
            </w:tcBorders>
            <w:shd w:val="clear" w:color="auto" w:fill="auto"/>
            <w:noWrap/>
            <w:vAlign w:val="bottom"/>
            <w:hideMark/>
          </w:tcPr>
          <w:p w14:paraId="020C5E41" w14:textId="77777777" w:rsidR="00AF45DE" w:rsidRPr="00AF45DE" w:rsidRDefault="00AF45DE" w:rsidP="00AF45DE">
            <w:pPr>
              <w:jc w:val="right"/>
              <w:rPr>
                <w:rFonts w:asciiTheme="majorHAnsi" w:hAnsiTheme="majorHAnsi" w:cstheme="majorHAnsi"/>
                <w:sz w:val="16"/>
                <w:szCs w:val="16"/>
              </w:rPr>
            </w:pPr>
          </w:p>
        </w:tc>
        <w:tc>
          <w:tcPr>
            <w:tcW w:w="840" w:type="pct"/>
            <w:tcBorders>
              <w:top w:val="nil"/>
              <w:left w:val="nil"/>
              <w:bottom w:val="nil"/>
              <w:right w:val="nil"/>
            </w:tcBorders>
            <w:shd w:val="clear" w:color="000000" w:fill="FFFFFF"/>
            <w:noWrap/>
            <w:vAlign w:val="bottom"/>
            <w:hideMark/>
          </w:tcPr>
          <w:p w14:paraId="2F888376"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w:t>
            </w:r>
          </w:p>
        </w:tc>
      </w:tr>
      <w:tr w:rsidR="00AF45DE" w:rsidRPr="00AF45DE" w14:paraId="7B81DC2A" w14:textId="77777777" w:rsidTr="00AF45DE">
        <w:trPr>
          <w:trHeight w:hRule="exact" w:val="227"/>
        </w:trPr>
        <w:tc>
          <w:tcPr>
            <w:tcW w:w="1739" w:type="pct"/>
            <w:tcBorders>
              <w:top w:val="nil"/>
              <w:left w:val="nil"/>
              <w:bottom w:val="nil"/>
              <w:right w:val="nil"/>
            </w:tcBorders>
            <w:shd w:val="clear" w:color="auto" w:fill="auto"/>
            <w:noWrap/>
            <w:vAlign w:val="bottom"/>
            <w:hideMark/>
          </w:tcPr>
          <w:p w14:paraId="50B7E095"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Lucro/Prejuízo Líquido do Período</w:t>
            </w:r>
          </w:p>
        </w:tc>
        <w:tc>
          <w:tcPr>
            <w:tcW w:w="53" w:type="pct"/>
            <w:tcBorders>
              <w:top w:val="nil"/>
              <w:left w:val="nil"/>
              <w:bottom w:val="nil"/>
              <w:right w:val="nil"/>
            </w:tcBorders>
            <w:shd w:val="clear" w:color="auto" w:fill="auto"/>
            <w:noWrap/>
            <w:vAlign w:val="bottom"/>
            <w:hideMark/>
          </w:tcPr>
          <w:p w14:paraId="392F8A39" w14:textId="77777777" w:rsidR="00AF45DE" w:rsidRPr="00AF45DE" w:rsidRDefault="00AF45DE">
            <w:pPr>
              <w:rPr>
                <w:rFonts w:asciiTheme="majorHAnsi" w:hAnsiTheme="majorHAnsi" w:cstheme="majorHAnsi"/>
                <w:sz w:val="16"/>
                <w:szCs w:val="16"/>
              </w:rPr>
            </w:pPr>
          </w:p>
        </w:tc>
        <w:tc>
          <w:tcPr>
            <w:tcW w:w="796" w:type="pct"/>
            <w:tcBorders>
              <w:top w:val="nil"/>
              <w:left w:val="nil"/>
              <w:bottom w:val="nil"/>
              <w:right w:val="nil"/>
            </w:tcBorders>
            <w:shd w:val="clear" w:color="auto" w:fill="auto"/>
            <w:noWrap/>
            <w:vAlign w:val="bottom"/>
            <w:hideMark/>
          </w:tcPr>
          <w:p w14:paraId="6FD67B3B"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(27.840.960)</w:t>
            </w:r>
          </w:p>
        </w:tc>
        <w:tc>
          <w:tcPr>
            <w:tcW w:w="780" w:type="pct"/>
            <w:tcBorders>
              <w:top w:val="nil"/>
              <w:left w:val="nil"/>
              <w:bottom w:val="nil"/>
              <w:right w:val="nil"/>
            </w:tcBorders>
            <w:shd w:val="clear" w:color="auto" w:fill="auto"/>
            <w:noWrap/>
            <w:vAlign w:val="bottom"/>
            <w:hideMark/>
          </w:tcPr>
          <w:p w14:paraId="12426E10"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4.990.093 </w:t>
            </w:r>
          </w:p>
        </w:tc>
        <w:tc>
          <w:tcPr>
            <w:tcW w:w="792" w:type="pct"/>
            <w:tcBorders>
              <w:top w:val="nil"/>
              <w:left w:val="nil"/>
              <w:bottom w:val="nil"/>
              <w:right w:val="nil"/>
            </w:tcBorders>
            <w:shd w:val="clear" w:color="auto" w:fill="auto"/>
            <w:noWrap/>
            <w:vAlign w:val="bottom"/>
            <w:hideMark/>
          </w:tcPr>
          <w:p w14:paraId="19851762"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(42.837.727)</w:t>
            </w:r>
          </w:p>
        </w:tc>
        <w:tc>
          <w:tcPr>
            <w:tcW w:w="840" w:type="pct"/>
            <w:tcBorders>
              <w:top w:val="nil"/>
              <w:left w:val="nil"/>
              <w:bottom w:val="nil"/>
              <w:right w:val="nil"/>
            </w:tcBorders>
            <w:shd w:val="clear" w:color="000000" w:fill="FFFFFF"/>
            <w:noWrap/>
            <w:vAlign w:val="bottom"/>
            <w:hideMark/>
          </w:tcPr>
          <w:p w14:paraId="21DECD97"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(101.934.258)</w:t>
            </w:r>
          </w:p>
        </w:tc>
      </w:tr>
      <w:tr w:rsidR="00AF45DE" w:rsidRPr="00AF45DE" w14:paraId="4DD9690B" w14:textId="77777777" w:rsidTr="00AF45DE">
        <w:trPr>
          <w:trHeight w:hRule="exact" w:val="227"/>
        </w:trPr>
        <w:tc>
          <w:tcPr>
            <w:tcW w:w="1739" w:type="pct"/>
            <w:tcBorders>
              <w:top w:val="nil"/>
              <w:left w:val="nil"/>
              <w:bottom w:val="nil"/>
              <w:right w:val="nil"/>
            </w:tcBorders>
            <w:shd w:val="clear" w:color="auto" w:fill="auto"/>
            <w:noWrap/>
            <w:vAlign w:val="bottom"/>
            <w:hideMark/>
          </w:tcPr>
          <w:p w14:paraId="3FE82DF2" w14:textId="77777777" w:rsidR="00AF45DE" w:rsidRPr="00AF45DE" w:rsidRDefault="00AF45DE">
            <w:pPr>
              <w:jc w:val="right"/>
              <w:rPr>
                <w:rFonts w:asciiTheme="majorHAnsi" w:hAnsiTheme="majorHAnsi" w:cstheme="majorHAnsi"/>
                <w:sz w:val="16"/>
                <w:szCs w:val="16"/>
              </w:rPr>
            </w:pPr>
          </w:p>
        </w:tc>
        <w:tc>
          <w:tcPr>
            <w:tcW w:w="53" w:type="pct"/>
            <w:tcBorders>
              <w:top w:val="nil"/>
              <w:left w:val="nil"/>
              <w:bottom w:val="nil"/>
              <w:right w:val="nil"/>
            </w:tcBorders>
            <w:shd w:val="clear" w:color="auto" w:fill="auto"/>
            <w:noWrap/>
            <w:vAlign w:val="bottom"/>
            <w:hideMark/>
          </w:tcPr>
          <w:p w14:paraId="49376BF7" w14:textId="77777777" w:rsidR="00AF45DE" w:rsidRPr="00AF45DE" w:rsidRDefault="00AF45DE">
            <w:pPr>
              <w:rPr>
                <w:rFonts w:asciiTheme="majorHAnsi" w:hAnsiTheme="majorHAnsi" w:cstheme="majorHAnsi"/>
                <w:sz w:val="16"/>
                <w:szCs w:val="16"/>
              </w:rPr>
            </w:pPr>
          </w:p>
        </w:tc>
        <w:tc>
          <w:tcPr>
            <w:tcW w:w="796" w:type="pct"/>
            <w:tcBorders>
              <w:top w:val="nil"/>
              <w:left w:val="nil"/>
              <w:bottom w:val="nil"/>
              <w:right w:val="nil"/>
            </w:tcBorders>
            <w:shd w:val="clear" w:color="auto" w:fill="auto"/>
            <w:noWrap/>
            <w:vAlign w:val="bottom"/>
            <w:hideMark/>
          </w:tcPr>
          <w:p w14:paraId="6E35AE68" w14:textId="77777777" w:rsidR="00AF45DE" w:rsidRPr="00AF45DE" w:rsidRDefault="00AF45DE" w:rsidP="00AF45DE">
            <w:pPr>
              <w:jc w:val="right"/>
              <w:rPr>
                <w:rFonts w:asciiTheme="majorHAnsi" w:hAnsiTheme="majorHAnsi" w:cstheme="majorHAnsi"/>
                <w:sz w:val="16"/>
                <w:szCs w:val="16"/>
              </w:rPr>
            </w:pPr>
          </w:p>
        </w:tc>
        <w:tc>
          <w:tcPr>
            <w:tcW w:w="780" w:type="pct"/>
            <w:tcBorders>
              <w:top w:val="nil"/>
              <w:left w:val="nil"/>
              <w:bottom w:val="nil"/>
              <w:right w:val="nil"/>
            </w:tcBorders>
            <w:shd w:val="clear" w:color="000000" w:fill="FFFFFF"/>
            <w:noWrap/>
            <w:vAlign w:val="bottom"/>
            <w:hideMark/>
          </w:tcPr>
          <w:p w14:paraId="1C70B728"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w:t>
            </w:r>
          </w:p>
        </w:tc>
        <w:tc>
          <w:tcPr>
            <w:tcW w:w="792" w:type="pct"/>
            <w:tcBorders>
              <w:top w:val="nil"/>
              <w:left w:val="nil"/>
              <w:bottom w:val="nil"/>
              <w:right w:val="nil"/>
            </w:tcBorders>
            <w:shd w:val="clear" w:color="000000" w:fill="FFFFFF"/>
            <w:noWrap/>
            <w:vAlign w:val="bottom"/>
            <w:hideMark/>
          </w:tcPr>
          <w:p w14:paraId="2B2F383F"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w:t>
            </w:r>
          </w:p>
        </w:tc>
        <w:tc>
          <w:tcPr>
            <w:tcW w:w="840" w:type="pct"/>
            <w:tcBorders>
              <w:top w:val="nil"/>
              <w:left w:val="nil"/>
              <w:bottom w:val="nil"/>
              <w:right w:val="nil"/>
            </w:tcBorders>
            <w:shd w:val="clear" w:color="000000" w:fill="FFFFFF"/>
            <w:noWrap/>
            <w:vAlign w:val="bottom"/>
            <w:hideMark/>
          </w:tcPr>
          <w:p w14:paraId="4D8DA400"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w:t>
            </w:r>
          </w:p>
        </w:tc>
      </w:tr>
      <w:tr w:rsidR="00AF45DE" w:rsidRPr="00AF45DE" w14:paraId="6FB2C642" w14:textId="77777777" w:rsidTr="00AF45DE">
        <w:trPr>
          <w:trHeight w:hRule="exact" w:val="227"/>
        </w:trPr>
        <w:tc>
          <w:tcPr>
            <w:tcW w:w="1739" w:type="pct"/>
            <w:tcBorders>
              <w:top w:val="nil"/>
              <w:left w:val="nil"/>
              <w:bottom w:val="nil"/>
              <w:right w:val="nil"/>
            </w:tcBorders>
            <w:shd w:val="clear" w:color="auto" w:fill="auto"/>
            <w:noWrap/>
            <w:vAlign w:val="bottom"/>
            <w:hideMark/>
          </w:tcPr>
          <w:p w14:paraId="289FAB0E" w14:textId="2A78CC2C"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Resultado Líquido Abrangente do Per</w:t>
            </w:r>
            <w:r>
              <w:rPr>
                <w:rFonts w:asciiTheme="majorHAnsi" w:hAnsiTheme="majorHAnsi" w:cstheme="majorHAnsi"/>
                <w:b/>
                <w:bCs/>
                <w:sz w:val="16"/>
                <w:szCs w:val="16"/>
              </w:rPr>
              <w:t>í</w:t>
            </w:r>
            <w:r w:rsidRPr="00AF45DE">
              <w:rPr>
                <w:rFonts w:asciiTheme="majorHAnsi" w:hAnsiTheme="majorHAnsi" w:cstheme="majorHAnsi"/>
                <w:b/>
                <w:bCs/>
                <w:sz w:val="16"/>
                <w:szCs w:val="16"/>
              </w:rPr>
              <w:t>odo</w:t>
            </w:r>
          </w:p>
        </w:tc>
        <w:tc>
          <w:tcPr>
            <w:tcW w:w="53" w:type="pct"/>
            <w:tcBorders>
              <w:top w:val="nil"/>
              <w:left w:val="nil"/>
              <w:bottom w:val="nil"/>
              <w:right w:val="nil"/>
            </w:tcBorders>
            <w:shd w:val="clear" w:color="auto" w:fill="auto"/>
            <w:noWrap/>
            <w:vAlign w:val="bottom"/>
            <w:hideMark/>
          </w:tcPr>
          <w:p w14:paraId="10720CAF" w14:textId="77777777" w:rsidR="00AF45DE" w:rsidRPr="00AF45DE" w:rsidRDefault="00AF45DE">
            <w:pPr>
              <w:rPr>
                <w:rFonts w:asciiTheme="majorHAnsi" w:hAnsiTheme="majorHAnsi" w:cstheme="majorHAnsi"/>
                <w:b/>
                <w:bCs/>
                <w:sz w:val="16"/>
                <w:szCs w:val="16"/>
              </w:rPr>
            </w:pPr>
          </w:p>
        </w:tc>
        <w:tc>
          <w:tcPr>
            <w:tcW w:w="796" w:type="pct"/>
            <w:tcBorders>
              <w:top w:val="nil"/>
              <w:left w:val="nil"/>
              <w:bottom w:val="nil"/>
              <w:right w:val="nil"/>
            </w:tcBorders>
            <w:shd w:val="clear" w:color="auto" w:fill="auto"/>
            <w:noWrap/>
            <w:vAlign w:val="bottom"/>
            <w:hideMark/>
          </w:tcPr>
          <w:p w14:paraId="025D4BD4"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(27.840.960)</w:t>
            </w:r>
          </w:p>
        </w:tc>
        <w:tc>
          <w:tcPr>
            <w:tcW w:w="780" w:type="pct"/>
            <w:tcBorders>
              <w:top w:val="nil"/>
              <w:left w:val="nil"/>
              <w:bottom w:val="nil"/>
              <w:right w:val="nil"/>
            </w:tcBorders>
            <w:shd w:val="clear" w:color="000000" w:fill="FFFFFF"/>
            <w:noWrap/>
            <w:vAlign w:val="bottom"/>
            <w:hideMark/>
          </w:tcPr>
          <w:p w14:paraId="5032A49C"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4.990.093 </w:t>
            </w:r>
          </w:p>
        </w:tc>
        <w:tc>
          <w:tcPr>
            <w:tcW w:w="792" w:type="pct"/>
            <w:tcBorders>
              <w:top w:val="nil"/>
              <w:left w:val="nil"/>
              <w:bottom w:val="nil"/>
              <w:right w:val="nil"/>
            </w:tcBorders>
            <w:shd w:val="clear" w:color="000000" w:fill="FFFFFF"/>
            <w:noWrap/>
            <w:vAlign w:val="bottom"/>
            <w:hideMark/>
          </w:tcPr>
          <w:p w14:paraId="41E1CF0A"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(42.837.727)</w:t>
            </w:r>
          </w:p>
        </w:tc>
        <w:tc>
          <w:tcPr>
            <w:tcW w:w="840" w:type="pct"/>
            <w:tcBorders>
              <w:top w:val="nil"/>
              <w:left w:val="nil"/>
              <w:bottom w:val="nil"/>
              <w:right w:val="nil"/>
            </w:tcBorders>
            <w:shd w:val="clear" w:color="000000" w:fill="FFFFFF"/>
            <w:noWrap/>
            <w:vAlign w:val="bottom"/>
            <w:hideMark/>
          </w:tcPr>
          <w:p w14:paraId="0ED07F5D"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(101.934.258)</w:t>
            </w:r>
          </w:p>
        </w:tc>
      </w:tr>
      <w:tr w:rsidR="00AF45DE" w:rsidRPr="00AF45DE" w14:paraId="1C15A3B8" w14:textId="77777777" w:rsidTr="00AF45DE">
        <w:trPr>
          <w:trHeight w:hRule="exact" w:val="227"/>
        </w:trPr>
        <w:tc>
          <w:tcPr>
            <w:tcW w:w="1739" w:type="pct"/>
            <w:tcBorders>
              <w:top w:val="nil"/>
              <w:left w:val="nil"/>
              <w:bottom w:val="nil"/>
              <w:right w:val="nil"/>
            </w:tcBorders>
            <w:shd w:val="clear" w:color="auto" w:fill="auto"/>
            <w:noWrap/>
            <w:vAlign w:val="bottom"/>
            <w:hideMark/>
          </w:tcPr>
          <w:p w14:paraId="386CCA03" w14:textId="77777777" w:rsidR="00AF45DE" w:rsidRPr="00AF45DE" w:rsidRDefault="00AF45DE">
            <w:pPr>
              <w:rPr>
                <w:rFonts w:asciiTheme="majorHAnsi" w:hAnsiTheme="majorHAnsi" w:cstheme="majorHAnsi"/>
                <w:b/>
                <w:bCs/>
                <w:sz w:val="16"/>
                <w:szCs w:val="16"/>
              </w:rPr>
            </w:pPr>
          </w:p>
        </w:tc>
        <w:tc>
          <w:tcPr>
            <w:tcW w:w="53" w:type="pct"/>
            <w:tcBorders>
              <w:top w:val="nil"/>
              <w:left w:val="nil"/>
              <w:bottom w:val="nil"/>
              <w:right w:val="nil"/>
            </w:tcBorders>
            <w:shd w:val="clear" w:color="auto" w:fill="auto"/>
            <w:noWrap/>
            <w:vAlign w:val="bottom"/>
            <w:hideMark/>
          </w:tcPr>
          <w:p w14:paraId="408EAEA1" w14:textId="77777777" w:rsidR="00AF45DE" w:rsidRPr="00AF45DE" w:rsidRDefault="00AF45DE">
            <w:pPr>
              <w:rPr>
                <w:rFonts w:asciiTheme="majorHAnsi" w:hAnsiTheme="majorHAnsi" w:cstheme="majorHAnsi"/>
                <w:sz w:val="16"/>
                <w:szCs w:val="16"/>
              </w:rPr>
            </w:pPr>
          </w:p>
        </w:tc>
        <w:tc>
          <w:tcPr>
            <w:tcW w:w="796" w:type="pct"/>
            <w:tcBorders>
              <w:top w:val="nil"/>
              <w:left w:val="nil"/>
              <w:bottom w:val="nil"/>
              <w:right w:val="nil"/>
            </w:tcBorders>
            <w:shd w:val="clear" w:color="auto" w:fill="auto"/>
            <w:noWrap/>
            <w:vAlign w:val="bottom"/>
            <w:hideMark/>
          </w:tcPr>
          <w:p w14:paraId="3CCE32A7" w14:textId="77777777" w:rsidR="00AF45DE" w:rsidRPr="00AF45DE" w:rsidRDefault="00AF45DE">
            <w:pPr>
              <w:rPr>
                <w:rFonts w:asciiTheme="majorHAnsi" w:hAnsiTheme="majorHAnsi" w:cstheme="majorHAnsi"/>
                <w:sz w:val="16"/>
                <w:szCs w:val="16"/>
              </w:rPr>
            </w:pPr>
          </w:p>
        </w:tc>
        <w:tc>
          <w:tcPr>
            <w:tcW w:w="780" w:type="pct"/>
            <w:tcBorders>
              <w:top w:val="nil"/>
              <w:left w:val="nil"/>
              <w:bottom w:val="nil"/>
              <w:right w:val="nil"/>
            </w:tcBorders>
            <w:shd w:val="clear" w:color="auto" w:fill="auto"/>
            <w:noWrap/>
            <w:vAlign w:val="bottom"/>
            <w:hideMark/>
          </w:tcPr>
          <w:p w14:paraId="4D79F42E" w14:textId="77777777" w:rsidR="00AF45DE" w:rsidRPr="00AF45DE" w:rsidRDefault="00AF45DE">
            <w:pPr>
              <w:rPr>
                <w:rFonts w:asciiTheme="majorHAnsi" w:hAnsiTheme="majorHAnsi" w:cstheme="majorHAnsi"/>
                <w:sz w:val="16"/>
                <w:szCs w:val="16"/>
              </w:rPr>
            </w:pPr>
          </w:p>
        </w:tc>
        <w:tc>
          <w:tcPr>
            <w:tcW w:w="792" w:type="pct"/>
            <w:tcBorders>
              <w:top w:val="nil"/>
              <w:left w:val="nil"/>
              <w:bottom w:val="nil"/>
              <w:right w:val="nil"/>
            </w:tcBorders>
            <w:shd w:val="clear" w:color="auto" w:fill="auto"/>
            <w:noWrap/>
            <w:vAlign w:val="bottom"/>
            <w:hideMark/>
          </w:tcPr>
          <w:p w14:paraId="5A995570" w14:textId="77777777" w:rsidR="00AF45DE" w:rsidRPr="00AF45DE" w:rsidRDefault="00AF45DE">
            <w:pPr>
              <w:jc w:val="right"/>
              <w:rPr>
                <w:rFonts w:asciiTheme="majorHAnsi" w:hAnsiTheme="majorHAnsi" w:cstheme="majorHAnsi"/>
                <w:sz w:val="16"/>
                <w:szCs w:val="16"/>
              </w:rPr>
            </w:pPr>
          </w:p>
        </w:tc>
        <w:tc>
          <w:tcPr>
            <w:tcW w:w="840" w:type="pct"/>
            <w:tcBorders>
              <w:top w:val="nil"/>
              <w:left w:val="nil"/>
              <w:bottom w:val="nil"/>
              <w:right w:val="nil"/>
            </w:tcBorders>
            <w:shd w:val="clear" w:color="auto" w:fill="auto"/>
            <w:noWrap/>
            <w:vAlign w:val="bottom"/>
            <w:hideMark/>
          </w:tcPr>
          <w:p w14:paraId="476F8387" w14:textId="77777777" w:rsidR="00AF45DE" w:rsidRPr="00AF45DE" w:rsidRDefault="00AF45DE">
            <w:pPr>
              <w:jc w:val="right"/>
              <w:rPr>
                <w:rFonts w:asciiTheme="majorHAnsi" w:hAnsiTheme="majorHAnsi" w:cstheme="majorHAnsi"/>
                <w:sz w:val="16"/>
                <w:szCs w:val="16"/>
              </w:rPr>
            </w:pPr>
          </w:p>
        </w:tc>
      </w:tr>
      <w:tr w:rsidR="00AF45DE" w:rsidRPr="00AF45DE" w14:paraId="1661453D" w14:textId="77777777" w:rsidTr="00AF45DE">
        <w:trPr>
          <w:trHeight w:hRule="exact" w:val="227"/>
        </w:trPr>
        <w:tc>
          <w:tcPr>
            <w:tcW w:w="5000" w:type="pct"/>
            <w:gridSpan w:val="6"/>
            <w:tcBorders>
              <w:top w:val="nil"/>
              <w:left w:val="nil"/>
              <w:bottom w:val="nil"/>
              <w:right w:val="nil"/>
            </w:tcBorders>
            <w:shd w:val="clear" w:color="auto" w:fill="auto"/>
            <w:noWrap/>
            <w:vAlign w:val="bottom"/>
            <w:hideMark/>
          </w:tcPr>
          <w:p w14:paraId="05367CE0" w14:textId="77777777" w:rsidR="00AF45DE" w:rsidRPr="00AF45DE" w:rsidRDefault="00AF45DE">
            <w:pPr>
              <w:jc w:val="center"/>
              <w:rPr>
                <w:rFonts w:asciiTheme="majorHAnsi" w:hAnsiTheme="majorHAnsi" w:cstheme="majorHAnsi"/>
                <w:sz w:val="16"/>
                <w:szCs w:val="16"/>
              </w:rPr>
            </w:pPr>
            <w:r w:rsidRPr="00AF45DE">
              <w:rPr>
                <w:rFonts w:asciiTheme="majorHAnsi" w:hAnsiTheme="majorHAnsi" w:cstheme="majorHAnsi"/>
                <w:sz w:val="16"/>
                <w:szCs w:val="16"/>
              </w:rPr>
              <w:t>(As Notas Explicativas são parte integrante das demonstrações contábeis intermediárias)</w:t>
            </w:r>
          </w:p>
        </w:tc>
      </w:tr>
    </w:tbl>
    <w:p w14:paraId="32F719BA" w14:textId="773D85F4" w:rsidR="00AF45DE" w:rsidRDefault="00AF45DE" w:rsidP="00AF45DE"/>
    <w:p w14:paraId="0E48D6E8" w14:textId="1B69401A" w:rsidR="00AF45DE" w:rsidRDefault="00AF45DE" w:rsidP="00AF45DE"/>
    <w:p w14:paraId="2FCCD34E" w14:textId="5FD3111B" w:rsidR="00AF45DE" w:rsidRDefault="00AF45DE" w:rsidP="00AF45DE"/>
    <w:p w14:paraId="3F44145F" w14:textId="31CE5901" w:rsidR="00AF45DE" w:rsidRDefault="00AF45DE" w:rsidP="00AF45DE"/>
    <w:p w14:paraId="543942B2" w14:textId="33C07D82" w:rsidR="00AF45DE" w:rsidRDefault="00AF45DE" w:rsidP="00AF45DE"/>
    <w:p w14:paraId="7A9BABB4" w14:textId="41172388" w:rsidR="00AF45DE" w:rsidRDefault="00AF45DE" w:rsidP="00AF45DE"/>
    <w:p w14:paraId="2FBAFE16" w14:textId="33B25820" w:rsidR="00AF45DE" w:rsidRDefault="00AF45DE" w:rsidP="00AF45DE"/>
    <w:p w14:paraId="5BEB9E10" w14:textId="791BAEDD" w:rsidR="00AF45DE" w:rsidRDefault="00AF45DE" w:rsidP="00AF45DE"/>
    <w:p w14:paraId="3610596F" w14:textId="2C43C89F" w:rsidR="00AF45DE" w:rsidRDefault="00AF45DE" w:rsidP="00AF45DE"/>
    <w:p w14:paraId="3F7458AC" w14:textId="6D7AA150" w:rsidR="00AF45DE" w:rsidRDefault="00AF45DE" w:rsidP="00AF45DE"/>
    <w:p w14:paraId="148B6A4F" w14:textId="437A1012" w:rsidR="00AF45DE" w:rsidRDefault="00AF45DE" w:rsidP="00AF45DE"/>
    <w:p w14:paraId="3CC7654C" w14:textId="4885D785" w:rsidR="00AF45DE" w:rsidRDefault="00AF45DE" w:rsidP="00AF45DE"/>
    <w:p w14:paraId="51A9EB06" w14:textId="7EAA199F" w:rsidR="00AF45DE" w:rsidRDefault="00AF45DE" w:rsidP="00AF45DE"/>
    <w:p w14:paraId="5EA5DDCC" w14:textId="1C3AD0D3" w:rsidR="00AF45DE" w:rsidRDefault="00AF45DE" w:rsidP="00AF45DE"/>
    <w:p w14:paraId="1769EFD8" w14:textId="5622E5FE" w:rsidR="00AF45DE" w:rsidRDefault="00AF45DE" w:rsidP="00AF45DE"/>
    <w:p w14:paraId="13DE27C7" w14:textId="4CA8C35A" w:rsidR="00AF45DE" w:rsidRDefault="00AF45DE" w:rsidP="00AF45DE"/>
    <w:p w14:paraId="015B272B" w14:textId="20FA5D70" w:rsidR="00AF45DE" w:rsidRDefault="00AF45DE" w:rsidP="00AF45DE"/>
    <w:p w14:paraId="3FDF49BC" w14:textId="741C918A" w:rsidR="00AF45DE" w:rsidRDefault="00AF45DE" w:rsidP="00AF45DE"/>
    <w:p w14:paraId="0708545F" w14:textId="65997017" w:rsidR="00AF45DE" w:rsidRDefault="00AF45DE" w:rsidP="00AF45DE"/>
    <w:p w14:paraId="4A6E094E" w14:textId="7A67E533" w:rsidR="00AF45DE" w:rsidRDefault="00AF45DE" w:rsidP="00AF45DE"/>
    <w:p w14:paraId="7ED0DCFF" w14:textId="2DBB0C10" w:rsidR="00AF45DE" w:rsidRDefault="00AF45DE" w:rsidP="00AF45DE"/>
    <w:p w14:paraId="7BCA8B2A" w14:textId="2449C3CB" w:rsidR="00AF45DE" w:rsidRDefault="00AF45DE" w:rsidP="00AF45DE"/>
    <w:p w14:paraId="3CE90E33" w14:textId="53D290FE" w:rsidR="00AF45DE" w:rsidRDefault="00AF45DE" w:rsidP="00AF45DE"/>
    <w:p w14:paraId="501151A4" w14:textId="4375D399" w:rsidR="00AF45DE" w:rsidRDefault="00AF45DE" w:rsidP="00AF45DE"/>
    <w:p w14:paraId="1A437850" w14:textId="296B65D6" w:rsidR="00AF45DE" w:rsidRDefault="00AF45DE" w:rsidP="00AF45DE"/>
    <w:p w14:paraId="182E953E" w14:textId="4E201E79" w:rsidR="00AF45DE" w:rsidRDefault="00AF45DE" w:rsidP="00AF45DE"/>
    <w:p w14:paraId="413DF594" w14:textId="0102FEA5" w:rsidR="00AF45DE" w:rsidRDefault="00AF45DE" w:rsidP="00AF45DE"/>
    <w:p w14:paraId="6AEFA52E" w14:textId="06A0BA1F" w:rsidR="00AF45DE" w:rsidRDefault="00AF45DE" w:rsidP="00AF45DE"/>
    <w:p w14:paraId="5F10DF32" w14:textId="254F7A40" w:rsidR="00AF45DE" w:rsidRDefault="00AF45DE" w:rsidP="00AF45DE"/>
    <w:p w14:paraId="7511B11A" w14:textId="42C43A11" w:rsidR="00AF45DE" w:rsidRDefault="00AF45DE" w:rsidP="00AF45DE"/>
    <w:p w14:paraId="7CF46F52" w14:textId="485F9220" w:rsidR="00AF45DE" w:rsidRDefault="00AF45DE" w:rsidP="00AF45DE"/>
    <w:p w14:paraId="1575C0DA" w14:textId="61741BE6" w:rsidR="00AF45DE" w:rsidRDefault="00AF45DE" w:rsidP="00AF45DE"/>
    <w:p w14:paraId="3E5F22F1" w14:textId="62CC4FF7" w:rsidR="00AF45DE" w:rsidRDefault="00AF45DE" w:rsidP="00AF45DE"/>
    <w:p w14:paraId="53249D75" w14:textId="3EB96C78" w:rsidR="00AF45DE" w:rsidRDefault="00AF45DE" w:rsidP="00AF45DE"/>
    <w:p w14:paraId="6A82FEB3" w14:textId="3E720154" w:rsidR="00AF45DE" w:rsidRDefault="00AF45DE" w:rsidP="00AF45DE"/>
    <w:p w14:paraId="36A9C75C" w14:textId="2A51F814" w:rsidR="00AF45DE" w:rsidRDefault="00AF45DE" w:rsidP="00AF45DE"/>
    <w:p w14:paraId="25A6E112" w14:textId="0E154629" w:rsidR="00AF45DE" w:rsidRDefault="00AF45DE" w:rsidP="00AF45DE"/>
    <w:tbl>
      <w:tblPr>
        <w:tblW w:w="5053" w:type="pct"/>
        <w:tblCellMar>
          <w:left w:w="70" w:type="dxa"/>
          <w:right w:w="70" w:type="dxa"/>
        </w:tblCellMar>
        <w:tblLook w:val="04A0" w:firstRow="1" w:lastRow="0" w:firstColumn="1" w:lastColumn="0" w:noHBand="0" w:noVBand="1"/>
      </w:tblPr>
      <w:tblGrid>
        <w:gridCol w:w="3234"/>
        <w:gridCol w:w="1347"/>
        <w:gridCol w:w="1924"/>
        <w:gridCol w:w="1799"/>
        <w:gridCol w:w="2274"/>
      </w:tblGrid>
      <w:tr w:rsidR="00AF45DE" w:rsidRPr="00AF45DE" w14:paraId="3D893BEF" w14:textId="77777777" w:rsidTr="00AF45DE">
        <w:trPr>
          <w:trHeight w:hRule="exact" w:val="227"/>
        </w:trPr>
        <w:tc>
          <w:tcPr>
            <w:tcW w:w="4999" w:type="pct"/>
            <w:gridSpan w:val="5"/>
            <w:tcBorders>
              <w:top w:val="nil"/>
              <w:left w:val="nil"/>
              <w:bottom w:val="nil"/>
              <w:right w:val="nil"/>
            </w:tcBorders>
            <w:shd w:val="clear" w:color="auto" w:fill="auto"/>
            <w:noWrap/>
            <w:vAlign w:val="bottom"/>
            <w:hideMark/>
          </w:tcPr>
          <w:p w14:paraId="01448AB0"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lastRenderedPageBreak/>
              <w:t xml:space="preserve">DEMONSTRAÇÕES DAS MUTAÇÕES DO PATRIMÔNIO LÍQUIDO </w:t>
            </w:r>
          </w:p>
        </w:tc>
      </w:tr>
      <w:tr w:rsidR="00AF45DE" w:rsidRPr="00AF45DE" w14:paraId="5902C70D" w14:textId="77777777" w:rsidTr="00AF45DE">
        <w:trPr>
          <w:trHeight w:hRule="exact" w:val="227"/>
        </w:trPr>
        <w:tc>
          <w:tcPr>
            <w:tcW w:w="4999" w:type="pct"/>
            <w:gridSpan w:val="5"/>
            <w:tcBorders>
              <w:top w:val="nil"/>
              <w:left w:val="nil"/>
              <w:bottom w:val="nil"/>
              <w:right w:val="nil"/>
            </w:tcBorders>
            <w:shd w:val="clear" w:color="auto" w:fill="auto"/>
            <w:noWrap/>
            <w:vAlign w:val="bottom"/>
            <w:hideMark/>
          </w:tcPr>
          <w:p w14:paraId="54CD09EE"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3º TRIMESTRE 2022</w:t>
            </w:r>
          </w:p>
        </w:tc>
      </w:tr>
      <w:tr w:rsidR="00AF45DE" w:rsidRPr="00AF45DE" w14:paraId="0CD50A9D" w14:textId="77777777" w:rsidTr="00AF45DE">
        <w:trPr>
          <w:trHeight w:hRule="exact" w:val="227"/>
        </w:trPr>
        <w:tc>
          <w:tcPr>
            <w:tcW w:w="4999" w:type="pct"/>
            <w:gridSpan w:val="5"/>
            <w:tcBorders>
              <w:top w:val="nil"/>
              <w:left w:val="nil"/>
              <w:bottom w:val="nil"/>
              <w:right w:val="nil"/>
            </w:tcBorders>
            <w:shd w:val="clear" w:color="auto" w:fill="auto"/>
            <w:noWrap/>
            <w:vAlign w:val="bottom"/>
            <w:hideMark/>
          </w:tcPr>
          <w:p w14:paraId="5A9B2486"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Em R$ 1</w:t>
            </w:r>
          </w:p>
        </w:tc>
      </w:tr>
      <w:tr w:rsidR="00AF45DE" w:rsidRPr="00AF45DE" w14:paraId="368667EB" w14:textId="77777777" w:rsidTr="00AF45DE">
        <w:trPr>
          <w:trHeight w:hRule="exact" w:val="227"/>
        </w:trPr>
        <w:tc>
          <w:tcPr>
            <w:tcW w:w="1542" w:type="pct"/>
            <w:tcBorders>
              <w:top w:val="nil"/>
              <w:left w:val="nil"/>
              <w:bottom w:val="nil"/>
              <w:right w:val="nil"/>
            </w:tcBorders>
            <w:shd w:val="clear" w:color="auto" w:fill="auto"/>
            <w:noWrap/>
            <w:vAlign w:val="bottom"/>
            <w:hideMark/>
          </w:tcPr>
          <w:p w14:paraId="6404EC05" w14:textId="77777777" w:rsidR="00AF45DE" w:rsidRPr="00AF45DE" w:rsidRDefault="00AF45DE">
            <w:pPr>
              <w:jc w:val="center"/>
              <w:rPr>
                <w:rFonts w:asciiTheme="majorHAnsi" w:hAnsiTheme="majorHAnsi" w:cstheme="majorHAnsi"/>
                <w:b/>
                <w:bCs/>
                <w:sz w:val="16"/>
                <w:szCs w:val="16"/>
              </w:rPr>
            </w:pPr>
          </w:p>
        </w:tc>
        <w:tc>
          <w:tcPr>
            <w:tcW w:w="634" w:type="pct"/>
            <w:tcBorders>
              <w:top w:val="nil"/>
              <w:left w:val="nil"/>
              <w:bottom w:val="nil"/>
              <w:right w:val="nil"/>
            </w:tcBorders>
            <w:shd w:val="clear" w:color="auto" w:fill="auto"/>
            <w:noWrap/>
            <w:vAlign w:val="bottom"/>
            <w:hideMark/>
          </w:tcPr>
          <w:p w14:paraId="2BDF647E" w14:textId="77777777" w:rsidR="00AF45DE" w:rsidRPr="00AF45DE" w:rsidRDefault="00AF45DE">
            <w:pPr>
              <w:rPr>
                <w:rFonts w:asciiTheme="majorHAnsi" w:hAnsiTheme="majorHAnsi" w:cstheme="majorHAnsi"/>
                <w:sz w:val="16"/>
                <w:szCs w:val="16"/>
              </w:rPr>
            </w:pPr>
          </w:p>
        </w:tc>
        <w:tc>
          <w:tcPr>
            <w:tcW w:w="906" w:type="pct"/>
            <w:tcBorders>
              <w:top w:val="nil"/>
              <w:left w:val="nil"/>
              <w:bottom w:val="nil"/>
              <w:right w:val="nil"/>
            </w:tcBorders>
            <w:shd w:val="clear" w:color="auto" w:fill="auto"/>
            <w:noWrap/>
            <w:vAlign w:val="bottom"/>
            <w:hideMark/>
          </w:tcPr>
          <w:p w14:paraId="341F0619" w14:textId="77777777" w:rsidR="00AF45DE" w:rsidRPr="00AF45DE" w:rsidRDefault="00AF45DE">
            <w:pPr>
              <w:rPr>
                <w:rFonts w:asciiTheme="majorHAnsi" w:hAnsiTheme="majorHAnsi" w:cstheme="majorHAnsi"/>
                <w:sz w:val="16"/>
                <w:szCs w:val="16"/>
              </w:rPr>
            </w:pPr>
          </w:p>
        </w:tc>
        <w:tc>
          <w:tcPr>
            <w:tcW w:w="847" w:type="pct"/>
            <w:tcBorders>
              <w:top w:val="nil"/>
              <w:left w:val="nil"/>
              <w:bottom w:val="nil"/>
              <w:right w:val="nil"/>
            </w:tcBorders>
            <w:shd w:val="clear" w:color="auto" w:fill="auto"/>
            <w:noWrap/>
            <w:vAlign w:val="bottom"/>
            <w:hideMark/>
          </w:tcPr>
          <w:p w14:paraId="2539BC22" w14:textId="77777777" w:rsidR="00AF45DE" w:rsidRPr="00AF45DE" w:rsidRDefault="00AF45DE">
            <w:pPr>
              <w:rPr>
                <w:rFonts w:asciiTheme="majorHAnsi" w:hAnsiTheme="majorHAnsi" w:cstheme="majorHAnsi"/>
                <w:sz w:val="16"/>
                <w:szCs w:val="16"/>
              </w:rPr>
            </w:pPr>
          </w:p>
        </w:tc>
        <w:tc>
          <w:tcPr>
            <w:tcW w:w="1071" w:type="pct"/>
            <w:tcBorders>
              <w:top w:val="nil"/>
              <w:left w:val="nil"/>
              <w:bottom w:val="nil"/>
              <w:right w:val="nil"/>
            </w:tcBorders>
            <w:shd w:val="clear" w:color="auto" w:fill="auto"/>
            <w:noWrap/>
            <w:vAlign w:val="bottom"/>
            <w:hideMark/>
          </w:tcPr>
          <w:p w14:paraId="32F33008" w14:textId="77777777" w:rsidR="00AF45DE" w:rsidRPr="00AF45DE" w:rsidRDefault="00AF45DE">
            <w:pPr>
              <w:rPr>
                <w:rFonts w:asciiTheme="majorHAnsi" w:hAnsiTheme="majorHAnsi" w:cstheme="majorHAnsi"/>
                <w:sz w:val="16"/>
                <w:szCs w:val="16"/>
              </w:rPr>
            </w:pPr>
          </w:p>
        </w:tc>
      </w:tr>
      <w:tr w:rsidR="00AF45DE" w:rsidRPr="00AF45DE" w14:paraId="7B8F8FE3" w14:textId="77777777" w:rsidTr="00AF45DE">
        <w:trPr>
          <w:trHeight w:hRule="exact" w:val="227"/>
        </w:trPr>
        <w:tc>
          <w:tcPr>
            <w:tcW w:w="1542" w:type="pct"/>
            <w:tcBorders>
              <w:top w:val="single" w:sz="8" w:space="0" w:color="auto"/>
              <w:left w:val="single" w:sz="8" w:space="0" w:color="auto"/>
              <w:bottom w:val="nil"/>
              <w:right w:val="single" w:sz="8" w:space="0" w:color="auto"/>
            </w:tcBorders>
            <w:shd w:val="clear" w:color="auto" w:fill="auto"/>
            <w:noWrap/>
            <w:vAlign w:val="bottom"/>
            <w:hideMark/>
          </w:tcPr>
          <w:p w14:paraId="5D4D6102"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 </w:t>
            </w:r>
          </w:p>
        </w:tc>
        <w:tc>
          <w:tcPr>
            <w:tcW w:w="634" w:type="pct"/>
            <w:tcBorders>
              <w:top w:val="single" w:sz="8" w:space="0" w:color="auto"/>
              <w:left w:val="nil"/>
              <w:bottom w:val="nil"/>
              <w:right w:val="single" w:sz="8" w:space="0" w:color="auto"/>
            </w:tcBorders>
            <w:shd w:val="clear" w:color="auto" w:fill="auto"/>
            <w:noWrap/>
            <w:vAlign w:val="bottom"/>
            <w:hideMark/>
          </w:tcPr>
          <w:p w14:paraId="7C8F843B"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Capital</w:t>
            </w:r>
          </w:p>
        </w:tc>
        <w:tc>
          <w:tcPr>
            <w:tcW w:w="906" w:type="pct"/>
            <w:tcBorders>
              <w:top w:val="single" w:sz="8" w:space="0" w:color="auto"/>
              <w:left w:val="nil"/>
              <w:bottom w:val="nil"/>
              <w:right w:val="single" w:sz="8" w:space="0" w:color="auto"/>
            </w:tcBorders>
            <w:shd w:val="clear" w:color="auto" w:fill="auto"/>
            <w:noWrap/>
            <w:vAlign w:val="bottom"/>
            <w:hideMark/>
          </w:tcPr>
          <w:p w14:paraId="28D0CAF7"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Adiantamento</w:t>
            </w:r>
          </w:p>
        </w:tc>
        <w:tc>
          <w:tcPr>
            <w:tcW w:w="847" w:type="pct"/>
            <w:tcBorders>
              <w:top w:val="single" w:sz="8" w:space="0" w:color="auto"/>
              <w:left w:val="nil"/>
              <w:bottom w:val="nil"/>
              <w:right w:val="single" w:sz="8" w:space="0" w:color="auto"/>
            </w:tcBorders>
            <w:shd w:val="clear" w:color="auto" w:fill="auto"/>
            <w:noWrap/>
            <w:vAlign w:val="bottom"/>
            <w:hideMark/>
          </w:tcPr>
          <w:p w14:paraId="6D071F33"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Lucros ou</w:t>
            </w:r>
          </w:p>
        </w:tc>
        <w:tc>
          <w:tcPr>
            <w:tcW w:w="1071" w:type="pct"/>
            <w:tcBorders>
              <w:top w:val="single" w:sz="8" w:space="0" w:color="auto"/>
              <w:left w:val="nil"/>
              <w:bottom w:val="nil"/>
              <w:right w:val="single" w:sz="8" w:space="0" w:color="auto"/>
            </w:tcBorders>
            <w:shd w:val="clear" w:color="auto" w:fill="auto"/>
            <w:noWrap/>
            <w:vAlign w:val="bottom"/>
            <w:hideMark/>
          </w:tcPr>
          <w:p w14:paraId="4544CD94"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 </w:t>
            </w:r>
          </w:p>
        </w:tc>
      </w:tr>
      <w:tr w:rsidR="00AF45DE" w:rsidRPr="00AF45DE" w14:paraId="4BA655A1" w14:textId="77777777" w:rsidTr="00AF45DE">
        <w:trPr>
          <w:trHeight w:hRule="exact" w:val="227"/>
        </w:trPr>
        <w:tc>
          <w:tcPr>
            <w:tcW w:w="1542" w:type="pct"/>
            <w:tcBorders>
              <w:top w:val="nil"/>
              <w:left w:val="single" w:sz="8" w:space="0" w:color="auto"/>
              <w:bottom w:val="nil"/>
              <w:right w:val="single" w:sz="8" w:space="0" w:color="auto"/>
            </w:tcBorders>
            <w:shd w:val="clear" w:color="auto" w:fill="auto"/>
            <w:noWrap/>
            <w:vAlign w:val="bottom"/>
            <w:hideMark/>
          </w:tcPr>
          <w:p w14:paraId="4D8FF199"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w:t>
            </w:r>
            <w:r w:rsidRPr="00AF45DE">
              <w:rPr>
                <w:rFonts w:asciiTheme="majorHAnsi" w:hAnsiTheme="majorHAnsi" w:cstheme="majorHAnsi"/>
                <w:b/>
                <w:bCs/>
                <w:sz w:val="16"/>
                <w:szCs w:val="16"/>
              </w:rPr>
              <w:t>Classificação</w:t>
            </w:r>
          </w:p>
        </w:tc>
        <w:tc>
          <w:tcPr>
            <w:tcW w:w="634" w:type="pct"/>
            <w:tcBorders>
              <w:top w:val="nil"/>
              <w:left w:val="nil"/>
              <w:bottom w:val="nil"/>
              <w:right w:val="single" w:sz="8" w:space="0" w:color="auto"/>
            </w:tcBorders>
            <w:shd w:val="clear" w:color="auto" w:fill="auto"/>
            <w:noWrap/>
            <w:vAlign w:val="bottom"/>
            <w:hideMark/>
          </w:tcPr>
          <w:p w14:paraId="2634576C"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Social</w:t>
            </w:r>
          </w:p>
        </w:tc>
        <w:tc>
          <w:tcPr>
            <w:tcW w:w="906" w:type="pct"/>
            <w:tcBorders>
              <w:top w:val="nil"/>
              <w:left w:val="nil"/>
              <w:bottom w:val="nil"/>
              <w:right w:val="single" w:sz="8" w:space="0" w:color="auto"/>
            </w:tcBorders>
            <w:shd w:val="clear" w:color="auto" w:fill="auto"/>
            <w:noWrap/>
            <w:vAlign w:val="bottom"/>
            <w:hideMark/>
          </w:tcPr>
          <w:p w14:paraId="410A7FBC"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para Futuro Aumento</w:t>
            </w:r>
          </w:p>
        </w:tc>
        <w:tc>
          <w:tcPr>
            <w:tcW w:w="847" w:type="pct"/>
            <w:tcBorders>
              <w:top w:val="nil"/>
              <w:left w:val="nil"/>
              <w:bottom w:val="nil"/>
              <w:right w:val="single" w:sz="8" w:space="0" w:color="auto"/>
            </w:tcBorders>
            <w:shd w:val="clear" w:color="auto" w:fill="auto"/>
            <w:noWrap/>
            <w:vAlign w:val="bottom"/>
            <w:hideMark/>
          </w:tcPr>
          <w:p w14:paraId="4AD31D4C"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Prejuízos</w:t>
            </w:r>
          </w:p>
        </w:tc>
        <w:tc>
          <w:tcPr>
            <w:tcW w:w="1071" w:type="pct"/>
            <w:tcBorders>
              <w:top w:val="nil"/>
              <w:left w:val="nil"/>
              <w:bottom w:val="nil"/>
              <w:right w:val="single" w:sz="8" w:space="0" w:color="auto"/>
            </w:tcBorders>
            <w:shd w:val="clear" w:color="auto" w:fill="auto"/>
            <w:noWrap/>
            <w:vAlign w:val="bottom"/>
            <w:hideMark/>
          </w:tcPr>
          <w:p w14:paraId="2017C9D3"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Total</w:t>
            </w:r>
          </w:p>
        </w:tc>
      </w:tr>
      <w:tr w:rsidR="00AF45DE" w:rsidRPr="00AF45DE" w14:paraId="28625761" w14:textId="77777777" w:rsidTr="00AF45DE">
        <w:trPr>
          <w:trHeight w:hRule="exact" w:val="227"/>
        </w:trPr>
        <w:tc>
          <w:tcPr>
            <w:tcW w:w="1542" w:type="pct"/>
            <w:tcBorders>
              <w:top w:val="nil"/>
              <w:left w:val="single" w:sz="8" w:space="0" w:color="auto"/>
              <w:bottom w:val="single" w:sz="4" w:space="0" w:color="auto"/>
              <w:right w:val="single" w:sz="8" w:space="0" w:color="auto"/>
            </w:tcBorders>
            <w:shd w:val="clear" w:color="auto" w:fill="auto"/>
            <w:noWrap/>
            <w:vAlign w:val="bottom"/>
            <w:hideMark/>
          </w:tcPr>
          <w:p w14:paraId="472FE13F"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w:t>
            </w:r>
          </w:p>
        </w:tc>
        <w:tc>
          <w:tcPr>
            <w:tcW w:w="634" w:type="pct"/>
            <w:tcBorders>
              <w:top w:val="nil"/>
              <w:left w:val="nil"/>
              <w:bottom w:val="nil"/>
              <w:right w:val="single" w:sz="8" w:space="0" w:color="auto"/>
            </w:tcBorders>
            <w:shd w:val="clear" w:color="auto" w:fill="auto"/>
            <w:noWrap/>
            <w:vAlign w:val="bottom"/>
            <w:hideMark/>
          </w:tcPr>
          <w:p w14:paraId="12E10CF9"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w:t>
            </w:r>
          </w:p>
        </w:tc>
        <w:tc>
          <w:tcPr>
            <w:tcW w:w="906" w:type="pct"/>
            <w:tcBorders>
              <w:top w:val="nil"/>
              <w:left w:val="nil"/>
              <w:bottom w:val="nil"/>
              <w:right w:val="single" w:sz="8" w:space="0" w:color="auto"/>
            </w:tcBorders>
            <w:shd w:val="clear" w:color="auto" w:fill="auto"/>
            <w:noWrap/>
            <w:vAlign w:val="bottom"/>
            <w:hideMark/>
          </w:tcPr>
          <w:p w14:paraId="5EBB7330"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de Capital</w:t>
            </w:r>
          </w:p>
        </w:tc>
        <w:tc>
          <w:tcPr>
            <w:tcW w:w="847" w:type="pct"/>
            <w:tcBorders>
              <w:top w:val="nil"/>
              <w:left w:val="nil"/>
              <w:bottom w:val="nil"/>
              <w:right w:val="single" w:sz="8" w:space="0" w:color="auto"/>
            </w:tcBorders>
            <w:shd w:val="clear" w:color="auto" w:fill="auto"/>
            <w:noWrap/>
            <w:vAlign w:val="bottom"/>
            <w:hideMark/>
          </w:tcPr>
          <w:p w14:paraId="583EE442"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Acumulados</w:t>
            </w:r>
          </w:p>
        </w:tc>
        <w:tc>
          <w:tcPr>
            <w:tcW w:w="1071" w:type="pct"/>
            <w:tcBorders>
              <w:top w:val="nil"/>
              <w:left w:val="nil"/>
              <w:bottom w:val="single" w:sz="4" w:space="0" w:color="auto"/>
              <w:right w:val="single" w:sz="8" w:space="0" w:color="auto"/>
            </w:tcBorders>
            <w:shd w:val="clear" w:color="auto" w:fill="auto"/>
            <w:noWrap/>
            <w:vAlign w:val="bottom"/>
            <w:hideMark/>
          </w:tcPr>
          <w:p w14:paraId="7FC7A06C"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 </w:t>
            </w:r>
          </w:p>
        </w:tc>
      </w:tr>
      <w:tr w:rsidR="00AF45DE" w:rsidRPr="00AF45DE" w14:paraId="422B5D34" w14:textId="77777777" w:rsidTr="00AF45DE">
        <w:trPr>
          <w:trHeight w:hRule="exact" w:val="227"/>
        </w:trPr>
        <w:tc>
          <w:tcPr>
            <w:tcW w:w="1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BEFFB9"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Saldo em 01 de janeiro de 2021</w:t>
            </w:r>
          </w:p>
        </w:tc>
        <w:tc>
          <w:tcPr>
            <w:tcW w:w="634" w:type="pct"/>
            <w:tcBorders>
              <w:top w:val="single" w:sz="8" w:space="0" w:color="auto"/>
              <w:left w:val="nil"/>
              <w:bottom w:val="single" w:sz="8" w:space="0" w:color="auto"/>
              <w:right w:val="single" w:sz="8" w:space="0" w:color="auto"/>
            </w:tcBorders>
            <w:shd w:val="clear" w:color="auto" w:fill="auto"/>
            <w:noWrap/>
            <w:vAlign w:val="bottom"/>
            <w:hideMark/>
          </w:tcPr>
          <w:p w14:paraId="3D655418"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22.233.502.272</w:t>
            </w:r>
          </w:p>
        </w:tc>
        <w:tc>
          <w:tcPr>
            <w:tcW w:w="906" w:type="pct"/>
            <w:tcBorders>
              <w:top w:val="single" w:sz="8" w:space="0" w:color="auto"/>
              <w:left w:val="nil"/>
              <w:bottom w:val="single" w:sz="8" w:space="0" w:color="auto"/>
              <w:right w:val="single" w:sz="8" w:space="0" w:color="auto"/>
            </w:tcBorders>
            <w:shd w:val="clear" w:color="auto" w:fill="auto"/>
            <w:noWrap/>
            <w:vAlign w:val="bottom"/>
            <w:hideMark/>
          </w:tcPr>
          <w:p w14:paraId="7357E82B"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903.489.907 </w:t>
            </w:r>
          </w:p>
        </w:tc>
        <w:tc>
          <w:tcPr>
            <w:tcW w:w="847" w:type="pct"/>
            <w:tcBorders>
              <w:top w:val="single" w:sz="8" w:space="0" w:color="auto"/>
              <w:left w:val="nil"/>
              <w:bottom w:val="single" w:sz="8" w:space="0" w:color="auto"/>
              <w:right w:val="nil"/>
            </w:tcBorders>
            <w:shd w:val="clear" w:color="auto" w:fill="auto"/>
            <w:noWrap/>
            <w:vAlign w:val="bottom"/>
            <w:hideMark/>
          </w:tcPr>
          <w:p w14:paraId="0E72B674"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(20.254.287.649)</w:t>
            </w:r>
          </w:p>
        </w:tc>
        <w:tc>
          <w:tcPr>
            <w:tcW w:w="107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CE4B4B"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2.882.704.530 </w:t>
            </w:r>
          </w:p>
        </w:tc>
      </w:tr>
      <w:tr w:rsidR="00AF45DE" w:rsidRPr="00AF45DE" w14:paraId="46219F11" w14:textId="77777777" w:rsidTr="00AF45DE">
        <w:trPr>
          <w:trHeight w:hRule="exact" w:val="227"/>
        </w:trPr>
        <w:tc>
          <w:tcPr>
            <w:tcW w:w="1542" w:type="pct"/>
            <w:tcBorders>
              <w:top w:val="nil"/>
              <w:left w:val="single" w:sz="8" w:space="0" w:color="auto"/>
              <w:bottom w:val="nil"/>
              <w:right w:val="single" w:sz="8" w:space="0" w:color="auto"/>
            </w:tcBorders>
            <w:shd w:val="clear" w:color="auto" w:fill="auto"/>
            <w:noWrap/>
            <w:vAlign w:val="bottom"/>
            <w:hideMark/>
          </w:tcPr>
          <w:p w14:paraId="14A36F62"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Resultado Líquido do Período</w:t>
            </w:r>
          </w:p>
        </w:tc>
        <w:tc>
          <w:tcPr>
            <w:tcW w:w="634" w:type="pct"/>
            <w:tcBorders>
              <w:top w:val="nil"/>
              <w:left w:val="nil"/>
              <w:bottom w:val="nil"/>
              <w:right w:val="single" w:sz="8" w:space="0" w:color="auto"/>
            </w:tcBorders>
            <w:shd w:val="clear" w:color="auto" w:fill="auto"/>
            <w:noWrap/>
            <w:vAlign w:val="bottom"/>
            <w:hideMark/>
          </w:tcPr>
          <w:p w14:paraId="5CF4ADC2"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906" w:type="pct"/>
            <w:tcBorders>
              <w:top w:val="nil"/>
              <w:left w:val="nil"/>
              <w:bottom w:val="nil"/>
              <w:right w:val="nil"/>
            </w:tcBorders>
            <w:shd w:val="clear" w:color="auto" w:fill="auto"/>
            <w:noWrap/>
            <w:vAlign w:val="bottom"/>
            <w:hideMark/>
          </w:tcPr>
          <w:p w14:paraId="31BADD4B"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847" w:type="pct"/>
            <w:tcBorders>
              <w:top w:val="nil"/>
              <w:left w:val="single" w:sz="8" w:space="0" w:color="auto"/>
              <w:bottom w:val="nil"/>
              <w:right w:val="single" w:sz="8" w:space="0" w:color="auto"/>
            </w:tcBorders>
            <w:shd w:val="clear" w:color="auto" w:fill="auto"/>
            <w:noWrap/>
            <w:vAlign w:val="bottom"/>
            <w:hideMark/>
          </w:tcPr>
          <w:p w14:paraId="68C85CB6"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(101.934.258)</w:t>
            </w:r>
          </w:p>
        </w:tc>
        <w:tc>
          <w:tcPr>
            <w:tcW w:w="1071" w:type="pct"/>
            <w:tcBorders>
              <w:top w:val="nil"/>
              <w:left w:val="nil"/>
              <w:bottom w:val="nil"/>
              <w:right w:val="single" w:sz="8" w:space="0" w:color="auto"/>
            </w:tcBorders>
            <w:shd w:val="clear" w:color="auto" w:fill="auto"/>
            <w:noWrap/>
            <w:vAlign w:val="bottom"/>
            <w:hideMark/>
          </w:tcPr>
          <w:p w14:paraId="6999A37B"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(101.934.258)</w:t>
            </w:r>
          </w:p>
        </w:tc>
      </w:tr>
      <w:tr w:rsidR="00AF45DE" w:rsidRPr="00AF45DE" w14:paraId="2E735D5C" w14:textId="77777777" w:rsidTr="00AF45DE">
        <w:trPr>
          <w:trHeight w:hRule="exact" w:val="227"/>
        </w:trPr>
        <w:tc>
          <w:tcPr>
            <w:tcW w:w="1542" w:type="pct"/>
            <w:tcBorders>
              <w:top w:val="nil"/>
              <w:left w:val="single" w:sz="8" w:space="0" w:color="auto"/>
              <w:bottom w:val="nil"/>
              <w:right w:val="single" w:sz="8" w:space="0" w:color="auto"/>
            </w:tcBorders>
            <w:shd w:val="clear" w:color="auto" w:fill="auto"/>
            <w:noWrap/>
            <w:vAlign w:val="bottom"/>
            <w:hideMark/>
          </w:tcPr>
          <w:p w14:paraId="12E032E9"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Adiantamento para Futuro Aumento de Capital</w:t>
            </w:r>
          </w:p>
        </w:tc>
        <w:tc>
          <w:tcPr>
            <w:tcW w:w="634" w:type="pct"/>
            <w:tcBorders>
              <w:top w:val="nil"/>
              <w:left w:val="nil"/>
              <w:bottom w:val="single" w:sz="8" w:space="0" w:color="auto"/>
              <w:right w:val="single" w:sz="8" w:space="0" w:color="auto"/>
            </w:tcBorders>
            <w:shd w:val="clear" w:color="auto" w:fill="auto"/>
            <w:noWrap/>
            <w:vAlign w:val="bottom"/>
            <w:hideMark/>
          </w:tcPr>
          <w:p w14:paraId="3E0DBF0E"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906" w:type="pct"/>
            <w:tcBorders>
              <w:top w:val="nil"/>
              <w:left w:val="nil"/>
              <w:bottom w:val="single" w:sz="8" w:space="0" w:color="auto"/>
              <w:right w:val="single" w:sz="8" w:space="0" w:color="auto"/>
            </w:tcBorders>
            <w:shd w:val="clear" w:color="auto" w:fill="auto"/>
            <w:noWrap/>
            <w:vAlign w:val="bottom"/>
            <w:hideMark/>
          </w:tcPr>
          <w:p w14:paraId="30674E95"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277.743.872 </w:t>
            </w:r>
          </w:p>
        </w:tc>
        <w:tc>
          <w:tcPr>
            <w:tcW w:w="847" w:type="pct"/>
            <w:tcBorders>
              <w:top w:val="nil"/>
              <w:left w:val="nil"/>
              <w:bottom w:val="nil"/>
              <w:right w:val="nil"/>
            </w:tcBorders>
            <w:shd w:val="clear" w:color="auto" w:fill="auto"/>
            <w:noWrap/>
            <w:vAlign w:val="bottom"/>
            <w:hideMark/>
          </w:tcPr>
          <w:p w14:paraId="063E8373"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1071" w:type="pct"/>
            <w:tcBorders>
              <w:top w:val="nil"/>
              <w:left w:val="single" w:sz="8" w:space="0" w:color="auto"/>
              <w:bottom w:val="single" w:sz="8" w:space="0" w:color="auto"/>
              <w:right w:val="single" w:sz="8" w:space="0" w:color="auto"/>
            </w:tcBorders>
            <w:shd w:val="clear" w:color="auto" w:fill="auto"/>
            <w:noWrap/>
            <w:vAlign w:val="bottom"/>
            <w:hideMark/>
          </w:tcPr>
          <w:p w14:paraId="274573AC"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277.743.872 </w:t>
            </w:r>
          </w:p>
        </w:tc>
      </w:tr>
      <w:tr w:rsidR="00AF45DE" w:rsidRPr="00AF45DE" w14:paraId="47A924B3" w14:textId="77777777" w:rsidTr="00AF45DE">
        <w:trPr>
          <w:trHeight w:hRule="exact" w:val="227"/>
        </w:trPr>
        <w:tc>
          <w:tcPr>
            <w:tcW w:w="1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D15E07"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Saldo em 30 de setembro de 2021</w:t>
            </w:r>
          </w:p>
        </w:tc>
        <w:tc>
          <w:tcPr>
            <w:tcW w:w="634" w:type="pct"/>
            <w:tcBorders>
              <w:top w:val="nil"/>
              <w:left w:val="nil"/>
              <w:bottom w:val="single" w:sz="8" w:space="0" w:color="auto"/>
              <w:right w:val="single" w:sz="8" w:space="0" w:color="auto"/>
            </w:tcBorders>
            <w:shd w:val="clear" w:color="auto" w:fill="auto"/>
            <w:noWrap/>
            <w:vAlign w:val="bottom"/>
            <w:hideMark/>
          </w:tcPr>
          <w:p w14:paraId="6D10F095"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22.233.502.272</w:t>
            </w:r>
          </w:p>
        </w:tc>
        <w:tc>
          <w:tcPr>
            <w:tcW w:w="906" w:type="pct"/>
            <w:tcBorders>
              <w:top w:val="nil"/>
              <w:left w:val="nil"/>
              <w:bottom w:val="single" w:sz="8" w:space="0" w:color="auto"/>
              <w:right w:val="single" w:sz="8" w:space="0" w:color="auto"/>
            </w:tcBorders>
            <w:shd w:val="clear" w:color="auto" w:fill="auto"/>
            <w:noWrap/>
            <w:vAlign w:val="bottom"/>
            <w:hideMark/>
          </w:tcPr>
          <w:p w14:paraId="3DEA6D41"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1.181.233.779</w:t>
            </w:r>
          </w:p>
        </w:tc>
        <w:tc>
          <w:tcPr>
            <w:tcW w:w="847" w:type="pct"/>
            <w:tcBorders>
              <w:top w:val="single" w:sz="8" w:space="0" w:color="auto"/>
              <w:left w:val="nil"/>
              <w:bottom w:val="single" w:sz="8" w:space="0" w:color="auto"/>
              <w:right w:val="nil"/>
            </w:tcBorders>
            <w:shd w:val="clear" w:color="auto" w:fill="auto"/>
            <w:noWrap/>
            <w:vAlign w:val="bottom"/>
            <w:hideMark/>
          </w:tcPr>
          <w:p w14:paraId="656E2A75"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(20.356.221.907)</w:t>
            </w:r>
          </w:p>
        </w:tc>
        <w:tc>
          <w:tcPr>
            <w:tcW w:w="1071" w:type="pct"/>
            <w:tcBorders>
              <w:top w:val="nil"/>
              <w:left w:val="single" w:sz="8" w:space="0" w:color="auto"/>
              <w:bottom w:val="single" w:sz="8" w:space="0" w:color="auto"/>
              <w:right w:val="single" w:sz="8" w:space="0" w:color="auto"/>
            </w:tcBorders>
            <w:shd w:val="clear" w:color="auto" w:fill="auto"/>
            <w:noWrap/>
            <w:vAlign w:val="bottom"/>
            <w:hideMark/>
          </w:tcPr>
          <w:p w14:paraId="4E5FAE28"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3.058.514.144</w:t>
            </w:r>
          </w:p>
        </w:tc>
      </w:tr>
      <w:tr w:rsidR="00AF45DE" w:rsidRPr="00AF45DE" w14:paraId="78882D6B" w14:textId="77777777" w:rsidTr="00AF45DE">
        <w:trPr>
          <w:trHeight w:hRule="exact" w:val="227"/>
        </w:trPr>
        <w:tc>
          <w:tcPr>
            <w:tcW w:w="1542" w:type="pct"/>
            <w:tcBorders>
              <w:top w:val="nil"/>
              <w:left w:val="nil"/>
              <w:bottom w:val="nil"/>
              <w:right w:val="nil"/>
            </w:tcBorders>
            <w:shd w:val="clear" w:color="auto" w:fill="auto"/>
            <w:noWrap/>
            <w:vAlign w:val="bottom"/>
            <w:hideMark/>
          </w:tcPr>
          <w:p w14:paraId="3EF1BDA5" w14:textId="77777777" w:rsidR="00AF45DE" w:rsidRPr="00AF45DE" w:rsidRDefault="00AF45DE">
            <w:pPr>
              <w:jc w:val="right"/>
              <w:rPr>
                <w:rFonts w:asciiTheme="majorHAnsi" w:hAnsiTheme="majorHAnsi" w:cstheme="majorHAnsi"/>
                <w:b/>
                <w:bCs/>
                <w:sz w:val="16"/>
                <w:szCs w:val="16"/>
              </w:rPr>
            </w:pPr>
          </w:p>
        </w:tc>
        <w:tc>
          <w:tcPr>
            <w:tcW w:w="634" w:type="pct"/>
            <w:tcBorders>
              <w:top w:val="nil"/>
              <w:left w:val="nil"/>
              <w:bottom w:val="nil"/>
              <w:right w:val="nil"/>
            </w:tcBorders>
            <w:shd w:val="clear" w:color="auto" w:fill="auto"/>
            <w:noWrap/>
            <w:vAlign w:val="bottom"/>
            <w:hideMark/>
          </w:tcPr>
          <w:p w14:paraId="5B053BE1" w14:textId="77777777" w:rsidR="00AF45DE" w:rsidRPr="00AF45DE" w:rsidRDefault="00AF45DE">
            <w:pPr>
              <w:rPr>
                <w:rFonts w:asciiTheme="majorHAnsi" w:hAnsiTheme="majorHAnsi" w:cstheme="majorHAnsi"/>
                <w:sz w:val="16"/>
                <w:szCs w:val="16"/>
              </w:rPr>
            </w:pPr>
          </w:p>
        </w:tc>
        <w:tc>
          <w:tcPr>
            <w:tcW w:w="906" w:type="pct"/>
            <w:tcBorders>
              <w:top w:val="nil"/>
              <w:left w:val="nil"/>
              <w:bottom w:val="nil"/>
              <w:right w:val="nil"/>
            </w:tcBorders>
            <w:shd w:val="clear" w:color="auto" w:fill="auto"/>
            <w:noWrap/>
            <w:vAlign w:val="bottom"/>
            <w:hideMark/>
          </w:tcPr>
          <w:p w14:paraId="72D717E1" w14:textId="77777777" w:rsidR="00AF45DE" w:rsidRPr="00AF45DE" w:rsidRDefault="00AF45DE">
            <w:pPr>
              <w:jc w:val="right"/>
              <w:rPr>
                <w:rFonts w:asciiTheme="majorHAnsi" w:hAnsiTheme="majorHAnsi" w:cstheme="majorHAnsi"/>
                <w:sz w:val="16"/>
                <w:szCs w:val="16"/>
              </w:rPr>
            </w:pPr>
          </w:p>
        </w:tc>
        <w:tc>
          <w:tcPr>
            <w:tcW w:w="847" w:type="pct"/>
            <w:tcBorders>
              <w:top w:val="nil"/>
              <w:left w:val="nil"/>
              <w:bottom w:val="nil"/>
              <w:right w:val="nil"/>
            </w:tcBorders>
            <w:shd w:val="clear" w:color="auto" w:fill="auto"/>
            <w:noWrap/>
            <w:vAlign w:val="bottom"/>
            <w:hideMark/>
          </w:tcPr>
          <w:p w14:paraId="40BBF738" w14:textId="77777777" w:rsidR="00AF45DE" w:rsidRPr="00AF45DE" w:rsidRDefault="00AF45DE">
            <w:pPr>
              <w:jc w:val="right"/>
              <w:rPr>
                <w:rFonts w:asciiTheme="majorHAnsi" w:hAnsiTheme="majorHAnsi" w:cstheme="majorHAnsi"/>
                <w:sz w:val="16"/>
                <w:szCs w:val="16"/>
              </w:rPr>
            </w:pPr>
          </w:p>
        </w:tc>
        <w:tc>
          <w:tcPr>
            <w:tcW w:w="1071" w:type="pct"/>
            <w:tcBorders>
              <w:top w:val="nil"/>
              <w:left w:val="nil"/>
              <w:bottom w:val="nil"/>
              <w:right w:val="nil"/>
            </w:tcBorders>
            <w:shd w:val="clear" w:color="auto" w:fill="auto"/>
            <w:noWrap/>
            <w:vAlign w:val="bottom"/>
            <w:hideMark/>
          </w:tcPr>
          <w:p w14:paraId="0607E927" w14:textId="77777777" w:rsidR="00AF45DE" w:rsidRPr="00AF45DE" w:rsidRDefault="00AF45DE">
            <w:pPr>
              <w:jc w:val="right"/>
              <w:rPr>
                <w:rFonts w:asciiTheme="majorHAnsi" w:hAnsiTheme="majorHAnsi" w:cstheme="majorHAnsi"/>
                <w:sz w:val="16"/>
                <w:szCs w:val="16"/>
              </w:rPr>
            </w:pPr>
          </w:p>
        </w:tc>
      </w:tr>
      <w:tr w:rsidR="00AF45DE" w:rsidRPr="00AF45DE" w14:paraId="37F5E162" w14:textId="77777777" w:rsidTr="00AF45DE">
        <w:trPr>
          <w:trHeight w:hRule="exact" w:val="227"/>
        </w:trPr>
        <w:tc>
          <w:tcPr>
            <w:tcW w:w="1542" w:type="pct"/>
            <w:tcBorders>
              <w:top w:val="nil"/>
              <w:left w:val="nil"/>
              <w:bottom w:val="nil"/>
              <w:right w:val="nil"/>
            </w:tcBorders>
            <w:shd w:val="clear" w:color="auto" w:fill="auto"/>
            <w:noWrap/>
            <w:vAlign w:val="bottom"/>
            <w:hideMark/>
          </w:tcPr>
          <w:p w14:paraId="1B43612D" w14:textId="77777777" w:rsidR="00AF45DE" w:rsidRPr="00AF45DE" w:rsidRDefault="00AF45DE">
            <w:pPr>
              <w:jc w:val="right"/>
              <w:rPr>
                <w:rFonts w:asciiTheme="majorHAnsi" w:hAnsiTheme="majorHAnsi" w:cstheme="majorHAnsi"/>
                <w:sz w:val="16"/>
                <w:szCs w:val="16"/>
              </w:rPr>
            </w:pPr>
          </w:p>
        </w:tc>
        <w:tc>
          <w:tcPr>
            <w:tcW w:w="634" w:type="pct"/>
            <w:tcBorders>
              <w:top w:val="nil"/>
              <w:left w:val="nil"/>
              <w:bottom w:val="nil"/>
              <w:right w:val="nil"/>
            </w:tcBorders>
            <w:shd w:val="clear" w:color="auto" w:fill="auto"/>
            <w:noWrap/>
            <w:vAlign w:val="bottom"/>
            <w:hideMark/>
          </w:tcPr>
          <w:p w14:paraId="02F3C634" w14:textId="77777777" w:rsidR="00AF45DE" w:rsidRPr="00AF45DE" w:rsidRDefault="00AF45DE">
            <w:pPr>
              <w:rPr>
                <w:rFonts w:asciiTheme="majorHAnsi" w:hAnsiTheme="majorHAnsi" w:cstheme="majorHAnsi"/>
                <w:sz w:val="16"/>
                <w:szCs w:val="16"/>
              </w:rPr>
            </w:pPr>
          </w:p>
        </w:tc>
        <w:tc>
          <w:tcPr>
            <w:tcW w:w="906" w:type="pct"/>
            <w:tcBorders>
              <w:top w:val="nil"/>
              <w:left w:val="nil"/>
              <w:bottom w:val="nil"/>
              <w:right w:val="nil"/>
            </w:tcBorders>
            <w:shd w:val="clear" w:color="auto" w:fill="auto"/>
            <w:noWrap/>
            <w:vAlign w:val="bottom"/>
            <w:hideMark/>
          </w:tcPr>
          <w:p w14:paraId="5D077DF9" w14:textId="77777777" w:rsidR="00AF45DE" w:rsidRPr="00AF45DE" w:rsidRDefault="00AF45DE">
            <w:pPr>
              <w:jc w:val="right"/>
              <w:rPr>
                <w:rFonts w:asciiTheme="majorHAnsi" w:hAnsiTheme="majorHAnsi" w:cstheme="majorHAnsi"/>
                <w:sz w:val="16"/>
                <w:szCs w:val="16"/>
              </w:rPr>
            </w:pPr>
          </w:p>
        </w:tc>
        <w:tc>
          <w:tcPr>
            <w:tcW w:w="847" w:type="pct"/>
            <w:tcBorders>
              <w:top w:val="nil"/>
              <w:left w:val="nil"/>
              <w:bottom w:val="nil"/>
              <w:right w:val="nil"/>
            </w:tcBorders>
            <w:shd w:val="clear" w:color="auto" w:fill="auto"/>
            <w:noWrap/>
            <w:vAlign w:val="bottom"/>
            <w:hideMark/>
          </w:tcPr>
          <w:p w14:paraId="0378A56F" w14:textId="77777777" w:rsidR="00AF45DE" w:rsidRPr="00AF45DE" w:rsidRDefault="00AF45DE">
            <w:pPr>
              <w:jc w:val="right"/>
              <w:rPr>
                <w:rFonts w:asciiTheme="majorHAnsi" w:hAnsiTheme="majorHAnsi" w:cstheme="majorHAnsi"/>
                <w:sz w:val="16"/>
                <w:szCs w:val="16"/>
              </w:rPr>
            </w:pPr>
          </w:p>
        </w:tc>
        <w:tc>
          <w:tcPr>
            <w:tcW w:w="1071" w:type="pct"/>
            <w:tcBorders>
              <w:top w:val="nil"/>
              <w:left w:val="nil"/>
              <w:bottom w:val="nil"/>
              <w:right w:val="nil"/>
            </w:tcBorders>
            <w:shd w:val="clear" w:color="auto" w:fill="auto"/>
            <w:noWrap/>
            <w:vAlign w:val="bottom"/>
            <w:hideMark/>
          </w:tcPr>
          <w:p w14:paraId="466F53FD" w14:textId="77777777" w:rsidR="00AF45DE" w:rsidRPr="00AF45DE" w:rsidRDefault="00AF45DE">
            <w:pPr>
              <w:jc w:val="right"/>
              <w:rPr>
                <w:rFonts w:asciiTheme="majorHAnsi" w:hAnsiTheme="majorHAnsi" w:cstheme="majorHAnsi"/>
                <w:sz w:val="16"/>
                <w:szCs w:val="16"/>
              </w:rPr>
            </w:pPr>
          </w:p>
        </w:tc>
      </w:tr>
      <w:tr w:rsidR="00AF45DE" w:rsidRPr="00AF45DE" w14:paraId="4E36E16E" w14:textId="77777777" w:rsidTr="00AF45DE">
        <w:trPr>
          <w:trHeight w:hRule="exact" w:val="227"/>
        </w:trPr>
        <w:tc>
          <w:tcPr>
            <w:tcW w:w="1542" w:type="pct"/>
            <w:tcBorders>
              <w:top w:val="single" w:sz="8" w:space="0" w:color="auto"/>
              <w:left w:val="single" w:sz="8" w:space="0" w:color="auto"/>
              <w:bottom w:val="nil"/>
              <w:right w:val="single" w:sz="8" w:space="0" w:color="auto"/>
            </w:tcBorders>
            <w:shd w:val="clear" w:color="auto" w:fill="auto"/>
            <w:noWrap/>
            <w:vAlign w:val="bottom"/>
            <w:hideMark/>
          </w:tcPr>
          <w:p w14:paraId="6ED44996"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 </w:t>
            </w:r>
          </w:p>
        </w:tc>
        <w:tc>
          <w:tcPr>
            <w:tcW w:w="634" w:type="pct"/>
            <w:tcBorders>
              <w:top w:val="single" w:sz="8" w:space="0" w:color="auto"/>
              <w:left w:val="nil"/>
              <w:bottom w:val="nil"/>
              <w:right w:val="single" w:sz="8" w:space="0" w:color="auto"/>
            </w:tcBorders>
            <w:shd w:val="clear" w:color="auto" w:fill="auto"/>
            <w:noWrap/>
            <w:vAlign w:val="bottom"/>
            <w:hideMark/>
          </w:tcPr>
          <w:p w14:paraId="6117E94A"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Capital</w:t>
            </w:r>
          </w:p>
        </w:tc>
        <w:tc>
          <w:tcPr>
            <w:tcW w:w="906" w:type="pct"/>
            <w:tcBorders>
              <w:top w:val="single" w:sz="8" w:space="0" w:color="auto"/>
              <w:left w:val="nil"/>
              <w:bottom w:val="nil"/>
              <w:right w:val="single" w:sz="8" w:space="0" w:color="auto"/>
            </w:tcBorders>
            <w:shd w:val="clear" w:color="auto" w:fill="auto"/>
            <w:noWrap/>
            <w:vAlign w:val="bottom"/>
            <w:hideMark/>
          </w:tcPr>
          <w:p w14:paraId="6D5DA800"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Adiantamento</w:t>
            </w:r>
          </w:p>
        </w:tc>
        <w:tc>
          <w:tcPr>
            <w:tcW w:w="847" w:type="pct"/>
            <w:tcBorders>
              <w:top w:val="single" w:sz="8" w:space="0" w:color="auto"/>
              <w:left w:val="nil"/>
              <w:bottom w:val="nil"/>
              <w:right w:val="single" w:sz="8" w:space="0" w:color="auto"/>
            </w:tcBorders>
            <w:shd w:val="clear" w:color="auto" w:fill="auto"/>
            <w:noWrap/>
            <w:vAlign w:val="bottom"/>
            <w:hideMark/>
          </w:tcPr>
          <w:p w14:paraId="3D030C53"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Lucros ou</w:t>
            </w:r>
          </w:p>
        </w:tc>
        <w:tc>
          <w:tcPr>
            <w:tcW w:w="1071" w:type="pct"/>
            <w:tcBorders>
              <w:top w:val="single" w:sz="8" w:space="0" w:color="auto"/>
              <w:left w:val="nil"/>
              <w:bottom w:val="nil"/>
              <w:right w:val="single" w:sz="8" w:space="0" w:color="auto"/>
            </w:tcBorders>
            <w:shd w:val="clear" w:color="auto" w:fill="auto"/>
            <w:noWrap/>
            <w:vAlign w:val="bottom"/>
            <w:hideMark/>
          </w:tcPr>
          <w:p w14:paraId="38FC9D9A"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 </w:t>
            </w:r>
          </w:p>
        </w:tc>
      </w:tr>
      <w:tr w:rsidR="00AF45DE" w:rsidRPr="00AF45DE" w14:paraId="540D4598" w14:textId="77777777" w:rsidTr="00AF45DE">
        <w:trPr>
          <w:trHeight w:hRule="exact" w:val="227"/>
        </w:trPr>
        <w:tc>
          <w:tcPr>
            <w:tcW w:w="1542" w:type="pct"/>
            <w:tcBorders>
              <w:top w:val="nil"/>
              <w:left w:val="single" w:sz="8" w:space="0" w:color="auto"/>
              <w:bottom w:val="nil"/>
              <w:right w:val="single" w:sz="8" w:space="0" w:color="auto"/>
            </w:tcBorders>
            <w:shd w:val="clear" w:color="auto" w:fill="auto"/>
            <w:noWrap/>
            <w:vAlign w:val="bottom"/>
            <w:hideMark/>
          </w:tcPr>
          <w:p w14:paraId="2A73138D"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xml:space="preserve">                        </w:t>
            </w:r>
            <w:r w:rsidRPr="00AF45DE">
              <w:rPr>
                <w:rFonts w:asciiTheme="majorHAnsi" w:hAnsiTheme="majorHAnsi" w:cstheme="majorHAnsi"/>
                <w:b/>
                <w:bCs/>
                <w:sz w:val="16"/>
                <w:szCs w:val="16"/>
              </w:rPr>
              <w:t>Classificação</w:t>
            </w:r>
          </w:p>
        </w:tc>
        <w:tc>
          <w:tcPr>
            <w:tcW w:w="634" w:type="pct"/>
            <w:tcBorders>
              <w:top w:val="nil"/>
              <w:left w:val="nil"/>
              <w:bottom w:val="nil"/>
              <w:right w:val="single" w:sz="8" w:space="0" w:color="auto"/>
            </w:tcBorders>
            <w:shd w:val="clear" w:color="auto" w:fill="auto"/>
            <w:noWrap/>
            <w:vAlign w:val="bottom"/>
            <w:hideMark/>
          </w:tcPr>
          <w:p w14:paraId="1BC1D2DB"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Social</w:t>
            </w:r>
          </w:p>
        </w:tc>
        <w:tc>
          <w:tcPr>
            <w:tcW w:w="906" w:type="pct"/>
            <w:tcBorders>
              <w:top w:val="nil"/>
              <w:left w:val="nil"/>
              <w:bottom w:val="nil"/>
              <w:right w:val="single" w:sz="8" w:space="0" w:color="auto"/>
            </w:tcBorders>
            <w:shd w:val="clear" w:color="auto" w:fill="auto"/>
            <w:noWrap/>
            <w:vAlign w:val="bottom"/>
            <w:hideMark/>
          </w:tcPr>
          <w:p w14:paraId="75C2CBBC"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para Futuro Aumento</w:t>
            </w:r>
          </w:p>
        </w:tc>
        <w:tc>
          <w:tcPr>
            <w:tcW w:w="847" w:type="pct"/>
            <w:tcBorders>
              <w:top w:val="nil"/>
              <w:left w:val="nil"/>
              <w:bottom w:val="nil"/>
              <w:right w:val="single" w:sz="8" w:space="0" w:color="auto"/>
            </w:tcBorders>
            <w:shd w:val="clear" w:color="auto" w:fill="auto"/>
            <w:noWrap/>
            <w:vAlign w:val="bottom"/>
            <w:hideMark/>
          </w:tcPr>
          <w:p w14:paraId="4D0EE3A2"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Prejuízos</w:t>
            </w:r>
          </w:p>
        </w:tc>
        <w:tc>
          <w:tcPr>
            <w:tcW w:w="1071" w:type="pct"/>
            <w:tcBorders>
              <w:top w:val="nil"/>
              <w:left w:val="nil"/>
              <w:bottom w:val="nil"/>
              <w:right w:val="single" w:sz="8" w:space="0" w:color="auto"/>
            </w:tcBorders>
            <w:shd w:val="clear" w:color="auto" w:fill="auto"/>
            <w:noWrap/>
            <w:vAlign w:val="bottom"/>
            <w:hideMark/>
          </w:tcPr>
          <w:p w14:paraId="4F3F8CE6"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Total</w:t>
            </w:r>
          </w:p>
        </w:tc>
      </w:tr>
      <w:tr w:rsidR="00AF45DE" w:rsidRPr="00AF45DE" w14:paraId="72A5F8FF" w14:textId="77777777" w:rsidTr="00AF45DE">
        <w:trPr>
          <w:trHeight w:hRule="exact" w:val="227"/>
        </w:trPr>
        <w:tc>
          <w:tcPr>
            <w:tcW w:w="1542" w:type="pct"/>
            <w:tcBorders>
              <w:top w:val="nil"/>
              <w:left w:val="single" w:sz="8" w:space="0" w:color="auto"/>
              <w:bottom w:val="single" w:sz="4" w:space="0" w:color="auto"/>
              <w:right w:val="single" w:sz="8" w:space="0" w:color="auto"/>
            </w:tcBorders>
            <w:shd w:val="clear" w:color="auto" w:fill="auto"/>
            <w:noWrap/>
            <w:vAlign w:val="bottom"/>
            <w:hideMark/>
          </w:tcPr>
          <w:p w14:paraId="1C33C398"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w:t>
            </w:r>
          </w:p>
        </w:tc>
        <w:tc>
          <w:tcPr>
            <w:tcW w:w="634" w:type="pct"/>
            <w:tcBorders>
              <w:top w:val="nil"/>
              <w:left w:val="nil"/>
              <w:bottom w:val="nil"/>
              <w:right w:val="single" w:sz="8" w:space="0" w:color="auto"/>
            </w:tcBorders>
            <w:shd w:val="clear" w:color="auto" w:fill="auto"/>
            <w:noWrap/>
            <w:vAlign w:val="bottom"/>
            <w:hideMark/>
          </w:tcPr>
          <w:p w14:paraId="08E35CDD"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 </w:t>
            </w:r>
          </w:p>
        </w:tc>
        <w:tc>
          <w:tcPr>
            <w:tcW w:w="906" w:type="pct"/>
            <w:tcBorders>
              <w:top w:val="nil"/>
              <w:left w:val="nil"/>
              <w:bottom w:val="nil"/>
              <w:right w:val="single" w:sz="8" w:space="0" w:color="auto"/>
            </w:tcBorders>
            <w:shd w:val="clear" w:color="auto" w:fill="auto"/>
            <w:noWrap/>
            <w:vAlign w:val="bottom"/>
            <w:hideMark/>
          </w:tcPr>
          <w:p w14:paraId="156E3812"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de Capital</w:t>
            </w:r>
          </w:p>
        </w:tc>
        <w:tc>
          <w:tcPr>
            <w:tcW w:w="847" w:type="pct"/>
            <w:tcBorders>
              <w:top w:val="nil"/>
              <w:left w:val="nil"/>
              <w:bottom w:val="nil"/>
              <w:right w:val="single" w:sz="8" w:space="0" w:color="auto"/>
            </w:tcBorders>
            <w:shd w:val="clear" w:color="auto" w:fill="auto"/>
            <w:noWrap/>
            <w:vAlign w:val="bottom"/>
            <w:hideMark/>
          </w:tcPr>
          <w:p w14:paraId="4069BD57"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Acumulados</w:t>
            </w:r>
          </w:p>
        </w:tc>
        <w:tc>
          <w:tcPr>
            <w:tcW w:w="1071" w:type="pct"/>
            <w:tcBorders>
              <w:top w:val="nil"/>
              <w:left w:val="nil"/>
              <w:bottom w:val="single" w:sz="4" w:space="0" w:color="auto"/>
              <w:right w:val="single" w:sz="8" w:space="0" w:color="auto"/>
            </w:tcBorders>
            <w:shd w:val="clear" w:color="auto" w:fill="auto"/>
            <w:noWrap/>
            <w:vAlign w:val="bottom"/>
            <w:hideMark/>
          </w:tcPr>
          <w:p w14:paraId="3391924A" w14:textId="77777777" w:rsidR="00AF45DE" w:rsidRPr="00AF45DE" w:rsidRDefault="00AF45DE">
            <w:pPr>
              <w:jc w:val="center"/>
              <w:rPr>
                <w:rFonts w:asciiTheme="majorHAnsi" w:hAnsiTheme="majorHAnsi" w:cstheme="majorHAnsi"/>
                <w:b/>
                <w:bCs/>
                <w:sz w:val="16"/>
                <w:szCs w:val="16"/>
              </w:rPr>
            </w:pPr>
            <w:r w:rsidRPr="00AF45DE">
              <w:rPr>
                <w:rFonts w:asciiTheme="majorHAnsi" w:hAnsiTheme="majorHAnsi" w:cstheme="majorHAnsi"/>
                <w:b/>
                <w:bCs/>
                <w:sz w:val="16"/>
                <w:szCs w:val="16"/>
              </w:rPr>
              <w:t> </w:t>
            </w:r>
          </w:p>
        </w:tc>
      </w:tr>
      <w:tr w:rsidR="00AF45DE" w:rsidRPr="00AF45DE" w14:paraId="5F9F6820" w14:textId="77777777" w:rsidTr="00AF45DE">
        <w:trPr>
          <w:trHeight w:hRule="exact" w:val="227"/>
        </w:trPr>
        <w:tc>
          <w:tcPr>
            <w:tcW w:w="1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4E3FDA" w14:textId="77777777"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Saldo em 01 de janeiro de 2022</w:t>
            </w:r>
          </w:p>
        </w:tc>
        <w:tc>
          <w:tcPr>
            <w:tcW w:w="634" w:type="pct"/>
            <w:tcBorders>
              <w:top w:val="single" w:sz="8" w:space="0" w:color="auto"/>
              <w:left w:val="nil"/>
              <w:bottom w:val="single" w:sz="8" w:space="0" w:color="auto"/>
              <w:right w:val="single" w:sz="8" w:space="0" w:color="auto"/>
            </w:tcBorders>
            <w:shd w:val="clear" w:color="auto" w:fill="auto"/>
            <w:noWrap/>
            <w:vAlign w:val="bottom"/>
            <w:hideMark/>
          </w:tcPr>
          <w:p w14:paraId="28F479B8"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22.233.502.272</w:t>
            </w:r>
          </w:p>
        </w:tc>
        <w:tc>
          <w:tcPr>
            <w:tcW w:w="906" w:type="pct"/>
            <w:tcBorders>
              <w:top w:val="single" w:sz="8" w:space="0" w:color="auto"/>
              <w:left w:val="nil"/>
              <w:bottom w:val="single" w:sz="8" w:space="0" w:color="auto"/>
              <w:right w:val="single" w:sz="8" w:space="0" w:color="auto"/>
            </w:tcBorders>
            <w:shd w:val="clear" w:color="auto" w:fill="auto"/>
            <w:noWrap/>
            <w:vAlign w:val="bottom"/>
            <w:hideMark/>
          </w:tcPr>
          <w:p w14:paraId="45EE546C"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1.288.641.343 </w:t>
            </w:r>
          </w:p>
        </w:tc>
        <w:tc>
          <w:tcPr>
            <w:tcW w:w="847" w:type="pct"/>
            <w:tcBorders>
              <w:top w:val="single" w:sz="8" w:space="0" w:color="auto"/>
              <w:left w:val="nil"/>
              <w:bottom w:val="single" w:sz="8" w:space="0" w:color="auto"/>
              <w:right w:val="nil"/>
            </w:tcBorders>
            <w:shd w:val="clear" w:color="auto" w:fill="auto"/>
            <w:noWrap/>
            <w:vAlign w:val="bottom"/>
            <w:hideMark/>
          </w:tcPr>
          <w:p w14:paraId="63297F23"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(21.484.262.190)</w:t>
            </w:r>
          </w:p>
        </w:tc>
        <w:tc>
          <w:tcPr>
            <w:tcW w:w="107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FF3BA1"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2.037.881.425 </w:t>
            </w:r>
          </w:p>
        </w:tc>
      </w:tr>
      <w:tr w:rsidR="00AF45DE" w:rsidRPr="00AF45DE" w14:paraId="55AC4223" w14:textId="77777777" w:rsidTr="00AF45DE">
        <w:trPr>
          <w:trHeight w:hRule="exact" w:val="227"/>
        </w:trPr>
        <w:tc>
          <w:tcPr>
            <w:tcW w:w="1542" w:type="pct"/>
            <w:tcBorders>
              <w:top w:val="nil"/>
              <w:left w:val="single" w:sz="8" w:space="0" w:color="auto"/>
              <w:bottom w:val="nil"/>
              <w:right w:val="nil"/>
            </w:tcBorders>
            <w:shd w:val="clear" w:color="000000" w:fill="FFFFFF"/>
            <w:noWrap/>
            <w:vAlign w:val="bottom"/>
            <w:hideMark/>
          </w:tcPr>
          <w:p w14:paraId="016A8F43" w14:textId="0B555322"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Resultado Líquido do Per</w:t>
            </w:r>
            <w:r>
              <w:rPr>
                <w:rFonts w:asciiTheme="majorHAnsi" w:hAnsiTheme="majorHAnsi" w:cstheme="majorHAnsi"/>
                <w:sz w:val="16"/>
                <w:szCs w:val="16"/>
              </w:rPr>
              <w:t>í</w:t>
            </w:r>
            <w:r w:rsidRPr="00AF45DE">
              <w:rPr>
                <w:rFonts w:asciiTheme="majorHAnsi" w:hAnsiTheme="majorHAnsi" w:cstheme="majorHAnsi"/>
                <w:sz w:val="16"/>
                <w:szCs w:val="16"/>
              </w:rPr>
              <w:t xml:space="preserve">odo </w:t>
            </w:r>
          </w:p>
        </w:tc>
        <w:tc>
          <w:tcPr>
            <w:tcW w:w="634" w:type="pct"/>
            <w:tcBorders>
              <w:top w:val="nil"/>
              <w:left w:val="single" w:sz="8" w:space="0" w:color="auto"/>
              <w:bottom w:val="nil"/>
              <w:right w:val="single" w:sz="8" w:space="0" w:color="auto"/>
            </w:tcBorders>
            <w:shd w:val="clear" w:color="auto" w:fill="auto"/>
            <w:noWrap/>
            <w:vAlign w:val="bottom"/>
            <w:hideMark/>
          </w:tcPr>
          <w:p w14:paraId="7006A593"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906" w:type="pct"/>
            <w:tcBorders>
              <w:top w:val="nil"/>
              <w:left w:val="nil"/>
              <w:bottom w:val="nil"/>
              <w:right w:val="nil"/>
            </w:tcBorders>
            <w:shd w:val="clear" w:color="auto" w:fill="auto"/>
            <w:noWrap/>
            <w:vAlign w:val="bottom"/>
            <w:hideMark/>
          </w:tcPr>
          <w:p w14:paraId="4A0AE6FF"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847" w:type="pct"/>
            <w:tcBorders>
              <w:top w:val="nil"/>
              <w:left w:val="single" w:sz="8" w:space="0" w:color="auto"/>
              <w:bottom w:val="nil"/>
              <w:right w:val="single" w:sz="8" w:space="0" w:color="auto"/>
            </w:tcBorders>
            <w:shd w:val="clear" w:color="auto" w:fill="auto"/>
            <w:noWrap/>
            <w:vAlign w:val="bottom"/>
            <w:hideMark/>
          </w:tcPr>
          <w:p w14:paraId="1F4CADEA"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4.990.093 </w:t>
            </w:r>
          </w:p>
        </w:tc>
        <w:tc>
          <w:tcPr>
            <w:tcW w:w="1071" w:type="pct"/>
            <w:tcBorders>
              <w:top w:val="nil"/>
              <w:left w:val="nil"/>
              <w:bottom w:val="nil"/>
              <w:right w:val="single" w:sz="8" w:space="0" w:color="auto"/>
            </w:tcBorders>
            <w:shd w:val="clear" w:color="auto" w:fill="auto"/>
            <w:noWrap/>
            <w:vAlign w:val="bottom"/>
            <w:hideMark/>
          </w:tcPr>
          <w:p w14:paraId="5BB8A55A"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4.990.093 </w:t>
            </w:r>
          </w:p>
        </w:tc>
      </w:tr>
      <w:tr w:rsidR="00AF45DE" w:rsidRPr="00AF45DE" w14:paraId="3C1C4981" w14:textId="77777777" w:rsidTr="00AF45DE">
        <w:trPr>
          <w:trHeight w:hRule="exact" w:val="227"/>
        </w:trPr>
        <w:tc>
          <w:tcPr>
            <w:tcW w:w="1542" w:type="pct"/>
            <w:tcBorders>
              <w:top w:val="nil"/>
              <w:left w:val="single" w:sz="8" w:space="0" w:color="auto"/>
              <w:bottom w:val="nil"/>
              <w:right w:val="nil"/>
            </w:tcBorders>
            <w:shd w:val="clear" w:color="000000" w:fill="FFFFFF"/>
            <w:noWrap/>
            <w:vAlign w:val="bottom"/>
            <w:hideMark/>
          </w:tcPr>
          <w:p w14:paraId="4C722DC1"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Integralização do AFAC</w:t>
            </w:r>
          </w:p>
        </w:tc>
        <w:tc>
          <w:tcPr>
            <w:tcW w:w="634" w:type="pct"/>
            <w:tcBorders>
              <w:top w:val="nil"/>
              <w:left w:val="single" w:sz="8" w:space="0" w:color="auto"/>
              <w:bottom w:val="nil"/>
              <w:right w:val="single" w:sz="8" w:space="0" w:color="auto"/>
            </w:tcBorders>
            <w:shd w:val="clear" w:color="auto" w:fill="auto"/>
            <w:noWrap/>
            <w:vAlign w:val="bottom"/>
            <w:hideMark/>
          </w:tcPr>
          <w:p w14:paraId="53521450"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1.284.047.035 </w:t>
            </w:r>
          </w:p>
        </w:tc>
        <w:tc>
          <w:tcPr>
            <w:tcW w:w="906" w:type="pct"/>
            <w:tcBorders>
              <w:top w:val="nil"/>
              <w:left w:val="nil"/>
              <w:bottom w:val="nil"/>
              <w:right w:val="nil"/>
            </w:tcBorders>
            <w:shd w:val="clear" w:color="auto" w:fill="auto"/>
            <w:noWrap/>
            <w:vAlign w:val="bottom"/>
            <w:hideMark/>
          </w:tcPr>
          <w:p w14:paraId="0EE21AAE"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(1.284.047.035)</w:t>
            </w:r>
          </w:p>
        </w:tc>
        <w:tc>
          <w:tcPr>
            <w:tcW w:w="847" w:type="pct"/>
            <w:tcBorders>
              <w:top w:val="nil"/>
              <w:left w:val="single" w:sz="8" w:space="0" w:color="auto"/>
              <w:bottom w:val="nil"/>
              <w:right w:val="single" w:sz="8" w:space="0" w:color="auto"/>
            </w:tcBorders>
            <w:shd w:val="clear" w:color="auto" w:fill="auto"/>
            <w:noWrap/>
            <w:vAlign w:val="bottom"/>
            <w:hideMark/>
          </w:tcPr>
          <w:p w14:paraId="132641FB"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1071" w:type="pct"/>
            <w:tcBorders>
              <w:top w:val="nil"/>
              <w:left w:val="nil"/>
              <w:bottom w:val="nil"/>
              <w:right w:val="single" w:sz="8" w:space="0" w:color="auto"/>
            </w:tcBorders>
            <w:shd w:val="clear" w:color="auto" w:fill="auto"/>
            <w:noWrap/>
            <w:vAlign w:val="bottom"/>
            <w:hideMark/>
          </w:tcPr>
          <w:p w14:paraId="3DBDF993"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   </w:t>
            </w:r>
          </w:p>
        </w:tc>
      </w:tr>
      <w:tr w:rsidR="00AF45DE" w:rsidRPr="00AF45DE" w14:paraId="0B1B19EB" w14:textId="77777777" w:rsidTr="00AF45DE">
        <w:trPr>
          <w:trHeight w:hRule="exact" w:val="227"/>
        </w:trPr>
        <w:tc>
          <w:tcPr>
            <w:tcW w:w="1542" w:type="pct"/>
            <w:tcBorders>
              <w:top w:val="nil"/>
              <w:left w:val="single" w:sz="8" w:space="0" w:color="auto"/>
              <w:bottom w:val="nil"/>
              <w:right w:val="nil"/>
            </w:tcBorders>
            <w:shd w:val="clear" w:color="auto" w:fill="auto"/>
            <w:noWrap/>
            <w:vAlign w:val="bottom"/>
            <w:hideMark/>
          </w:tcPr>
          <w:p w14:paraId="243CB02F" w14:textId="77777777" w:rsidR="00AF45DE" w:rsidRPr="00AF45DE" w:rsidRDefault="00AF45DE">
            <w:pPr>
              <w:rPr>
                <w:rFonts w:asciiTheme="majorHAnsi" w:hAnsiTheme="majorHAnsi" w:cstheme="majorHAnsi"/>
                <w:sz w:val="16"/>
                <w:szCs w:val="16"/>
              </w:rPr>
            </w:pPr>
            <w:r w:rsidRPr="00AF45DE">
              <w:rPr>
                <w:rFonts w:asciiTheme="majorHAnsi" w:hAnsiTheme="majorHAnsi" w:cstheme="majorHAnsi"/>
                <w:sz w:val="16"/>
                <w:szCs w:val="16"/>
              </w:rPr>
              <w:t>Adiantamento para Futuro Aumento de Capital</w:t>
            </w:r>
          </w:p>
        </w:tc>
        <w:tc>
          <w:tcPr>
            <w:tcW w:w="634" w:type="pct"/>
            <w:tcBorders>
              <w:top w:val="nil"/>
              <w:left w:val="single" w:sz="8" w:space="0" w:color="auto"/>
              <w:bottom w:val="nil"/>
              <w:right w:val="single" w:sz="8" w:space="0" w:color="auto"/>
            </w:tcBorders>
            <w:shd w:val="clear" w:color="auto" w:fill="auto"/>
            <w:noWrap/>
            <w:vAlign w:val="bottom"/>
            <w:hideMark/>
          </w:tcPr>
          <w:p w14:paraId="473FB824"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906" w:type="pct"/>
            <w:tcBorders>
              <w:top w:val="nil"/>
              <w:left w:val="nil"/>
              <w:bottom w:val="nil"/>
              <w:right w:val="single" w:sz="8" w:space="0" w:color="auto"/>
            </w:tcBorders>
            <w:shd w:val="clear" w:color="auto" w:fill="auto"/>
            <w:noWrap/>
            <w:vAlign w:val="bottom"/>
            <w:hideMark/>
          </w:tcPr>
          <w:p w14:paraId="72881857"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223.287.079 </w:t>
            </w:r>
          </w:p>
        </w:tc>
        <w:tc>
          <w:tcPr>
            <w:tcW w:w="847" w:type="pct"/>
            <w:tcBorders>
              <w:top w:val="nil"/>
              <w:left w:val="nil"/>
              <w:bottom w:val="nil"/>
              <w:right w:val="single" w:sz="8" w:space="0" w:color="auto"/>
            </w:tcBorders>
            <w:shd w:val="clear" w:color="auto" w:fill="auto"/>
            <w:noWrap/>
            <w:vAlign w:val="bottom"/>
            <w:hideMark/>
          </w:tcPr>
          <w:p w14:paraId="6A1AA495"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   </w:t>
            </w:r>
          </w:p>
        </w:tc>
        <w:tc>
          <w:tcPr>
            <w:tcW w:w="1071" w:type="pct"/>
            <w:tcBorders>
              <w:top w:val="nil"/>
              <w:left w:val="nil"/>
              <w:bottom w:val="nil"/>
              <w:right w:val="single" w:sz="8" w:space="0" w:color="auto"/>
            </w:tcBorders>
            <w:shd w:val="clear" w:color="auto" w:fill="auto"/>
            <w:noWrap/>
            <w:vAlign w:val="bottom"/>
            <w:hideMark/>
          </w:tcPr>
          <w:p w14:paraId="1B28E663" w14:textId="77777777" w:rsidR="00AF45DE" w:rsidRPr="00AF45DE" w:rsidRDefault="00AF45DE" w:rsidP="00AF45DE">
            <w:pPr>
              <w:jc w:val="right"/>
              <w:rPr>
                <w:rFonts w:asciiTheme="majorHAnsi" w:hAnsiTheme="majorHAnsi" w:cstheme="majorHAnsi"/>
                <w:sz w:val="16"/>
                <w:szCs w:val="16"/>
              </w:rPr>
            </w:pPr>
            <w:r w:rsidRPr="00AF45DE">
              <w:rPr>
                <w:rFonts w:asciiTheme="majorHAnsi" w:hAnsiTheme="majorHAnsi" w:cstheme="majorHAnsi"/>
                <w:sz w:val="16"/>
                <w:szCs w:val="16"/>
              </w:rPr>
              <w:t xml:space="preserve">                                   223.287.079 </w:t>
            </w:r>
          </w:p>
        </w:tc>
      </w:tr>
      <w:tr w:rsidR="00AF45DE" w:rsidRPr="00AF45DE" w14:paraId="4A2C5145" w14:textId="77777777" w:rsidTr="00AF45DE">
        <w:trPr>
          <w:trHeight w:hRule="exact" w:val="227"/>
        </w:trPr>
        <w:tc>
          <w:tcPr>
            <w:tcW w:w="1542" w:type="pct"/>
            <w:tcBorders>
              <w:top w:val="nil"/>
              <w:left w:val="single" w:sz="8" w:space="0" w:color="auto"/>
              <w:bottom w:val="nil"/>
              <w:right w:val="nil"/>
            </w:tcBorders>
            <w:shd w:val="clear" w:color="auto" w:fill="auto"/>
            <w:noWrap/>
            <w:vAlign w:val="bottom"/>
            <w:hideMark/>
          </w:tcPr>
          <w:p w14:paraId="29BDF775" w14:textId="77777777" w:rsidR="00AF45DE" w:rsidRPr="00A21EB0" w:rsidRDefault="00AF45DE">
            <w:pPr>
              <w:rPr>
                <w:rFonts w:asciiTheme="majorHAnsi" w:hAnsiTheme="majorHAnsi" w:cstheme="majorHAnsi"/>
                <w:sz w:val="16"/>
                <w:szCs w:val="16"/>
              </w:rPr>
            </w:pPr>
            <w:r w:rsidRPr="00A21EB0">
              <w:rPr>
                <w:rFonts w:asciiTheme="majorHAnsi" w:hAnsiTheme="majorHAnsi" w:cstheme="majorHAnsi"/>
                <w:sz w:val="16"/>
                <w:szCs w:val="16"/>
              </w:rPr>
              <w:t>Movimentação relativa à Incorporação da EPL</w:t>
            </w:r>
          </w:p>
        </w:tc>
        <w:tc>
          <w:tcPr>
            <w:tcW w:w="634" w:type="pct"/>
            <w:tcBorders>
              <w:top w:val="nil"/>
              <w:left w:val="single" w:sz="8" w:space="0" w:color="auto"/>
              <w:bottom w:val="single" w:sz="8" w:space="0" w:color="auto"/>
              <w:right w:val="single" w:sz="8" w:space="0" w:color="auto"/>
            </w:tcBorders>
            <w:shd w:val="clear" w:color="auto" w:fill="auto"/>
            <w:noWrap/>
            <w:vAlign w:val="bottom"/>
            <w:hideMark/>
          </w:tcPr>
          <w:p w14:paraId="77CB07FC" w14:textId="77777777" w:rsidR="00AF45DE" w:rsidRPr="00A21EB0" w:rsidRDefault="00AF45DE" w:rsidP="00AF45DE">
            <w:pPr>
              <w:jc w:val="right"/>
              <w:rPr>
                <w:rFonts w:asciiTheme="majorHAnsi" w:hAnsiTheme="majorHAnsi" w:cstheme="majorHAnsi"/>
                <w:sz w:val="16"/>
                <w:szCs w:val="16"/>
              </w:rPr>
            </w:pPr>
            <w:r w:rsidRPr="00A21EB0">
              <w:rPr>
                <w:rFonts w:asciiTheme="majorHAnsi" w:hAnsiTheme="majorHAnsi" w:cstheme="majorHAnsi"/>
                <w:sz w:val="16"/>
                <w:szCs w:val="16"/>
              </w:rPr>
              <w:t xml:space="preserve">           161.225.514 </w:t>
            </w:r>
          </w:p>
        </w:tc>
        <w:tc>
          <w:tcPr>
            <w:tcW w:w="906" w:type="pct"/>
            <w:tcBorders>
              <w:top w:val="nil"/>
              <w:left w:val="nil"/>
              <w:bottom w:val="single" w:sz="8" w:space="0" w:color="auto"/>
              <w:right w:val="nil"/>
            </w:tcBorders>
            <w:shd w:val="clear" w:color="auto" w:fill="auto"/>
            <w:noWrap/>
            <w:vAlign w:val="bottom"/>
            <w:hideMark/>
          </w:tcPr>
          <w:p w14:paraId="42FE4F80" w14:textId="77777777" w:rsidR="00AF45DE" w:rsidRPr="00A21EB0" w:rsidRDefault="00AF45DE" w:rsidP="00AF45DE">
            <w:pPr>
              <w:jc w:val="right"/>
              <w:rPr>
                <w:rFonts w:asciiTheme="majorHAnsi" w:hAnsiTheme="majorHAnsi" w:cstheme="majorHAnsi"/>
                <w:sz w:val="16"/>
                <w:szCs w:val="16"/>
              </w:rPr>
            </w:pPr>
            <w:r w:rsidRPr="00A21EB0">
              <w:rPr>
                <w:rFonts w:asciiTheme="majorHAnsi" w:hAnsiTheme="majorHAnsi" w:cstheme="majorHAnsi"/>
                <w:sz w:val="16"/>
                <w:szCs w:val="16"/>
              </w:rPr>
              <w:t xml:space="preserve">                          8.823.114 </w:t>
            </w:r>
          </w:p>
        </w:tc>
        <w:tc>
          <w:tcPr>
            <w:tcW w:w="847" w:type="pct"/>
            <w:tcBorders>
              <w:top w:val="nil"/>
              <w:left w:val="single" w:sz="8" w:space="0" w:color="auto"/>
              <w:bottom w:val="single" w:sz="8" w:space="0" w:color="auto"/>
              <w:right w:val="nil"/>
            </w:tcBorders>
            <w:shd w:val="clear" w:color="auto" w:fill="auto"/>
            <w:noWrap/>
            <w:vAlign w:val="bottom"/>
            <w:hideMark/>
          </w:tcPr>
          <w:p w14:paraId="313CAC34" w14:textId="77777777" w:rsidR="00AF45DE" w:rsidRPr="00A21EB0" w:rsidRDefault="00AF45DE" w:rsidP="00AF45DE">
            <w:pPr>
              <w:jc w:val="right"/>
              <w:rPr>
                <w:rFonts w:asciiTheme="majorHAnsi" w:hAnsiTheme="majorHAnsi" w:cstheme="majorHAnsi"/>
                <w:sz w:val="16"/>
                <w:szCs w:val="16"/>
              </w:rPr>
            </w:pPr>
            <w:r w:rsidRPr="00A21EB0">
              <w:rPr>
                <w:rFonts w:asciiTheme="majorHAnsi" w:hAnsiTheme="majorHAnsi" w:cstheme="majorHAnsi"/>
                <w:sz w:val="16"/>
                <w:szCs w:val="16"/>
              </w:rPr>
              <w:t xml:space="preserve">                            7.895.000 </w:t>
            </w:r>
          </w:p>
        </w:tc>
        <w:tc>
          <w:tcPr>
            <w:tcW w:w="1071" w:type="pct"/>
            <w:tcBorders>
              <w:top w:val="nil"/>
              <w:left w:val="single" w:sz="8" w:space="0" w:color="auto"/>
              <w:bottom w:val="single" w:sz="8" w:space="0" w:color="auto"/>
              <w:right w:val="single" w:sz="8" w:space="0" w:color="auto"/>
            </w:tcBorders>
            <w:shd w:val="clear" w:color="auto" w:fill="auto"/>
            <w:noWrap/>
            <w:vAlign w:val="bottom"/>
            <w:hideMark/>
          </w:tcPr>
          <w:p w14:paraId="7FA72466" w14:textId="77777777" w:rsidR="00AF45DE" w:rsidRPr="00A21EB0" w:rsidRDefault="00AF45DE" w:rsidP="00AF45DE">
            <w:pPr>
              <w:jc w:val="right"/>
              <w:rPr>
                <w:rFonts w:asciiTheme="majorHAnsi" w:hAnsiTheme="majorHAnsi" w:cstheme="majorHAnsi"/>
                <w:sz w:val="16"/>
                <w:szCs w:val="16"/>
              </w:rPr>
            </w:pPr>
            <w:r w:rsidRPr="00A21EB0">
              <w:rPr>
                <w:rFonts w:asciiTheme="majorHAnsi" w:hAnsiTheme="majorHAnsi" w:cstheme="majorHAnsi"/>
                <w:sz w:val="16"/>
                <w:szCs w:val="16"/>
              </w:rPr>
              <w:t xml:space="preserve">                                   177.943.628 </w:t>
            </w:r>
          </w:p>
        </w:tc>
      </w:tr>
      <w:tr w:rsidR="00AF45DE" w:rsidRPr="00AF45DE" w14:paraId="5CA5EDE2" w14:textId="77777777" w:rsidTr="00AF45DE">
        <w:trPr>
          <w:trHeight w:hRule="exact" w:val="227"/>
        </w:trPr>
        <w:tc>
          <w:tcPr>
            <w:tcW w:w="154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36936B" w14:textId="636307A8" w:rsidR="00AF45DE" w:rsidRPr="00AF45DE" w:rsidRDefault="00AF45DE">
            <w:pPr>
              <w:rPr>
                <w:rFonts w:asciiTheme="majorHAnsi" w:hAnsiTheme="majorHAnsi" w:cstheme="majorHAnsi"/>
                <w:b/>
                <w:bCs/>
                <w:sz w:val="16"/>
                <w:szCs w:val="16"/>
              </w:rPr>
            </w:pPr>
            <w:r w:rsidRPr="00AF45DE">
              <w:rPr>
                <w:rFonts w:asciiTheme="majorHAnsi" w:hAnsiTheme="majorHAnsi" w:cstheme="majorHAnsi"/>
                <w:b/>
                <w:bCs/>
                <w:sz w:val="16"/>
                <w:szCs w:val="16"/>
              </w:rPr>
              <w:t>Saldo em 30 de setembro de 2022</w:t>
            </w:r>
          </w:p>
        </w:tc>
        <w:tc>
          <w:tcPr>
            <w:tcW w:w="634" w:type="pct"/>
            <w:tcBorders>
              <w:top w:val="nil"/>
              <w:left w:val="nil"/>
              <w:bottom w:val="single" w:sz="8" w:space="0" w:color="auto"/>
              <w:right w:val="single" w:sz="8" w:space="0" w:color="auto"/>
            </w:tcBorders>
            <w:shd w:val="clear" w:color="auto" w:fill="auto"/>
            <w:noWrap/>
            <w:vAlign w:val="bottom"/>
            <w:hideMark/>
          </w:tcPr>
          <w:p w14:paraId="45C2310F"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23.678.774.821 </w:t>
            </w:r>
          </w:p>
        </w:tc>
        <w:tc>
          <w:tcPr>
            <w:tcW w:w="906" w:type="pct"/>
            <w:tcBorders>
              <w:top w:val="nil"/>
              <w:left w:val="nil"/>
              <w:bottom w:val="single" w:sz="8" w:space="0" w:color="auto"/>
              <w:right w:val="nil"/>
            </w:tcBorders>
            <w:shd w:val="clear" w:color="auto" w:fill="auto"/>
            <w:noWrap/>
            <w:vAlign w:val="bottom"/>
            <w:hideMark/>
          </w:tcPr>
          <w:p w14:paraId="45E0E756"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236.704.502 </w:t>
            </w:r>
          </w:p>
        </w:tc>
        <w:tc>
          <w:tcPr>
            <w:tcW w:w="847" w:type="pct"/>
            <w:tcBorders>
              <w:top w:val="nil"/>
              <w:left w:val="single" w:sz="8" w:space="0" w:color="auto"/>
              <w:bottom w:val="single" w:sz="8" w:space="0" w:color="auto"/>
              <w:right w:val="nil"/>
            </w:tcBorders>
            <w:shd w:val="clear" w:color="auto" w:fill="auto"/>
            <w:noWrap/>
            <w:vAlign w:val="bottom"/>
            <w:hideMark/>
          </w:tcPr>
          <w:p w14:paraId="6017B4BE"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 xml:space="preserve">              (21.471.377.097)</w:t>
            </w:r>
          </w:p>
        </w:tc>
        <w:tc>
          <w:tcPr>
            <w:tcW w:w="1071" w:type="pct"/>
            <w:tcBorders>
              <w:top w:val="nil"/>
              <w:left w:val="single" w:sz="8" w:space="0" w:color="auto"/>
              <w:bottom w:val="single" w:sz="8" w:space="0" w:color="auto"/>
              <w:right w:val="single" w:sz="8" w:space="0" w:color="auto"/>
            </w:tcBorders>
            <w:shd w:val="clear" w:color="auto" w:fill="auto"/>
            <w:noWrap/>
            <w:vAlign w:val="bottom"/>
            <w:hideMark/>
          </w:tcPr>
          <w:p w14:paraId="087DC973" w14:textId="77777777" w:rsidR="00AF45DE" w:rsidRPr="00AF45DE" w:rsidRDefault="00AF45DE" w:rsidP="00AF45DE">
            <w:pPr>
              <w:jc w:val="right"/>
              <w:rPr>
                <w:rFonts w:asciiTheme="majorHAnsi" w:hAnsiTheme="majorHAnsi" w:cstheme="majorHAnsi"/>
                <w:b/>
                <w:bCs/>
                <w:sz w:val="16"/>
                <w:szCs w:val="16"/>
              </w:rPr>
            </w:pPr>
            <w:r w:rsidRPr="00AF45DE">
              <w:rPr>
                <w:rFonts w:asciiTheme="majorHAnsi" w:hAnsiTheme="majorHAnsi" w:cstheme="majorHAnsi"/>
                <w:b/>
                <w:bCs/>
                <w:sz w:val="16"/>
                <w:szCs w:val="16"/>
              </w:rPr>
              <w:t>2.444.102.225</w:t>
            </w:r>
          </w:p>
        </w:tc>
      </w:tr>
      <w:tr w:rsidR="00AF45DE" w:rsidRPr="00AF45DE" w14:paraId="50A44F5B" w14:textId="77777777" w:rsidTr="00AF45DE">
        <w:trPr>
          <w:trHeight w:hRule="exact" w:val="227"/>
        </w:trPr>
        <w:tc>
          <w:tcPr>
            <w:tcW w:w="1542" w:type="pct"/>
            <w:tcBorders>
              <w:top w:val="nil"/>
              <w:left w:val="nil"/>
              <w:bottom w:val="nil"/>
              <w:right w:val="nil"/>
            </w:tcBorders>
            <w:shd w:val="clear" w:color="auto" w:fill="auto"/>
            <w:noWrap/>
            <w:vAlign w:val="bottom"/>
            <w:hideMark/>
          </w:tcPr>
          <w:p w14:paraId="64A3DE47" w14:textId="77777777" w:rsidR="00AF45DE" w:rsidRPr="00AF45DE" w:rsidRDefault="00AF45DE">
            <w:pPr>
              <w:jc w:val="right"/>
              <w:rPr>
                <w:rFonts w:asciiTheme="majorHAnsi" w:hAnsiTheme="majorHAnsi" w:cstheme="majorHAnsi"/>
                <w:b/>
                <w:bCs/>
                <w:sz w:val="16"/>
                <w:szCs w:val="16"/>
              </w:rPr>
            </w:pPr>
          </w:p>
        </w:tc>
        <w:tc>
          <w:tcPr>
            <w:tcW w:w="634" w:type="pct"/>
            <w:tcBorders>
              <w:top w:val="nil"/>
              <w:left w:val="nil"/>
              <w:bottom w:val="nil"/>
              <w:right w:val="nil"/>
            </w:tcBorders>
            <w:shd w:val="clear" w:color="auto" w:fill="auto"/>
            <w:noWrap/>
            <w:vAlign w:val="bottom"/>
            <w:hideMark/>
          </w:tcPr>
          <w:p w14:paraId="7D932833" w14:textId="77777777" w:rsidR="00AF45DE" w:rsidRPr="00AF45DE" w:rsidRDefault="00AF45DE">
            <w:pPr>
              <w:rPr>
                <w:rFonts w:asciiTheme="majorHAnsi" w:hAnsiTheme="majorHAnsi" w:cstheme="majorHAnsi"/>
                <w:sz w:val="16"/>
                <w:szCs w:val="16"/>
              </w:rPr>
            </w:pPr>
          </w:p>
        </w:tc>
        <w:tc>
          <w:tcPr>
            <w:tcW w:w="906" w:type="pct"/>
            <w:tcBorders>
              <w:top w:val="nil"/>
              <w:left w:val="nil"/>
              <w:bottom w:val="nil"/>
              <w:right w:val="nil"/>
            </w:tcBorders>
            <w:shd w:val="clear" w:color="auto" w:fill="auto"/>
            <w:noWrap/>
            <w:vAlign w:val="bottom"/>
            <w:hideMark/>
          </w:tcPr>
          <w:p w14:paraId="117A27A3" w14:textId="77777777" w:rsidR="00AF45DE" w:rsidRPr="00AF45DE" w:rsidRDefault="00AF45DE">
            <w:pPr>
              <w:jc w:val="right"/>
              <w:rPr>
                <w:rFonts w:asciiTheme="majorHAnsi" w:hAnsiTheme="majorHAnsi" w:cstheme="majorHAnsi"/>
                <w:sz w:val="16"/>
                <w:szCs w:val="16"/>
              </w:rPr>
            </w:pPr>
          </w:p>
        </w:tc>
        <w:tc>
          <w:tcPr>
            <w:tcW w:w="847" w:type="pct"/>
            <w:tcBorders>
              <w:top w:val="nil"/>
              <w:left w:val="nil"/>
              <w:bottom w:val="nil"/>
              <w:right w:val="nil"/>
            </w:tcBorders>
            <w:shd w:val="clear" w:color="auto" w:fill="auto"/>
            <w:noWrap/>
            <w:vAlign w:val="bottom"/>
            <w:hideMark/>
          </w:tcPr>
          <w:p w14:paraId="164F5C7A" w14:textId="77777777" w:rsidR="00AF45DE" w:rsidRPr="00AF45DE" w:rsidRDefault="00AF45DE">
            <w:pPr>
              <w:jc w:val="right"/>
              <w:rPr>
                <w:rFonts w:asciiTheme="majorHAnsi" w:hAnsiTheme="majorHAnsi" w:cstheme="majorHAnsi"/>
                <w:sz w:val="16"/>
                <w:szCs w:val="16"/>
              </w:rPr>
            </w:pPr>
          </w:p>
        </w:tc>
        <w:tc>
          <w:tcPr>
            <w:tcW w:w="1071" w:type="pct"/>
            <w:tcBorders>
              <w:top w:val="nil"/>
              <w:left w:val="nil"/>
              <w:bottom w:val="nil"/>
              <w:right w:val="nil"/>
            </w:tcBorders>
            <w:shd w:val="clear" w:color="auto" w:fill="auto"/>
            <w:noWrap/>
            <w:vAlign w:val="bottom"/>
            <w:hideMark/>
          </w:tcPr>
          <w:p w14:paraId="7D9B7A00" w14:textId="77777777" w:rsidR="00AF45DE" w:rsidRPr="00AF45DE" w:rsidRDefault="00AF45DE">
            <w:pPr>
              <w:jc w:val="right"/>
              <w:rPr>
                <w:rFonts w:asciiTheme="majorHAnsi" w:hAnsiTheme="majorHAnsi" w:cstheme="majorHAnsi"/>
                <w:sz w:val="16"/>
                <w:szCs w:val="16"/>
              </w:rPr>
            </w:pPr>
          </w:p>
        </w:tc>
      </w:tr>
      <w:tr w:rsidR="00AF45DE" w:rsidRPr="00AF45DE" w14:paraId="71E4A3BA" w14:textId="77777777" w:rsidTr="00AF45DE">
        <w:trPr>
          <w:trHeight w:hRule="exact" w:val="227"/>
        </w:trPr>
        <w:tc>
          <w:tcPr>
            <w:tcW w:w="4999" w:type="pct"/>
            <w:gridSpan w:val="5"/>
            <w:tcBorders>
              <w:top w:val="nil"/>
              <w:left w:val="nil"/>
              <w:bottom w:val="nil"/>
              <w:right w:val="nil"/>
            </w:tcBorders>
            <w:shd w:val="clear" w:color="auto" w:fill="auto"/>
            <w:noWrap/>
            <w:vAlign w:val="bottom"/>
            <w:hideMark/>
          </w:tcPr>
          <w:p w14:paraId="4A852B8D" w14:textId="77777777" w:rsidR="00AF45DE" w:rsidRPr="00AF45DE" w:rsidRDefault="00AF45DE">
            <w:pPr>
              <w:jc w:val="center"/>
              <w:rPr>
                <w:rFonts w:asciiTheme="majorHAnsi" w:hAnsiTheme="majorHAnsi" w:cstheme="majorHAnsi"/>
                <w:sz w:val="16"/>
                <w:szCs w:val="16"/>
              </w:rPr>
            </w:pPr>
            <w:r w:rsidRPr="00AF45DE">
              <w:rPr>
                <w:rFonts w:asciiTheme="majorHAnsi" w:hAnsiTheme="majorHAnsi" w:cstheme="majorHAnsi"/>
                <w:sz w:val="16"/>
                <w:szCs w:val="16"/>
              </w:rPr>
              <w:t>(As Notas Explicativas são parte integrante das demonstrações contábeis intermediárias)</w:t>
            </w:r>
          </w:p>
        </w:tc>
      </w:tr>
    </w:tbl>
    <w:p w14:paraId="61314578" w14:textId="69299CBC" w:rsidR="00AF45DE" w:rsidRDefault="00AF45DE" w:rsidP="00AF45DE"/>
    <w:p w14:paraId="7C6EB6EE" w14:textId="3E6CB21C" w:rsidR="00AF45DE" w:rsidRDefault="00AF45DE" w:rsidP="00AF45DE"/>
    <w:p w14:paraId="6AF9BA81" w14:textId="0974DB01" w:rsidR="00AF45DE" w:rsidRDefault="00AF45DE" w:rsidP="00AF45DE"/>
    <w:p w14:paraId="63027DD1" w14:textId="71A1AD90" w:rsidR="00AF45DE" w:rsidRDefault="00AF45DE" w:rsidP="00AF45DE"/>
    <w:p w14:paraId="628C6A11" w14:textId="3FCDF8A6" w:rsidR="00AF45DE" w:rsidRDefault="00AF45DE" w:rsidP="00AF45DE"/>
    <w:p w14:paraId="5BC8D66A" w14:textId="42D67FBE" w:rsidR="00AF45DE" w:rsidRDefault="00AF45DE" w:rsidP="00AF45DE"/>
    <w:p w14:paraId="39EF70B1" w14:textId="31C319E2" w:rsidR="00AF45DE" w:rsidRDefault="00AF45DE" w:rsidP="00AF45DE"/>
    <w:p w14:paraId="24C4B5F1" w14:textId="298492ED" w:rsidR="00AF45DE" w:rsidRDefault="00AF45DE" w:rsidP="00AF45DE"/>
    <w:p w14:paraId="5E0566A9" w14:textId="10405610" w:rsidR="00AF45DE" w:rsidRDefault="00AF45DE" w:rsidP="00AF45DE"/>
    <w:p w14:paraId="0F32502C" w14:textId="183A6FD8" w:rsidR="00AF45DE" w:rsidRDefault="00AF45DE" w:rsidP="00AF45DE"/>
    <w:p w14:paraId="14E16C5E" w14:textId="2706FCC9" w:rsidR="00AF45DE" w:rsidRDefault="00AF45DE" w:rsidP="00AF45DE"/>
    <w:p w14:paraId="521C6C0E" w14:textId="276A4867" w:rsidR="00AF45DE" w:rsidRDefault="00AF45DE" w:rsidP="00AF45DE"/>
    <w:p w14:paraId="33685FCD" w14:textId="463000C8" w:rsidR="00AF45DE" w:rsidRDefault="00AF45DE" w:rsidP="00AF45DE"/>
    <w:p w14:paraId="3A9AD32C" w14:textId="60A402A5" w:rsidR="00AF45DE" w:rsidRDefault="00AF45DE" w:rsidP="00AF45DE"/>
    <w:p w14:paraId="0F064E9C" w14:textId="000261E9" w:rsidR="00AF45DE" w:rsidRDefault="00AF45DE" w:rsidP="00AF45DE"/>
    <w:p w14:paraId="7672D3B3" w14:textId="2E3072BD" w:rsidR="00AF45DE" w:rsidRDefault="00AF45DE" w:rsidP="00AF45DE"/>
    <w:p w14:paraId="13AE95E7" w14:textId="2BB97F35" w:rsidR="00AF45DE" w:rsidRDefault="00AF45DE" w:rsidP="00AF45DE"/>
    <w:p w14:paraId="0651E841" w14:textId="0F47AA7B" w:rsidR="00AF45DE" w:rsidRDefault="00AF45DE" w:rsidP="00AF45DE"/>
    <w:p w14:paraId="4B63F23F" w14:textId="54513241" w:rsidR="00AF45DE" w:rsidRDefault="00AF45DE" w:rsidP="00AF45DE"/>
    <w:p w14:paraId="4A01B982" w14:textId="3F369E85" w:rsidR="00AF45DE" w:rsidRDefault="00AF45DE" w:rsidP="00AF45DE"/>
    <w:p w14:paraId="2D6C3C8B" w14:textId="2C5B6D60" w:rsidR="00AF45DE" w:rsidRDefault="00AF45DE" w:rsidP="00AF45DE"/>
    <w:p w14:paraId="4A7FBD49" w14:textId="218D8951" w:rsidR="00AF45DE" w:rsidRDefault="00AF45DE" w:rsidP="00AF45DE"/>
    <w:p w14:paraId="4DD99C33" w14:textId="304A3E13" w:rsidR="00AF45DE" w:rsidRDefault="00AF45DE" w:rsidP="00AF45DE"/>
    <w:p w14:paraId="2B3C27CF" w14:textId="3DCFFFEC" w:rsidR="00AF45DE" w:rsidRDefault="00AF45DE" w:rsidP="00AF45DE"/>
    <w:p w14:paraId="6F99E4C3" w14:textId="7DE9F97C" w:rsidR="00AF45DE" w:rsidRDefault="00AF45DE" w:rsidP="00AF45DE"/>
    <w:p w14:paraId="1414F293" w14:textId="02AAB3DE" w:rsidR="00AF45DE" w:rsidRDefault="00AF45DE" w:rsidP="00AF45DE"/>
    <w:p w14:paraId="69C3038B" w14:textId="796BD8AA" w:rsidR="00AF45DE" w:rsidRDefault="00AF45DE" w:rsidP="00AF45DE"/>
    <w:p w14:paraId="3963FB8D" w14:textId="4BB62B8F" w:rsidR="00AF45DE" w:rsidRDefault="00AF45DE" w:rsidP="00AF45DE"/>
    <w:p w14:paraId="26B1F6E6" w14:textId="21504704" w:rsidR="00AF45DE" w:rsidRDefault="00AF45DE" w:rsidP="00AF45DE"/>
    <w:tbl>
      <w:tblPr>
        <w:tblW w:w="5000" w:type="pct"/>
        <w:tblCellMar>
          <w:left w:w="70" w:type="dxa"/>
          <w:right w:w="70" w:type="dxa"/>
        </w:tblCellMar>
        <w:tblLook w:val="04A0" w:firstRow="1" w:lastRow="0" w:firstColumn="1" w:lastColumn="0" w:noHBand="0" w:noVBand="1"/>
      </w:tblPr>
      <w:tblGrid>
        <w:gridCol w:w="6730"/>
        <w:gridCol w:w="1698"/>
        <w:gridCol w:w="2039"/>
      </w:tblGrid>
      <w:tr w:rsidR="00D01180" w:rsidRPr="00D01180" w14:paraId="700CC9A0" w14:textId="77777777" w:rsidTr="00D01180">
        <w:trPr>
          <w:trHeight w:hRule="exact" w:val="227"/>
        </w:trPr>
        <w:tc>
          <w:tcPr>
            <w:tcW w:w="5000" w:type="pct"/>
            <w:gridSpan w:val="3"/>
            <w:tcBorders>
              <w:top w:val="nil"/>
              <w:left w:val="nil"/>
              <w:bottom w:val="nil"/>
              <w:right w:val="nil"/>
            </w:tcBorders>
            <w:shd w:val="clear" w:color="000000" w:fill="FFFFFF"/>
            <w:noWrap/>
            <w:vAlign w:val="bottom"/>
            <w:hideMark/>
          </w:tcPr>
          <w:p w14:paraId="2E00CEDD"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lastRenderedPageBreak/>
              <w:t>DEMONSTRAÇÕES DO FLUXO DE CAIXA</w:t>
            </w:r>
          </w:p>
        </w:tc>
      </w:tr>
      <w:tr w:rsidR="00D01180" w:rsidRPr="00D01180" w14:paraId="556F32B5" w14:textId="77777777" w:rsidTr="00D01180">
        <w:trPr>
          <w:trHeight w:hRule="exact" w:val="227"/>
        </w:trPr>
        <w:tc>
          <w:tcPr>
            <w:tcW w:w="5000" w:type="pct"/>
            <w:gridSpan w:val="3"/>
            <w:tcBorders>
              <w:top w:val="nil"/>
              <w:left w:val="nil"/>
              <w:bottom w:val="nil"/>
              <w:right w:val="nil"/>
            </w:tcBorders>
            <w:shd w:val="clear" w:color="auto" w:fill="auto"/>
            <w:noWrap/>
            <w:vAlign w:val="bottom"/>
            <w:hideMark/>
          </w:tcPr>
          <w:p w14:paraId="359FFB0F"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t>3º TRIMESTRE 2022</w:t>
            </w:r>
          </w:p>
        </w:tc>
      </w:tr>
      <w:tr w:rsidR="00D01180" w:rsidRPr="00D01180" w14:paraId="6491D076" w14:textId="77777777" w:rsidTr="00D01180">
        <w:trPr>
          <w:trHeight w:hRule="exact" w:val="227"/>
        </w:trPr>
        <w:tc>
          <w:tcPr>
            <w:tcW w:w="5000" w:type="pct"/>
            <w:gridSpan w:val="3"/>
            <w:tcBorders>
              <w:top w:val="nil"/>
              <w:left w:val="nil"/>
              <w:bottom w:val="nil"/>
              <w:right w:val="nil"/>
            </w:tcBorders>
            <w:shd w:val="clear" w:color="000000" w:fill="FFFFFF"/>
            <w:noWrap/>
            <w:vAlign w:val="bottom"/>
            <w:hideMark/>
          </w:tcPr>
          <w:p w14:paraId="25F935CD"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t xml:space="preserve"> Em R$ 1 </w:t>
            </w:r>
          </w:p>
        </w:tc>
      </w:tr>
      <w:tr w:rsidR="00D01180" w:rsidRPr="00D01180" w14:paraId="41120D6B"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40BD679F"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3D3D2530"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974" w:type="pct"/>
            <w:tcBorders>
              <w:top w:val="nil"/>
              <w:left w:val="nil"/>
              <w:bottom w:val="nil"/>
              <w:right w:val="nil"/>
            </w:tcBorders>
            <w:shd w:val="clear" w:color="000000" w:fill="FFFFFF"/>
            <w:vAlign w:val="bottom"/>
            <w:hideMark/>
          </w:tcPr>
          <w:p w14:paraId="6DC887E3" w14:textId="77777777" w:rsidR="00D01180" w:rsidRPr="00D01180" w:rsidRDefault="00D01180">
            <w:pPr>
              <w:rPr>
                <w:rFonts w:asciiTheme="majorHAnsi" w:hAnsiTheme="majorHAnsi" w:cstheme="majorHAnsi"/>
                <w:b/>
                <w:bCs/>
                <w:sz w:val="16"/>
                <w:szCs w:val="16"/>
              </w:rPr>
            </w:pPr>
            <w:r w:rsidRPr="00D01180">
              <w:rPr>
                <w:rFonts w:asciiTheme="majorHAnsi" w:hAnsiTheme="majorHAnsi" w:cstheme="majorHAnsi"/>
                <w:b/>
                <w:bCs/>
                <w:sz w:val="16"/>
                <w:szCs w:val="16"/>
              </w:rPr>
              <w:t> </w:t>
            </w:r>
          </w:p>
        </w:tc>
      </w:tr>
      <w:tr w:rsidR="00D01180" w:rsidRPr="00D01180" w14:paraId="13B3F970"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6C99A8BF"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811" w:type="pct"/>
            <w:tcBorders>
              <w:top w:val="nil"/>
              <w:left w:val="nil"/>
              <w:bottom w:val="nil"/>
              <w:right w:val="nil"/>
            </w:tcBorders>
            <w:shd w:val="clear" w:color="auto" w:fill="auto"/>
            <w:vAlign w:val="bottom"/>
            <w:hideMark/>
          </w:tcPr>
          <w:p w14:paraId="5DEB9049"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01/01/2022</w:t>
            </w:r>
          </w:p>
        </w:tc>
        <w:tc>
          <w:tcPr>
            <w:tcW w:w="974" w:type="pct"/>
            <w:tcBorders>
              <w:top w:val="nil"/>
              <w:left w:val="nil"/>
              <w:bottom w:val="nil"/>
              <w:right w:val="nil"/>
            </w:tcBorders>
            <w:shd w:val="clear" w:color="auto" w:fill="auto"/>
            <w:noWrap/>
            <w:vAlign w:val="bottom"/>
            <w:hideMark/>
          </w:tcPr>
          <w:p w14:paraId="310B25C0"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01/01/2021</w:t>
            </w:r>
          </w:p>
        </w:tc>
      </w:tr>
      <w:tr w:rsidR="00D01180" w:rsidRPr="00D01180" w14:paraId="2F3EA608"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7A750A7C"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811" w:type="pct"/>
            <w:tcBorders>
              <w:top w:val="nil"/>
              <w:left w:val="nil"/>
              <w:bottom w:val="nil"/>
              <w:right w:val="nil"/>
            </w:tcBorders>
            <w:shd w:val="clear" w:color="auto" w:fill="auto"/>
            <w:noWrap/>
            <w:vAlign w:val="bottom"/>
            <w:hideMark/>
          </w:tcPr>
          <w:p w14:paraId="77203E37"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a 30/09/2022</w:t>
            </w:r>
          </w:p>
        </w:tc>
        <w:tc>
          <w:tcPr>
            <w:tcW w:w="974" w:type="pct"/>
            <w:tcBorders>
              <w:top w:val="nil"/>
              <w:left w:val="nil"/>
              <w:bottom w:val="nil"/>
              <w:right w:val="nil"/>
            </w:tcBorders>
            <w:shd w:val="clear" w:color="auto" w:fill="auto"/>
            <w:noWrap/>
            <w:vAlign w:val="bottom"/>
            <w:hideMark/>
          </w:tcPr>
          <w:p w14:paraId="2AFFB7E5"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a 30/09/2021</w:t>
            </w:r>
          </w:p>
        </w:tc>
      </w:tr>
      <w:tr w:rsidR="00D01180" w:rsidRPr="00D01180" w14:paraId="6C47133A"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11745295"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3690D128" w14:textId="77777777" w:rsidR="00D01180" w:rsidRPr="00D01180" w:rsidRDefault="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w:t>
            </w:r>
          </w:p>
        </w:tc>
        <w:tc>
          <w:tcPr>
            <w:tcW w:w="974" w:type="pct"/>
            <w:tcBorders>
              <w:top w:val="nil"/>
              <w:left w:val="nil"/>
              <w:bottom w:val="nil"/>
              <w:right w:val="nil"/>
            </w:tcBorders>
            <w:shd w:val="clear" w:color="000000" w:fill="FFFFFF"/>
            <w:noWrap/>
            <w:vAlign w:val="bottom"/>
            <w:hideMark/>
          </w:tcPr>
          <w:p w14:paraId="6CB4B9C1" w14:textId="77777777" w:rsidR="00D01180" w:rsidRPr="00D01180" w:rsidRDefault="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w:t>
            </w:r>
          </w:p>
        </w:tc>
      </w:tr>
      <w:tr w:rsidR="00D01180" w:rsidRPr="00D01180" w14:paraId="52029EF9" w14:textId="77777777" w:rsidTr="00D01180">
        <w:trPr>
          <w:trHeight w:hRule="exact" w:val="227"/>
        </w:trPr>
        <w:tc>
          <w:tcPr>
            <w:tcW w:w="5000" w:type="pct"/>
            <w:gridSpan w:val="3"/>
            <w:tcBorders>
              <w:top w:val="nil"/>
              <w:left w:val="nil"/>
              <w:bottom w:val="nil"/>
              <w:right w:val="nil"/>
            </w:tcBorders>
            <w:shd w:val="clear" w:color="000000" w:fill="FFFFFF"/>
            <w:noWrap/>
            <w:vAlign w:val="bottom"/>
            <w:hideMark/>
          </w:tcPr>
          <w:p w14:paraId="7DB98A7B"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t> </w:t>
            </w:r>
          </w:p>
        </w:tc>
      </w:tr>
      <w:tr w:rsidR="00D01180" w:rsidRPr="00D01180" w14:paraId="22E5896C" w14:textId="77777777" w:rsidTr="00D01180">
        <w:trPr>
          <w:trHeight w:hRule="exact" w:val="227"/>
        </w:trPr>
        <w:tc>
          <w:tcPr>
            <w:tcW w:w="5000" w:type="pct"/>
            <w:gridSpan w:val="3"/>
            <w:tcBorders>
              <w:top w:val="nil"/>
              <w:left w:val="nil"/>
              <w:bottom w:val="nil"/>
              <w:right w:val="nil"/>
            </w:tcBorders>
            <w:shd w:val="clear" w:color="000000" w:fill="FFFFFF"/>
            <w:noWrap/>
            <w:vAlign w:val="bottom"/>
            <w:hideMark/>
          </w:tcPr>
          <w:p w14:paraId="49998DE6"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t xml:space="preserve"> FLUXOS DE CAIXA DAS ATIVIDADES OPERACIONAIS </w:t>
            </w:r>
          </w:p>
        </w:tc>
      </w:tr>
      <w:tr w:rsidR="00D01180" w:rsidRPr="00D01180" w14:paraId="195DFE5C"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5AD5B80B"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t> </w:t>
            </w:r>
          </w:p>
        </w:tc>
        <w:tc>
          <w:tcPr>
            <w:tcW w:w="811" w:type="pct"/>
            <w:tcBorders>
              <w:top w:val="nil"/>
              <w:left w:val="nil"/>
              <w:bottom w:val="nil"/>
              <w:right w:val="nil"/>
            </w:tcBorders>
            <w:shd w:val="clear" w:color="000000" w:fill="FFFFFF"/>
            <w:noWrap/>
            <w:vAlign w:val="bottom"/>
            <w:hideMark/>
          </w:tcPr>
          <w:p w14:paraId="54026698"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t> </w:t>
            </w:r>
          </w:p>
        </w:tc>
        <w:tc>
          <w:tcPr>
            <w:tcW w:w="974" w:type="pct"/>
            <w:tcBorders>
              <w:top w:val="nil"/>
              <w:left w:val="nil"/>
              <w:bottom w:val="nil"/>
              <w:right w:val="nil"/>
            </w:tcBorders>
            <w:shd w:val="clear" w:color="auto" w:fill="auto"/>
            <w:noWrap/>
            <w:vAlign w:val="bottom"/>
            <w:hideMark/>
          </w:tcPr>
          <w:p w14:paraId="7B26C4EF" w14:textId="77777777" w:rsidR="00D01180" w:rsidRPr="00D01180" w:rsidRDefault="00D01180">
            <w:pPr>
              <w:jc w:val="center"/>
              <w:rPr>
                <w:rFonts w:asciiTheme="majorHAnsi" w:hAnsiTheme="majorHAnsi" w:cstheme="majorHAnsi"/>
                <w:b/>
                <w:bCs/>
                <w:sz w:val="16"/>
                <w:szCs w:val="16"/>
              </w:rPr>
            </w:pPr>
          </w:p>
        </w:tc>
      </w:tr>
      <w:tr w:rsidR="00D01180" w:rsidRPr="00D01180" w14:paraId="2F29FAFB"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45F3DAE0" w14:textId="663E38B0" w:rsidR="00D01180" w:rsidRPr="00D01180" w:rsidRDefault="00D01180">
            <w:pPr>
              <w:rPr>
                <w:rFonts w:asciiTheme="majorHAnsi" w:hAnsiTheme="majorHAnsi" w:cstheme="majorHAnsi"/>
                <w:b/>
                <w:bCs/>
                <w:sz w:val="16"/>
                <w:szCs w:val="16"/>
              </w:rPr>
            </w:pPr>
            <w:r w:rsidRPr="00D01180">
              <w:rPr>
                <w:rFonts w:asciiTheme="majorHAnsi" w:hAnsiTheme="majorHAnsi" w:cstheme="majorHAnsi"/>
                <w:b/>
                <w:bCs/>
                <w:sz w:val="16"/>
                <w:szCs w:val="16"/>
              </w:rPr>
              <w:t xml:space="preserve"> Resultado do Exercício </w:t>
            </w:r>
            <w:r w:rsidR="002E74C6">
              <w:rPr>
                <w:rFonts w:asciiTheme="majorHAnsi" w:hAnsiTheme="majorHAnsi" w:cstheme="majorHAnsi"/>
                <w:b/>
                <w:bCs/>
                <w:sz w:val="16"/>
                <w:szCs w:val="16"/>
              </w:rPr>
              <w:t>antes do IRPJ e da CSLL</w:t>
            </w:r>
          </w:p>
        </w:tc>
        <w:tc>
          <w:tcPr>
            <w:tcW w:w="811" w:type="pct"/>
            <w:tcBorders>
              <w:top w:val="nil"/>
              <w:left w:val="nil"/>
              <w:bottom w:val="nil"/>
              <w:right w:val="nil"/>
            </w:tcBorders>
            <w:shd w:val="clear" w:color="000000" w:fill="FFFFFF"/>
            <w:noWrap/>
            <w:vAlign w:val="bottom"/>
            <w:hideMark/>
          </w:tcPr>
          <w:p w14:paraId="372099D8" w14:textId="39108942"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w:t>
            </w:r>
            <w:r w:rsidR="002E74C6">
              <w:rPr>
                <w:rFonts w:asciiTheme="majorHAnsi" w:hAnsiTheme="majorHAnsi" w:cstheme="majorHAnsi"/>
                <w:b/>
                <w:bCs/>
                <w:sz w:val="16"/>
                <w:szCs w:val="16"/>
              </w:rPr>
              <w:t>5.224.693</w:t>
            </w:r>
            <w:r w:rsidRPr="00D01180">
              <w:rPr>
                <w:rFonts w:asciiTheme="majorHAnsi" w:hAnsiTheme="majorHAnsi" w:cstheme="majorHAnsi"/>
                <w:b/>
                <w:bCs/>
                <w:sz w:val="16"/>
                <w:szCs w:val="16"/>
              </w:rPr>
              <w:t xml:space="preserve"> </w:t>
            </w:r>
          </w:p>
        </w:tc>
        <w:tc>
          <w:tcPr>
            <w:tcW w:w="974" w:type="pct"/>
            <w:tcBorders>
              <w:top w:val="nil"/>
              <w:left w:val="nil"/>
              <w:bottom w:val="nil"/>
              <w:right w:val="nil"/>
            </w:tcBorders>
            <w:shd w:val="clear" w:color="000000" w:fill="FFFFFF"/>
            <w:noWrap/>
            <w:vAlign w:val="bottom"/>
            <w:hideMark/>
          </w:tcPr>
          <w:p w14:paraId="78BABE78"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(101.934.258)</w:t>
            </w:r>
          </w:p>
        </w:tc>
      </w:tr>
      <w:tr w:rsidR="00D01180" w:rsidRPr="00D01180" w14:paraId="6CB20B68"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788E2C8C"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Ajustes do resultado do periodo </w:t>
            </w:r>
          </w:p>
        </w:tc>
        <w:tc>
          <w:tcPr>
            <w:tcW w:w="811" w:type="pct"/>
            <w:tcBorders>
              <w:top w:val="nil"/>
              <w:left w:val="nil"/>
              <w:bottom w:val="nil"/>
              <w:right w:val="nil"/>
            </w:tcBorders>
            <w:shd w:val="clear" w:color="000000" w:fill="FFFFFF"/>
            <w:noWrap/>
            <w:vAlign w:val="bottom"/>
            <w:hideMark/>
          </w:tcPr>
          <w:p w14:paraId="014FEE00"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(116.804.257)</w:t>
            </w:r>
          </w:p>
        </w:tc>
        <w:tc>
          <w:tcPr>
            <w:tcW w:w="974" w:type="pct"/>
            <w:tcBorders>
              <w:top w:val="nil"/>
              <w:left w:val="nil"/>
              <w:bottom w:val="nil"/>
              <w:right w:val="nil"/>
            </w:tcBorders>
            <w:shd w:val="clear" w:color="000000" w:fill="FFFFFF"/>
            <w:noWrap/>
            <w:vAlign w:val="bottom"/>
            <w:hideMark/>
          </w:tcPr>
          <w:p w14:paraId="726A2248"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5.822.225 </w:t>
            </w:r>
          </w:p>
        </w:tc>
      </w:tr>
      <w:tr w:rsidR="00D01180" w:rsidRPr="00D01180" w14:paraId="2EDB850D"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056C85B4"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Depreciação e Amortização </w:t>
            </w:r>
          </w:p>
        </w:tc>
        <w:tc>
          <w:tcPr>
            <w:tcW w:w="811" w:type="pct"/>
            <w:tcBorders>
              <w:top w:val="nil"/>
              <w:left w:val="nil"/>
              <w:bottom w:val="nil"/>
              <w:right w:val="nil"/>
            </w:tcBorders>
            <w:shd w:val="clear" w:color="000000" w:fill="FFFFFF"/>
            <w:noWrap/>
            <w:vAlign w:val="bottom"/>
            <w:hideMark/>
          </w:tcPr>
          <w:p w14:paraId="2F51F3AD"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5.716.652 </w:t>
            </w:r>
          </w:p>
        </w:tc>
        <w:tc>
          <w:tcPr>
            <w:tcW w:w="974" w:type="pct"/>
            <w:tcBorders>
              <w:top w:val="nil"/>
              <w:left w:val="nil"/>
              <w:bottom w:val="nil"/>
              <w:right w:val="nil"/>
            </w:tcBorders>
            <w:shd w:val="clear" w:color="000000" w:fill="FFFFFF"/>
            <w:noWrap/>
            <w:vAlign w:val="bottom"/>
            <w:hideMark/>
          </w:tcPr>
          <w:p w14:paraId="75FE10E8"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8.961.193 </w:t>
            </w:r>
          </w:p>
        </w:tc>
      </w:tr>
      <w:tr w:rsidR="00D01180" w:rsidRPr="00D01180" w14:paraId="55B56E1F"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368C0570"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Resultado na Baixa de Ativos Imobilizados / Intangíveis </w:t>
            </w:r>
          </w:p>
        </w:tc>
        <w:tc>
          <w:tcPr>
            <w:tcW w:w="811" w:type="pct"/>
            <w:tcBorders>
              <w:top w:val="nil"/>
              <w:left w:val="nil"/>
              <w:bottom w:val="nil"/>
              <w:right w:val="nil"/>
            </w:tcBorders>
            <w:shd w:val="clear" w:color="000000" w:fill="FFFFFF"/>
            <w:noWrap/>
            <w:vAlign w:val="bottom"/>
            <w:hideMark/>
          </w:tcPr>
          <w:p w14:paraId="34B958A1"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6.598.523 </w:t>
            </w:r>
          </w:p>
        </w:tc>
        <w:tc>
          <w:tcPr>
            <w:tcW w:w="974" w:type="pct"/>
            <w:tcBorders>
              <w:top w:val="nil"/>
              <w:left w:val="nil"/>
              <w:bottom w:val="nil"/>
              <w:right w:val="nil"/>
            </w:tcBorders>
            <w:shd w:val="clear" w:color="000000" w:fill="FFFFFF"/>
            <w:noWrap/>
            <w:vAlign w:val="bottom"/>
            <w:hideMark/>
          </w:tcPr>
          <w:p w14:paraId="4589E225"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167.491 </w:t>
            </w:r>
          </w:p>
        </w:tc>
      </w:tr>
      <w:tr w:rsidR="00D01180" w:rsidRPr="00D01180" w14:paraId="7ED688FA"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2C4E7C72"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Atualização Monetária Ativa </w:t>
            </w:r>
          </w:p>
        </w:tc>
        <w:tc>
          <w:tcPr>
            <w:tcW w:w="811" w:type="pct"/>
            <w:tcBorders>
              <w:top w:val="nil"/>
              <w:left w:val="nil"/>
              <w:bottom w:val="nil"/>
              <w:right w:val="nil"/>
            </w:tcBorders>
            <w:shd w:val="clear" w:color="000000" w:fill="FFFFFF"/>
            <w:noWrap/>
            <w:vAlign w:val="bottom"/>
            <w:hideMark/>
          </w:tcPr>
          <w:p w14:paraId="5A08EB71"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(3.722.499)</w:t>
            </w:r>
          </w:p>
        </w:tc>
        <w:tc>
          <w:tcPr>
            <w:tcW w:w="974" w:type="pct"/>
            <w:tcBorders>
              <w:top w:val="nil"/>
              <w:left w:val="nil"/>
              <w:bottom w:val="nil"/>
              <w:right w:val="nil"/>
            </w:tcBorders>
            <w:shd w:val="clear" w:color="000000" w:fill="FFFFFF"/>
            <w:noWrap/>
            <w:vAlign w:val="bottom"/>
            <w:hideMark/>
          </w:tcPr>
          <w:p w14:paraId="233D3993"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(4.185.367)</w:t>
            </w:r>
          </w:p>
        </w:tc>
      </w:tr>
      <w:tr w:rsidR="00D01180" w:rsidRPr="00D01180" w14:paraId="13C96AE5"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0751D117"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Despesas Líquidas de Provisões para Contingências </w:t>
            </w:r>
          </w:p>
        </w:tc>
        <w:tc>
          <w:tcPr>
            <w:tcW w:w="811" w:type="pct"/>
            <w:tcBorders>
              <w:top w:val="nil"/>
              <w:left w:val="nil"/>
              <w:bottom w:val="nil"/>
              <w:right w:val="nil"/>
            </w:tcBorders>
            <w:shd w:val="clear" w:color="000000" w:fill="FFFFFF"/>
            <w:noWrap/>
            <w:vAlign w:val="bottom"/>
            <w:hideMark/>
          </w:tcPr>
          <w:p w14:paraId="68CF12FB"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(30.111.795)</w:t>
            </w:r>
          </w:p>
        </w:tc>
        <w:tc>
          <w:tcPr>
            <w:tcW w:w="974" w:type="pct"/>
            <w:tcBorders>
              <w:top w:val="nil"/>
              <w:left w:val="nil"/>
              <w:bottom w:val="nil"/>
              <w:right w:val="nil"/>
            </w:tcBorders>
            <w:shd w:val="clear" w:color="000000" w:fill="FFFFFF"/>
            <w:noWrap/>
            <w:vAlign w:val="bottom"/>
            <w:hideMark/>
          </w:tcPr>
          <w:p w14:paraId="6B1806CA"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70.667.674 </w:t>
            </w:r>
          </w:p>
        </w:tc>
      </w:tr>
      <w:tr w:rsidR="00D01180" w:rsidRPr="00D01180" w14:paraId="2577BF8F"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3116A23E"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Provisão p/ 13º Salário, Férias e Encargos </w:t>
            </w:r>
          </w:p>
        </w:tc>
        <w:tc>
          <w:tcPr>
            <w:tcW w:w="811" w:type="pct"/>
            <w:tcBorders>
              <w:top w:val="nil"/>
              <w:left w:val="nil"/>
              <w:bottom w:val="nil"/>
              <w:right w:val="nil"/>
            </w:tcBorders>
            <w:shd w:val="clear" w:color="000000" w:fill="FFFFFF"/>
            <w:noWrap/>
            <w:vAlign w:val="bottom"/>
            <w:hideMark/>
          </w:tcPr>
          <w:p w14:paraId="4C5AF033"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5.361.893 </w:t>
            </w:r>
          </w:p>
        </w:tc>
        <w:tc>
          <w:tcPr>
            <w:tcW w:w="974" w:type="pct"/>
            <w:tcBorders>
              <w:top w:val="nil"/>
              <w:left w:val="nil"/>
              <w:bottom w:val="nil"/>
              <w:right w:val="nil"/>
            </w:tcBorders>
            <w:shd w:val="clear" w:color="000000" w:fill="FFFFFF"/>
            <w:noWrap/>
            <w:vAlign w:val="bottom"/>
            <w:hideMark/>
          </w:tcPr>
          <w:p w14:paraId="57BDBFE6"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2.720.573 </w:t>
            </w:r>
          </w:p>
        </w:tc>
      </w:tr>
      <w:tr w:rsidR="00D01180" w:rsidRPr="00D01180" w14:paraId="736651E0"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7DFCA517"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Resultado de Equivalência Patrimonial </w:t>
            </w:r>
          </w:p>
        </w:tc>
        <w:tc>
          <w:tcPr>
            <w:tcW w:w="811" w:type="pct"/>
            <w:tcBorders>
              <w:top w:val="nil"/>
              <w:left w:val="nil"/>
              <w:bottom w:val="nil"/>
              <w:right w:val="nil"/>
            </w:tcBorders>
            <w:shd w:val="clear" w:color="000000" w:fill="FFFFFF"/>
            <w:noWrap/>
            <w:vAlign w:val="bottom"/>
            <w:hideMark/>
          </w:tcPr>
          <w:p w14:paraId="605662E2"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19.303.670 </w:t>
            </w:r>
          </w:p>
        </w:tc>
        <w:tc>
          <w:tcPr>
            <w:tcW w:w="974" w:type="pct"/>
            <w:tcBorders>
              <w:top w:val="nil"/>
              <w:left w:val="nil"/>
              <w:bottom w:val="nil"/>
              <w:right w:val="nil"/>
            </w:tcBorders>
            <w:shd w:val="clear" w:color="000000" w:fill="FFFFFF"/>
            <w:noWrap/>
            <w:vAlign w:val="bottom"/>
            <w:hideMark/>
          </w:tcPr>
          <w:p w14:paraId="6D1C57EF"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32.248.507 </w:t>
            </w:r>
          </w:p>
        </w:tc>
      </w:tr>
      <w:tr w:rsidR="00D01180" w:rsidRPr="00D01180" w14:paraId="2462C015"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375FE780"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Prescrição do crédito previdenciário </w:t>
            </w:r>
          </w:p>
        </w:tc>
        <w:tc>
          <w:tcPr>
            <w:tcW w:w="811" w:type="pct"/>
            <w:tcBorders>
              <w:top w:val="nil"/>
              <w:left w:val="nil"/>
              <w:bottom w:val="nil"/>
              <w:right w:val="nil"/>
            </w:tcBorders>
            <w:shd w:val="clear" w:color="000000" w:fill="FFFFFF"/>
            <w:noWrap/>
            <w:vAlign w:val="bottom"/>
            <w:hideMark/>
          </w:tcPr>
          <w:p w14:paraId="7540ED58"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475.881 </w:t>
            </w:r>
          </w:p>
        </w:tc>
        <w:tc>
          <w:tcPr>
            <w:tcW w:w="974" w:type="pct"/>
            <w:tcBorders>
              <w:top w:val="nil"/>
              <w:left w:val="nil"/>
              <w:bottom w:val="nil"/>
              <w:right w:val="nil"/>
            </w:tcBorders>
            <w:shd w:val="clear" w:color="000000" w:fill="FFFFFF"/>
            <w:noWrap/>
            <w:vAlign w:val="bottom"/>
            <w:hideMark/>
          </w:tcPr>
          <w:p w14:paraId="56DE2C9F"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   </w:t>
            </w:r>
          </w:p>
        </w:tc>
      </w:tr>
      <w:tr w:rsidR="00D01180" w:rsidRPr="00D01180" w14:paraId="3BDCFDFF"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7B6FA3D1"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Receitas reconhecidas pelo diferimento de contratos </w:t>
            </w:r>
          </w:p>
        </w:tc>
        <w:tc>
          <w:tcPr>
            <w:tcW w:w="811" w:type="pct"/>
            <w:tcBorders>
              <w:top w:val="nil"/>
              <w:left w:val="nil"/>
              <w:bottom w:val="nil"/>
              <w:right w:val="nil"/>
            </w:tcBorders>
            <w:shd w:val="clear" w:color="000000" w:fill="FFFFFF"/>
            <w:noWrap/>
            <w:vAlign w:val="bottom"/>
            <w:hideMark/>
          </w:tcPr>
          <w:p w14:paraId="04EC7FFE"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(4.336.564)</w:t>
            </w:r>
          </w:p>
        </w:tc>
        <w:tc>
          <w:tcPr>
            <w:tcW w:w="974" w:type="pct"/>
            <w:tcBorders>
              <w:top w:val="nil"/>
              <w:left w:val="nil"/>
              <w:bottom w:val="nil"/>
              <w:right w:val="nil"/>
            </w:tcBorders>
            <w:shd w:val="clear" w:color="000000" w:fill="FFFFFF"/>
            <w:noWrap/>
            <w:vAlign w:val="bottom"/>
            <w:hideMark/>
          </w:tcPr>
          <w:p w14:paraId="7FF6D882"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(1.905.712)</w:t>
            </w:r>
          </w:p>
        </w:tc>
      </w:tr>
      <w:tr w:rsidR="00D01180" w:rsidRPr="00D01180" w14:paraId="00FEEC9C"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2808E266"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Ajuste na contabilização dos contratos de arrendamento </w:t>
            </w:r>
          </w:p>
        </w:tc>
        <w:tc>
          <w:tcPr>
            <w:tcW w:w="811" w:type="pct"/>
            <w:tcBorders>
              <w:top w:val="nil"/>
              <w:left w:val="nil"/>
              <w:bottom w:val="nil"/>
              <w:right w:val="nil"/>
            </w:tcBorders>
            <w:shd w:val="clear" w:color="000000" w:fill="FFFFFF"/>
            <w:noWrap/>
            <w:vAlign w:val="bottom"/>
            <w:hideMark/>
          </w:tcPr>
          <w:p w14:paraId="77E236D2"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(5.625.788)</w:t>
            </w:r>
          </w:p>
        </w:tc>
        <w:tc>
          <w:tcPr>
            <w:tcW w:w="974" w:type="pct"/>
            <w:tcBorders>
              <w:top w:val="nil"/>
              <w:left w:val="nil"/>
              <w:bottom w:val="nil"/>
              <w:right w:val="nil"/>
            </w:tcBorders>
            <w:shd w:val="clear" w:color="000000" w:fill="FFFFFF"/>
            <w:noWrap/>
            <w:vAlign w:val="bottom"/>
            <w:hideMark/>
          </w:tcPr>
          <w:p w14:paraId="3C5E1957"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   </w:t>
            </w:r>
          </w:p>
        </w:tc>
      </w:tr>
      <w:tr w:rsidR="00D01180" w:rsidRPr="00D01180" w14:paraId="6825E1AE"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4EC7D385"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Baixa de depósito retido de fornecedores </w:t>
            </w:r>
          </w:p>
        </w:tc>
        <w:tc>
          <w:tcPr>
            <w:tcW w:w="811" w:type="pct"/>
            <w:tcBorders>
              <w:top w:val="nil"/>
              <w:left w:val="nil"/>
              <w:bottom w:val="nil"/>
              <w:right w:val="nil"/>
            </w:tcBorders>
            <w:shd w:val="clear" w:color="000000" w:fill="FFFFFF"/>
            <w:noWrap/>
            <w:vAlign w:val="bottom"/>
            <w:hideMark/>
          </w:tcPr>
          <w:p w14:paraId="630A6DA8"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(522.734)</w:t>
            </w:r>
          </w:p>
        </w:tc>
        <w:tc>
          <w:tcPr>
            <w:tcW w:w="974" w:type="pct"/>
            <w:tcBorders>
              <w:top w:val="nil"/>
              <w:left w:val="nil"/>
              <w:bottom w:val="nil"/>
              <w:right w:val="nil"/>
            </w:tcBorders>
            <w:shd w:val="clear" w:color="000000" w:fill="FFFFFF"/>
            <w:noWrap/>
            <w:vAlign w:val="bottom"/>
            <w:hideMark/>
          </w:tcPr>
          <w:p w14:paraId="221DB141"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(450.980)</w:t>
            </w:r>
          </w:p>
        </w:tc>
      </w:tr>
      <w:tr w:rsidR="00D01180" w:rsidRPr="00D01180" w14:paraId="196F5CC0"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104FAC9A"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Subvenção do Tesouro Nacional - repasse para custeio/pessoal </w:t>
            </w:r>
          </w:p>
        </w:tc>
        <w:tc>
          <w:tcPr>
            <w:tcW w:w="811" w:type="pct"/>
            <w:tcBorders>
              <w:top w:val="nil"/>
              <w:left w:val="nil"/>
              <w:bottom w:val="nil"/>
              <w:right w:val="nil"/>
            </w:tcBorders>
            <w:shd w:val="clear" w:color="000000" w:fill="FFFFFF"/>
            <w:noWrap/>
            <w:vAlign w:val="bottom"/>
            <w:hideMark/>
          </w:tcPr>
          <w:p w14:paraId="5B9D41FF"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(109.418.760)</w:t>
            </w:r>
          </w:p>
        </w:tc>
        <w:tc>
          <w:tcPr>
            <w:tcW w:w="974" w:type="pct"/>
            <w:tcBorders>
              <w:top w:val="nil"/>
              <w:left w:val="nil"/>
              <w:bottom w:val="nil"/>
              <w:right w:val="nil"/>
            </w:tcBorders>
            <w:shd w:val="clear" w:color="000000" w:fill="FFFFFF"/>
            <w:noWrap/>
            <w:vAlign w:val="bottom"/>
            <w:hideMark/>
          </w:tcPr>
          <w:p w14:paraId="3AF9BA5D"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(102.401.154)</w:t>
            </w:r>
          </w:p>
        </w:tc>
      </w:tr>
      <w:tr w:rsidR="00D01180" w:rsidRPr="00D01180" w14:paraId="59881AEE"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6045F8DB" w14:textId="77777777" w:rsidR="00D01180" w:rsidRPr="00D01180" w:rsidRDefault="00D01180">
            <w:pPr>
              <w:rPr>
                <w:rFonts w:asciiTheme="majorHAnsi" w:hAnsiTheme="majorHAnsi" w:cstheme="majorHAnsi"/>
                <w:b/>
                <w:bCs/>
                <w:sz w:val="16"/>
                <w:szCs w:val="16"/>
              </w:rPr>
            </w:pPr>
            <w:r w:rsidRPr="00D01180">
              <w:rPr>
                <w:rFonts w:asciiTheme="majorHAnsi" w:hAnsiTheme="majorHAnsi" w:cstheme="majorHAnsi"/>
                <w:b/>
                <w:bCs/>
                <w:sz w:val="16"/>
                <w:szCs w:val="16"/>
              </w:rPr>
              <w:t xml:space="preserve"> Resultado do Exercício Ajustado </w:t>
            </w:r>
          </w:p>
        </w:tc>
        <w:tc>
          <w:tcPr>
            <w:tcW w:w="811" w:type="pct"/>
            <w:tcBorders>
              <w:top w:val="nil"/>
              <w:left w:val="nil"/>
              <w:bottom w:val="nil"/>
              <w:right w:val="nil"/>
            </w:tcBorders>
            <w:shd w:val="clear" w:color="000000" w:fill="FFFFFF"/>
            <w:noWrap/>
            <w:vAlign w:val="bottom"/>
            <w:hideMark/>
          </w:tcPr>
          <w:p w14:paraId="7768D1DB" w14:textId="1F6F5626"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(111.</w:t>
            </w:r>
            <w:r w:rsidR="002E74C6">
              <w:rPr>
                <w:rFonts w:asciiTheme="majorHAnsi" w:hAnsiTheme="majorHAnsi" w:cstheme="majorHAnsi"/>
                <w:b/>
                <w:bCs/>
                <w:sz w:val="16"/>
                <w:szCs w:val="16"/>
              </w:rPr>
              <w:t>579.564</w:t>
            </w:r>
            <w:r w:rsidRPr="00D01180">
              <w:rPr>
                <w:rFonts w:asciiTheme="majorHAnsi" w:hAnsiTheme="majorHAnsi" w:cstheme="majorHAnsi"/>
                <w:b/>
                <w:bCs/>
                <w:sz w:val="16"/>
                <w:szCs w:val="16"/>
              </w:rPr>
              <w:t>)</w:t>
            </w:r>
          </w:p>
        </w:tc>
        <w:tc>
          <w:tcPr>
            <w:tcW w:w="974" w:type="pct"/>
            <w:tcBorders>
              <w:top w:val="nil"/>
              <w:left w:val="nil"/>
              <w:bottom w:val="nil"/>
              <w:right w:val="nil"/>
            </w:tcBorders>
            <w:shd w:val="clear" w:color="000000" w:fill="FFFFFF"/>
            <w:noWrap/>
            <w:vAlign w:val="bottom"/>
            <w:hideMark/>
          </w:tcPr>
          <w:p w14:paraId="0B47B8C5"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(96.112.033)</w:t>
            </w:r>
          </w:p>
        </w:tc>
      </w:tr>
      <w:tr w:rsidR="00D01180" w:rsidRPr="00D01180" w14:paraId="1114B264"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557E1399" w14:textId="77777777" w:rsidR="00D01180" w:rsidRPr="00D01180" w:rsidRDefault="00D01180">
            <w:pPr>
              <w:rPr>
                <w:rFonts w:asciiTheme="majorHAnsi" w:hAnsiTheme="majorHAnsi" w:cstheme="majorHAnsi"/>
                <w:b/>
                <w:bCs/>
                <w:sz w:val="16"/>
                <w:szCs w:val="16"/>
              </w:rPr>
            </w:pPr>
            <w:r w:rsidRPr="00D01180">
              <w:rPr>
                <w:rFonts w:asciiTheme="majorHAnsi" w:hAnsiTheme="majorHAnsi" w:cstheme="majorHAnsi"/>
                <w:b/>
                <w:bCs/>
                <w:sz w:val="16"/>
                <w:szCs w:val="16"/>
              </w:rPr>
              <w:t> </w:t>
            </w:r>
          </w:p>
        </w:tc>
        <w:tc>
          <w:tcPr>
            <w:tcW w:w="811" w:type="pct"/>
            <w:tcBorders>
              <w:top w:val="nil"/>
              <w:left w:val="nil"/>
              <w:bottom w:val="nil"/>
              <w:right w:val="nil"/>
            </w:tcBorders>
            <w:shd w:val="clear" w:color="000000" w:fill="FFFFFF"/>
            <w:noWrap/>
            <w:vAlign w:val="bottom"/>
            <w:hideMark/>
          </w:tcPr>
          <w:p w14:paraId="60C2A714" w14:textId="77777777" w:rsidR="00D01180" w:rsidRPr="00D01180" w:rsidRDefault="00D01180">
            <w:pPr>
              <w:rPr>
                <w:rFonts w:asciiTheme="majorHAnsi" w:hAnsiTheme="majorHAnsi" w:cstheme="majorHAnsi"/>
                <w:b/>
                <w:bCs/>
                <w:sz w:val="16"/>
                <w:szCs w:val="16"/>
              </w:rPr>
            </w:pPr>
            <w:r w:rsidRPr="00D01180">
              <w:rPr>
                <w:rFonts w:asciiTheme="majorHAnsi" w:hAnsiTheme="majorHAnsi" w:cstheme="majorHAnsi"/>
                <w:b/>
                <w:bCs/>
                <w:sz w:val="16"/>
                <w:szCs w:val="16"/>
              </w:rPr>
              <w:t> </w:t>
            </w:r>
          </w:p>
        </w:tc>
        <w:tc>
          <w:tcPr>
            <w:tcW w:w="974" w:type="pct"/>
            <w:tcBorders>
              <w:top w:val="nil"/>
              <w:left w:val="nil"/>
              <w:bottom w:val="nil"/>
              <w:right w:val="nil"/>
            </w:tcBorders>
            <w:shd w:val="clear" w:color="auto" w:fill="auto"/>
            <w:noWrap/>
            <w:vAlign w:val="bottom"/>
            <w:hideMark/>
          </w:tcPr>
          <w:p w14:paraId="26908395" w14:textId="77777777" w:rsidR="00D01180" w:rsidRPr="00D01180" w:rsidRDefault="00D01180">
            <w:pPr>
              <w:rPr>
                <w:rFonts w:asciiTheme="majorHAnsi" w:hAnsiTheme="majorHAnsi" w:cstheme="majorHAnsi"/>
                <w:b/>
                <w:bCs/>
                <w:sz w:val="16"/>
                <w:szCs w:val="16"/>
              </w:rPr>
            </w:pPr>
          </w:p>
        </w:tc>
      </w:tr>
      <w:tr w:rsidR="00D01180" w:rsidRPr="00D01180" w14:paraId="5CB841A7"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620C4FD6" w14:textId="77777777" w:rsidR="00D01180" w:rsidRPr="00D01180" w:rsidRDefault="00D01180">
            <w:pPr>
              <w:rPr>
                <w:rFonts w:asciiTheme="majorHAnsi" w:hAnsiTheme="majorHAnsi" w:cstheme="majorHAnsi"/>
                <w:b/>
                <w:bCs/>
                <w:sz w:val="16"/>
                <w:szCs w:val="16"/>
              </w:rPr>
            </w:pPr>
            <w:r w:rsidRPr="00D01180">
              <w:rPr>
                <w:rFonts w:asciiTheme="majorHAnsi" w:hAnsiTheme="majorHAnsi" w:cstheme="majorHAnsi"/>
                <w:b/>
                <w:bCs/>
                <w:sz w:val="16"/>
                <w:szCs w:val="16"/>
              </w:rPr>
              <w:t xml:space="preserve"> Aumento ou Redução nos Ativos e Passivos Operacionais </w:t>
            </w:r>
          </w:p>
        </w:tc>
        <w:tc>
          <w:tcPr>
            <w:tcW w:w="811" w:type="pct"/>
            <w:tcBorders>
              <w:top w:val="nil"/>
              <w:left w:val="nil"/>
              <w:bottom w:val="nil"/>
              <w:right w:val="nil"/>
            </w:tcBorders>
            <w:shd w:val="clear" w:color="000000" w:fill="FFFFFF"/>
            <w:noWrap/>
            <w:vAlign w:val="bottom"/>
            <w:hideMark/>
          </w:tcPr>
          <w:p w14:paraId="0D5FB6B6"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248.422.509 </w:t>
            </w:r>
          </w:p>
        </w:tc>
        <w:tc>
          <w:tcPr>
            <w:tcW w:w="974" w:type="pct"/>
            <w:tcBorders>
              <w:top w:val="nil"/>
              <w:left w:val="nil"/>
              <w:bottom w:val="nil"/>
              <w:right w:val="nil"/>
            </w:tcBorders>
            <w:shd w:val="clear" w:color="000000" w:fill="FFFFFF"/>
            <w:noWrap/>
            <w:vAlign w:val="bottom"/>
            <w:hideMark/>
          </w:tcPr>
          <w:p w14:paraId="2BF12229"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19.734.564 </w:t>
            </w:r>
          </w:p>
        </w:tc>
      </w:tr>
      <w:tr w:rsidR="00D01180" w:rsidRPr="00D01180" w14:paraId="1A854689"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23BB9DCE"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Redução (Aumento) de Direitos Realizáveis Curto Prazo </w:t>
            </w:r>
          </w:p>
        </w:tc>
        <w:tc>
          <w:tcPr>
            <w:tcW w:w="811" w:type="pct"/>
            <w:tcBorders>
              <w:top w:val="nil"/>
              <w:left w:val="nil"/>
              <w:bottom w:val="nil"/>
              <w:right w:val="nil"/>
            </w:tcBorders>
            <w:shd w:val="clear" w:color="000000" w:fill="FFFFFF"/>
            <w:noWrap/>
            <w:vAlign w:val="bottom"/>
            <w:hideMark/>
          </w:tcPr>
          <w:p w14:paraId="6FA19E28"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(4.550.356)</w:t>
            </w:r>
          </w:p>
        </w:tc>
        <w:tc>
          <w:tcPr>
            <w:tcW w:w="974" w:type="pct"/>
            <w:tcBorders>
              <w:top w:val="nil"/>
              <w:left w:val="nil"/>
              <w:bottom w:val="nil"/>
              <w:right w:val="nil"/>
            </w:tcBorders>
            <w:shd w:val="clear" w:color="000000" w:fill="FFFFFF"/>
            <w:noWrap/>
            <w:vAlign w:val="bottom"/>
            <w:hideMark/>
          </w:tcPr>
          <w:p w14:paraId="263D58D2"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(10.262.250)</w:t>
            </w:r>
          </w:p>
        </w:tc>
      </w:tr>
      <w:tr w:rsidR="00D01180" w:rsidRPr="00D01180" w14:paraId="1670B8EE"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05EFABDF"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Redução (Aumento) de Direitos Realizáveis a Longo Prazo </w:t>
            </w:r>
          </w:p>
        </w:tc>
        <w:tc>
          <w:tcPr>
            <w:tcW w:w="811" w:type="pct"/>
            <w:tcBorders>
              <w:top w:val="nil"/>
              <w:left w:val="nil"/>
              <w:bottom w:val="nil"/>
              <w:right w:val="nil"/>
            </w:tcBorders>
            <w:shd w:val="clear" w:color="000000" w:fill="FFFFFF"/>
            <w:noWrap/>
            <w:vAlign w:val="bottom"/>
            <w:hideMark/>
          </w:tcPr>
          <w:p w14:paraId="56A14308"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(6.241.480)</w:t>
            </w:r>
          </w:p>
        </w:tc>
        <w:tc>
          <w:tcPr>
            <w:tcW w:w="974" w:type="pct"/>
            <w:tcBorders>
              <w:top w:val="nil"/>
              <w:left w:val="nil"/>
              <w:bottom w:val="nil"/>
              <w:right w:val="nil"/>
            </w:tcBorders>
            <w:shd w:val="clear" w:color="000000" w:fill="FFFFFF"/>
            <w:noWrap/>
            <w:vAlign w:val="bottom"/>
            <w:hideMark/>
          </w:tcPr>
          <w:p w14:paraId="03956C84"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(10.931.601)</w:t>
            </w:r>
          </w:p>
        </w:tc>
      </w:tr>
      <w:tr w:rsidR="00D01180" w:rsidRPr="00D01180" w14:paraId="457B04C1"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7D73460B" w14:textId="77777777" w:rsidR="00D01180" w:rsidRPr="00D01180" w:rsidRDefault="00D01180">
            <w:pPr>
              <w:outlineLvl w:val="0"/>
              <w:rPr>
                <w:rFonts w:asciiTheme="majorHAnsi" w:hAnsiTheme="majorHAnsi" w:cstheme="majorHAnsi"/>
                <w:sz w:val="16"/>
                <w:szCs w:val="16"/>
              </w:rPr>
            </w:pPr>
            <w:r w:rsidRPr="00D01180">
              <w:rPr>
                <w:rFonts w:asciiTheme="majorHAnsi" w:hAnsiTheme="majorHAnsi" w:cstheme="majorHAnsi"/>
                <w:sz w:val="16"/>
                <w:szCs w:val="16"/>
              </w:rPr>
              <w:t xml:space="preserve">        Aumento (Redução) de Fornecedores  </w:t>
            </w:r>
          </w:p>
        </w:tc>
        <w:tc>
          <w:tcPr>
            <w:tcW w:w="811" w:type="pct"/>
            <w:tcBorders>
              <w:top w:val="nil"/>
              <w:left w:val="nil"/>
              <w:bottom w:val="nil"/>
              <w:right w:val="nil"/>
            </w:tcBorders>
            <w:shd w:val="clear" w:color="000000" w:fill="FFFFFF"/>
            <w:noWrap/>
            <w:vAlign w:val="bottom"/>
            <w:hideMark/>
          </w:tcPr>
          <w:p w14:paraId="4A530E0E" w14:textId="77777777" w:rsidR="00D01180" w:rsidRPr="00D01180" w:rsidRDefault="00D01180" w:rsidP="00D01180">
            <w:pPr>
              <w:jc w:val="right"/>
              <w:outlineLvl w:val="0"/>
              <w:rPr>
                <w:rFonts w:asciiTheme="majorHAnsi" w:hAnsiTheme="majorHAnsi" w:cstheme="majorHAnsi"/>
                <w:sz w:val="16"/>
                <w:szCs w:val="16"/>
              </w:rPr>
            </w:pPr>
            <w:r w:rsidRPr="00D01180">
              <w:rPr>
                <w:rFonts w:asciiTheme="majorHAnsi" w:hAnsiTheme="majorHAnsi" w:cstheme="majorHAnsi"/>
                <w:sz w:val="16"/>
                <w:szCs w:val="16"/>
              </w:rPr>
              <w:t xml:space="preserve">                    14.295 </w:t>
            </w:r>
          </w:p>
        </w:tc>
        <w:tc>
          <w:tcPr>
            <w:tcW w:w="974" w:type="pct"/>
            <w:tcBorders>
              <w:top w:val="nil"/>
              <w:left w:val="nil"/>
              <w:bottom w:val="nil"/>
              <w:right w:val="nil"/>
            </w:tcBorders>
            <w:shd w:val="clear" w:color="000000" w:fill="FFFFFF"/>
            <w:noWrap/>
            <w:vAlign w:val="bottom"/>
            <w:hideMark/>
          </w:tcPr>
          <w:p w14:paraId="6F4F04E0" w14:textId="77777777" w:rsidR="00D01180" w:rsidRPr="00D01180" w:rsidRDefault="00D01180" w:rsidP="00D01180">
            <w:pPr>
              <w:jc w:val="right"/>
              <w:outlineLvl w:val="0"/>
              <w:rPr>
                <w:rFonts w:asciiTheme="majorHAnsi" w:hAnsiTheme="majorHAnsi" w:cstheme="majorHAnsi"/>
                <w:sz w:val="16"/>
                <w:szCs w:val="16"/>
              </w:rPr>
            </w:pPr>
            <w:r w:rsidRPr="00D01180">
              <w:rPr>
                <w:rFonts w:asciiTheme="majorHAnsi" w:hAnsiTheme="majorHAnsi" w:cstheme="majorHAnsi"/>
                <w:sz w:val="16"/>
                <w:szCs w:val="16"/>
              </w:rPr>
              <w:t xml:space="preserve">                                   -   </w:t>
            </w:r>
          </w:p>
        </w:tc>
      </w:tr>
      <w:tr w:rsidR="00D01180" w:rsidRPr="00D01180" w14:paraId="6C992777"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1B7231DD"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Aumento (Redução) de Contas a Pagar  </w:t>
            </w:r>
          </w:p>
        </w:tc>
        <w:tc>
          <w:tcPr>
            <w:tcW w:w="811" w:type="pct"/>
            <w:tcBorders>
              <w:top w:val="nil"/>
              <w:left w:val="nil"/>
              <w:bottom w:val="nil"/>
              <w:right w:val="nil"/>
            </w:tcBorders>
            <w:shd w:val="clear" w:color="000000" w:fill="FFFFFF"/>
            <w:noWrap/>
            <w:vAlign w:val="bottom"/>
            <w:hideMark/>
          </w:tcPr>
          <w:p w14:paraId="06EFA549"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259.200.050 </w:t>
            </w:r>
          </w:p>
        </w:tc>
        <w:tc>
          <w:tcPr>
            <w:tcW w:w="974" w:type="pct"/>
            <w:tcBorders>
              <w:top w:val="nil"/>
              <w:left w:val="nil"/>
              <w:bottom w:val="nil"/>
              <w:right w:val="nil"/>
            </w:tcBorders>
            <w:shd w:val="clear" w:color="000000" w:fill="FFFFFF"/>
            <w:noWrap/>
            <w:vAlign w:val="bottom"/>
            <w:hideMark/>
          </w:tcPr>
          <w:p w14:paraId="32A48543"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40.928.416 </w:t>
            </w:r>
          </w:p>
        </w:tc>
      </w:tr>
      <w:tr w:rsidR="002E74C6" w:rsidRPr="00D01180" w14:paraId="5E924513" w14:textId="77777777" w:rsidTr="00D01180">
        <w:trPr>
          <w:trHeight w:hRule="exact" w:val="227"/>
        </w:trPr>
        <w:tc>
          <w:tcPr>
            <w:tcW w:w="3215" w:type="pct"/>
            <w:tcBorders>
              <w:top w:val="nil"/>
              <w:left w:val="nil"/>
              <w:bottom w:val="nil"/>
              <w:right w:val="nil"/>
            </w:tcBorders>
            <w:shd w:val="clear" w:color="000000" w:fill="FFFFFF"/>
            <w:noWrap/>
            <w:vAlign w:val="bottom"/>
          </w:tcPr>
          <w:p w14:paraId="56DDF025" w14:textId="51C87557" w:rsidR="002E74C6" w:rsidRPr="00D01180" w:rsidRDefault="002E74C6">
            <w:pPr>
              <w:rPr>
                <w:rFonts w:asciiTheme="majorHAnsi" w:hAnsiTheme="majorHAnsi" w:cstheme="majorHAnsi"/>
                <w:b/>
                <w:bCs/>
                <w:sz w:val="16"/>
                <w:szCs w:val="16"/>
              </w:rPr>
            </w:pPr>
            <w:r>
              <w:rPr>
                <w:rFonts w:asciiTheme="majorHAnsi" w:hAnsiTheme="majorHAnsi" w:cstheme="majorHAnsi"/>
                <w:b/>
                <w:bCs/>
                <w:sz w:val="16"/>
                <w:szCs w:val="16"/>
              </w:rPr>
              <w:t xml:space="preserve"> </w:t>
            </w:r>
            <w:r w:rsidRPr="00D01180">
              <w:rPr>
                <w:rFonts w:asciiTheme="majorHAnsi" w:hAnsiTheme="majorHAnsi" w:cstheme="majorHAnsi"/>
                <w:b/>
                <w:bCs/>
                <w:sz w:val="16"/>
                <w:szCs w:val="16"/>
              </w:rPr>
              <w:t xml:space="preserve">= Caixa </w:t>
            </w:r>
            <w:r>
              <w:rPr>
                <w:rFonts w:asciiTheme="majorHAnsi" w:hAnsiTheme="majorHAnsi" w:cstheme="majorHAnsi"/>
                <w:b/>
                <w:bCs/>
                <w:sz w:val="16"/>
                <w:szCs w:val="16"/>
              </w:rPr>
              <w:t>proveniente das</w:t>
            </w:r>
            <w:r w:rsidRPr="00D01180">
              <w:rPr>
                <w:rFonts w:asciiTheme="majorHAnsi" w:hAnsiTheme="majorHAnsi" w:cstheme="majorHAnsi"/>
                <w:b/>
                <w:bCs/>
                <w:sz w:val="16"/>
                <w:szCs w:val="16"/>
              </w:rPr>
              <w:t xml:space="preserve"> atividades operacionais</w:t>
            </w:r>
          </w:p>
        </w:tc>
        <w:tc>
          <w:tcPr>
            <w:tcW w:w="811" w:type="pct"/>
            <w:tcBorders>
              <w:top w:val="nil"/>
              <w:left w:val="nil"/>
              <w:bottom w:val="nil"/>
              <w:right w:val="nil"/>
            </w:tcBorders>
            <w:shd w:val="clear" w:color="000000" w:fill="FFFFFF"/>
            <w:noWrap/>
            <w:vAlign w:val="bottom"/>
          </w:tcPr>
          <w:p w14:paraId="1B52B19B" w14:textId="4DFA969E" w:rsidR="002E74C6" w:rsidRPr="00D01180" w:rsidRDefault="002E74C6" w:rsidP="00D01180">
            <w:pPr>
              <w:jc w:val="right"/>
              <w:rPr>
                <w:rFonts w:asciiTheme="majorHAnsi" w:hAnsiTheme="majorHAnsi" w:cstheme="majorHAnsi"/>
                <w:b/>
                <w:bCs/>
                <w:sz w:val="16"/>
                <w:szCs w:val="16"/>
              </w:rPr>
            </w:pPr>
            <w:r>
              <w:rPr>
                <w:rFonts w:asciiTheme="majorHAnsi" w:hAnsiTheme="majorHAnsi" w:cstheme="majorHAnsi"/>
                <w:b/>
                <w:bCs/>
                <w:sz w:val="16"/>
                <w:szCs w:val="16"/>
              </w:rPr>
              <w:t>136.842.943</w:t>
            </w:r>
          </w:p>
        </w:tc>
        <w:tc>
          <w:tcPr>
            <w:tcW w:w="974" w:type="pct"/>
            <w:tcBorders>
              <w:top w:val="nil"/>
              <w:left w:val="nil"/>
              <w:bottom w:val="nil"/>
              <w:right w:val="nil"/>
            </w:tcBorders>
            <w:shd w:val="clear" w:color="000000" w:fill="FFFFFF"/>
            <w:noWrap/>
            <w:vAlign w:val="bottom"/>
          </w:tcPr>
          <w:p w14:paraId="4E744BF1" w14:textId="77777777" w:rsidR="002E74C6" w:rsidRPr="00D01180" w:rsidRDefault="002E74C6" w:rsidP="00D01180">
            <w:pPr>
              <w:jc w:val="right"/>
              <w:rPr>
                <w:rFonts w:asciiTheme="majorHAnsi" w:hAnsiTheme="majorHAnsi" w:cstheme="majorHAnsi"/>
                <w:b/>
                <w:bCs/>
                <w:sz w:val="16"/>
                <w:szCs w:val="16"/>
              </w:rPr>
            </w:pPr>
          </w:p>
        </w:tc>
      </w:tr>
      <w:tr w:rsidR="002E74C6" w:rsidRPr="00D01180" w14:paraId="58FC9123" w14:textId="77777777" w:rsidTr="00D01180">
        <w:trPr>
          <w:trHeight w:hRule="exact" w:val="227"/>
        </w:trPr>
        <w:tc>
          <w:tcPr>
            <w:tcW w:w="3215" w:type="pct"/>
            <w:tcBorders>
              <w:top w:val="nil"/>
              <w:left w:val="nil"/>
              <w:bottom w:val="nil"/>
              <w:right w:val="nil"/>
            </w:tcBorders>
            <w:shd w:val="clear" w:color="000000" w:fill="FFFFFF"/>
            <w:noWrap/>
            <w:vAlign w:val="bottom"/>
          </w:tcPr>
          <w:p w14:paraId="349F0A04" w14:textId="2432981E" w:rsidR="002E74C6" w:rsidRPr="00D01180" w:rsidRDefault="002E74C6">
            <w:pPr>
              <w:rPr>
                <w:rFonts w:asciiTheme="majorHAnsi" w:hAnsiTheme="majorHAnsi" w:cstheme="majorHAnsi"/>
                <w:b/>
                <w:bCs/>
                <w:sz w:val="16"/>
                <w:szCs w:val="16"/>
              </w:rPr>
            </w:pPr>
            <w:r>
              <w:rPr>
                <w:rFonts w:asciiTheme="majorHAnsi" w:hAnsiTheme="majorHAnsi" w:cstheme="majorHAnsi"/>
                <w:sz w:val="16"/>
                <w:szCs w:val="16"/>
              </w:rPr>
              <w:t xml:space="preserve">         Imposto de Renda e Contribuição Social Pagos</w:t>
            </w:r>
            <w:r w:rsidRPr="00D01180">
              <w:rPr>
                <w:rFonts w:asciiTheme="majorHAnsi" w:hAnsiTheme="majorHAnsi" w:cstheme="majorHAnsi"/>
                <w:sz w:val="16"/>
                <w:szCs w:val="16"/>
              </w:rPr>
              <w:t xml:space="preserve">  </w:t>
            </w:r>
          </w:p>
        </w:tc>
        <w:tc>
          <w:tcPr>
            <w:tcW w:w="811" w:type="pct"/>
            <w:tcBorders>
              <w:top w:val="nil"/>
              <w:left w:val="nil"/>
              <w:bottom w:val="nil"/>
              <w:right w:val="nil"/>
            </w:tcBorders>
            <w:shd w:val="clear" w:color="000000" w:fill="FFFFFF"/>
            <w:noWrap/>
            <w:vAlign w:val="bottom"/>
          </w:tcPr>
          <w:p w14:paraId="54501717" w14:textId="6B5C52E9" w:rsidR="002E74C6" w:rsidRPr="002E74C6" w:rsidRDefault="002E74C6" w:rsidP="00D01180">
            <w:pPr>
              <w:jc w:val="right"/>
              <w:rPr>
                <w:rFonts w:asciiTheme="majorHAnsi" w:hAnsiTheme="majorHAnsi" w:cstheme="majorHAnsi"/>
                <w:sz w:val="16"/>
                <w:szCs w:val="16"/>
              </w:rPr>
            </w:pPr>
            <w:r>
              <w:rPr>
                <w:rFonts w:asciiTheme="majorHAnsi" w:hAnsiTheme="majorHAnsi" w:cstheme="majorHAnsi"/>
                <w:sz w:val="16"/>
                <w:szCs w:val="16"/>
              </w:rPr>
              <w:t>(234.600)</w:t>
            </w:r>
          </w:p>
        </w:tc>
        <w:tc>
          <w:tcPr>
            <w:tcW w:w="974" w:type="pct"/>
            <w:tcBorders>
              <w:top w:val="nil"/>
              <w:left w:val="nil"/>
              <w:bottom w:val="nil"/>
              <w:right w:val="nil"/>
            </w:tcBorders>
            <w:shd w:val="clear" w:color="000000" w:fill="FFFFFF"/>
            <w:noWrap/>
            <w:vAlign w:val="bottom"/>
          </w:tcPr>
          <w:p w14:paraId="1F92ACD1" w14:textId="77777777" w:rsidR="002E74C6" w:rsidRPr="00D01180" w:rsidRDefault="002E74C6" w:rsidP="00D01180">
            <w:pPr>
              <w:jc w:val="right"/>
              <w:rPr>
                <w:rFonts w:asciiTheme="majorHAnsi" w:hAnsiTheme="majorHAnsi" w:cstheme="majorHAnsi"/>
                <w:b/>
                <w:bCs/>
                <w:sz w:val="16"/>
                <w:szCs w:val="16"/>
              </w:rPr>
            </w:pPr>
          </w:p>
        </w:tc>
      </w:tr>
      <w:tr w:rsidR="00D01180" w:rsidRPr="00D01180" w14:paraId="2BDAB0C5"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4A8BEF0D" w14:textId="77777777" w:rsidR="00D01180" w:rsidRPr="00D01180" w:rsidRDefault="00D01180">
            <w:pPr>
              <w:rPr>
                <w:rFonts w:asciiTheme="majorHAnsi" w:hAnsiTheme="majorHAnsi" w:cstheme="majorHAnsi"/>
                <w:b/>
                <w:bCs/>
                <w:sz w:val="16"/>
                <w:szCs w:val="16"/>
              </w:rPr>
            </w:pPr>
            <w:r w:rsidRPr="00D01180">
              <w:rPr>
                <w:rFonts w:asciiTheme="majorHAnsi" w:hAnsiTheme="majorHAnsi" w:cstheme="majorHAnsi"/>
                <w:b/>
                <w:bCs/>
                <w:sz w:val="16"/>
                <w:szCs w:val="16"/>
              </w:rPr>
              <w:t xml:space="preserve">  = Caixa Líquido Gerado ou Consumido nas atividades operacionais </w:t>
            </w:r>
          </w:p>
        </w:tc>
        <w:tc>
          <w:tcPr>
            <w:tcW w:w="811" w:type="pct"/>
            <w:tcBorders>
              <w:top w:val="nil"/>
              <w:left w:val="nil"/>
              <w:bottom w:val="nil"/>
              <w:right w:val="nil"/>
            </w:tcBorders>
            <w:shd w:val="clear" w:color="000000" w:fill="FFFFFF"/>
            <w:noWrap/>
            <w:vAlign w:val="bottom"/>
            <w:hideMark/>
          </w:tcPr>
          <w:p w14:paraId="755E9212"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136.608.343 </w:t>
            </w:r>
          </w:p>
        </w:tc>
        <w:tc>
          <w:tcPr>
            <w:tcW w:w="974" w:type="pct"/>
            <w:tcBorders>
              <w:top w:val="nil"/>
              <w:left w:val="nil"/>
              <w:bottom w:val="nil"/>
              <w:right w:val="nil"/>
            </w:tcBorders>
            <w:shd w:val="clear" w:color="000000" w:fill="FFFFFF"/>
            <w:noWrap/>
            <w:vAlign w:val="bottom"/>
            <w:hideMark/>
          </w:tcPr>
          <w:p w14:paraId="4816C043"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(76.377.468)</w:t>
            </w:r>
          </w:p>
        </w:tc>
      </w:tr>
      <w:tr w:rsidR="00D01180" w:rsidRPr="00D01180" w14:paraId="2C331031"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7FBC34A7"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723CE89F"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25B502A4"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r>
      <w:tr w:rsidR="00D01180" w:rsidRPr="00D01180" w14:paraId="6F0EBDA9"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3E00EDA2"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44A944C8"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2CC079D5"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r>
      <w:tr w:rsidR="00D01180" w:rsidRPr="00D01180" w14:paraId="404F21D0" w14:textId="77777777" w:rsidTr="00D01180">
        <w:trPr>
          <w:trHeight w:hRule="exact" w:val="227"/>
        </w:trPr>
        <w:tc>
          <w:tcPr>
            <w:tcW w:w="5000" w:type="pct"/>
            <w:gridSpan w:val="3"/>
            <w:tcBorders>
              <w:top w:val="nil"/>
              <w:left w:val="nil"/>
              <w:bottom w:val="nil"/>
              <w:right w:val="nil"/>
            </w:tcBorders>
            <w:shd w:val="clear" w:color="000000" w:fill="FFFFFF"/>
            <w:noWrap/>
            <w:vAlign w:val="bottom"/>
            <w:hideMark/>
          </w:tcPr>
          <w:p w14:paraId="238F0212"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t xml:space="preserve"> FLUXOS DE CAIXA DAS ATIVIDADES DE INVESTIMENTOS </w:t>
            </w:r>
          </w:p>
        </w:tc>
      </w:tr>
      <w:tr w:rsidR="00D01180" w:rsidRPr="00D01180" w14:paraId="78633ED1"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36D10806"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t> </w:t>
            </w:r>
          </w:p>
        </w:tc>
        <w:tc>
          <w:tcPr>
            <w:tcW w:w="811" w:type="pct"/>
            <w:tcBorders>
              <w:top w:val="nil"/>
              <w:left w:val="nil"/>
              <w:bottom w:val="nil"/>
              <w:right w:val="nil"/>
            </w:tcBorders>
            <w:shd w:val="clear" w:color="000000" w:fill="FFFFFF"/>
            <w:noWrap/>
            <w:vAlign w:val="bottom"/>
            <w:hideMark/>
          </w:tcPr>
          <w:p w14:paraId="0C2D9165"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4B2F808B"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t> </w:t>
            </w:r>
          </w:p>
        </w:tc>
      </w:tr>
      <w:tr w:rsidR="00D01180" w:rsidRPr="00D01180" w14:paraId="6577A5DE"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126DCE77" w14:textId="77777777" w:rsidR="00D01180" w:rsidRPr="00D01180" w:rsidRDefault="00D01180">
            <w:pPr>
              <w:outlineLvl w:val="0"/>
              <w:rPr>
                <w:rFonts w:asciiTheme="majorHAnsi" w:hAnsiTheme="majorHAnsi" w:cstheme="majorHAnsi"/>
                <w:sz w:val="16"/>
                <w:szCs w:val="16"/>
              </w:rPr>
            </w:pPr>
            <w:r w:rsidRPr="00D01180">
              <w:rPr>
                <w:rFonts w:asciiTheme="majorHAnsi" w:hAnsiTheme="majorHAnsi" w:cstheme="majorHAnsi"/>
                <w:sz w:val="16"/>
                <w:szCs w:val="16"/>
              </w:rPr>
              <w:t xml:space="preserve"> Aquisição de Imobilizado/Intangível </w:t>
            </w:r>
          </w:p>
        </w:tc>
        <w:tc>
          <w:tcPr>
            <w:tcW w:w="811" w:type="pct"/>
            <w:tcBorders>
              <w:top w:val="nil"/>
              <w:left w:val="nil"/>
              <w:bottom w:val="nil"/>
              <w:right w:val="nil"/>
            </w:tcBorders>
            <w:shd w:val="clear" w:color="000000" w:fill="FFFFFF"/>
            <w:noWrap/>
            <w:vAlign w:val="bottom"/>
            <w:hideMark/>
          </w:tcPr>
          <w:p w14:paraId="19966C7F" w14:textId="77777777" w:rsidR="00D01180" w:rsidRPr="00D01180" w:rsidRDefault="00D01180" w:rsidP="00D01180">
            <w:pPr>
              <w:jc w:val="right"/>
              <w:outlineLvl w:val="0"/>
              <w:rPr>
                <w:rFonts w:asciiTheme="majorHAnsi" w:hAnsiTheme="majorHAnsi" w:cstheme="majorHAnsi"/>
                <w:sz w:val="16"/>
                <w:szCs w:val="16"/>
              </w:rPr>
            </w:pPr>
            <w:r w:rsidRPr="00D01180">
              <w:rPr>
                <w:rFonts w:asciiTheme="majorHAnsi" w:hAnsiTheme="majorHAnsi" w:cstheme="majorHAnsi"/>
                <w:sz w:val="16"/>
                <w:szCs w:val="16"/>
              </w:rPr>
              <w:t xml:space="preserve">        (467.954.337)</w:t>
            </w:r>
          </w:p>
        </w:tc>
        <w:tc>
          <w:tcPr>
            <w:tcW w:w="974" w:type="pct"/>
            <w:tcBorders>
              <w:top w:val="nil"/>
              <w:left w:val="nil"/>
              <w:bottom w:val="nil"/>
              <w:right w:val="nil"/>
            </w:tcBorders>
            <w:shd w:val="clear" w:color="000000" w:fill="FFFFFF"/>
            <w:noWrap/>
            <w:vAlign w:val="bottom"/>
            <w:hideMark/>
          </w:tcPr>
          <w:p w14:paraId="3ACCFFA1" w14:textId="77777777" w:rsidR="00D01180" w:rsidRPr="00D01180" w:rsidRDefault="00D01180" w:rsidP="00D01180">
            <w:pPr>
              <w:jc w:val="right"/>
              <w:outlineLvl w:val="0"/>
              <w:rPr>
                <w:rFonts w:asciiTheme="majorHAnsi" w:hAnsiTheme="majorHAnsi" w:cstheme="majorHAnsi"/>
                <w:sz w:val="16"/>
                <w:szCs w:val="16"/>
              </w:rPr>
            </w:pPr>
            <w:r w:rsidRPr="00D01180">
              <w:rPr>
                <w:rFonts w:asciiTheme="majorHAnsi" w:hAnsiTheme="majorHAnsi" w:cstheme="majorHAnsi"/>
                <w:sz w:val="16"/>
                <w:szCs w:val="16"/>
              </w:rPr>
              <w:t xml:space="preserve">               (268.804.402)</w:t>
            </w:r>
          </w:p>
        </w:tc>
      </w:tr>
      <w:tr w:rsidR="00D01180" w:rsidRPr="00D01180" w14:paraId="3F68747E"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3A232272"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Aumento (Redução) de passivo do Imobilizado/Intangível </w:t>
            </w:r>
          </w:p>
        </w:tc>
        <w:tc>
          <w:tcPr>
            <w:tcW w:w="811" w:type="pct"/>
            <w:tcBorders>
              <w:top w:val="nil"/>
              <w:left w:val="nil"/>
              <w:bottom w:val="nil"/>
              <w:right w:val="nil"/>
            </w:tcBorders>
            <w:shd w:val="clear" w:color="000000" w:fill="FFFFFF"/>
            <w:noWrap/>
            <w:vAlign w:val="bottom"/>
            <w:hideMark/>
          </w:tcPr>
          <w:p w14:paraId="70ED3F5C"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215.560 </w:t>
            </w:r>
          </w:p>
        </w:tc>
        <w:tc>
          <w:tcPr>
            <w:tcW w:w="974" w:type="pct"/>
            <w:tcBorders>
              <w:top w:val="nil"/>
              <w:left w:val="nil"/>
              <w:bottom w:val="nil"/>
              <w:right w:val="nil"/>
            </w:tcBorders>
            <w:shd w:val="clear" w:color="000000" w:fill="FFFFFF"/>
            <w:noWrap/>
            <w:vAlign w:val="bottom"/>
            <w:hideMark/>
          </w:tcPr>
          <w:p w14:paraId="58A4A55B"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1.495.252 </w:t>
            </w:r>
          </w:p>
        </w:tc>
      </w:tr>
      <w:tr w:rsidR="00D01180" w:rsidRPr="00D01180" w14:paraId="6FD799F1"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2549D6D9" w14:textId="77777777" w:rsidR="00D01180" w:rsidRPr="009E7AA5" w:rsidRDefault="00D01180">
            <w:pPr>
              <w:rPr>
                <w:rFonts w:asciiTheme="majorHAnsi" w:hAnsiTheme="majorHAnsi" w:cstheme="majorHAnsi"/>
                <w:sz w:val="16"/>
                <w:szCs w:val="16"/>
              </w:rPr>
            </w:pPr>
            <w:r w:rsidRPr="009E7AA5">
              <w:rPr>
                <w:rFonts w:asciiTheme="majorHAnsi" w:hAnsiTheme="majorHAnsi" w:cstheme="majorHAnsi"/>
                <w:sz w:val="16"/>
                <w:szCs w:val="16"/>
              </w:rPr>
              <w:t xml:space="preserve"> Ajuste de Incorporação de disponibilidades da EPL </w:t>
            </w:r>
          </w:p>
        </w:tc>
        <w:tc>
          <w:tcPr>
            <w:tcW w:w="811" w:type="pct"/>
            <w:tcBorders>
              <w:top w:val="nil"/>
              <w:left w:val="nil"/>
              <w:bottom w:val="nil"/>
              <w:right w:val="nil"/>
            </w:tcBorders>
            <w:shd w:val="clear" w:color="000000" w:fill="FFFFFF"/>
            <w:noWrap/>
            <w:vAlign w:val="bottom"/>
            <w:hideMark/>
          </w:tcPr>
          <w:p w14:paraId="1CC40AD7" w14:textId="77777777" w:rsidR="00D01180" w:rsidRPr="009E7AA5" w:rsidRDefault="00D01180" w:rsidP="00D01180">
            <w:pPr>
              <w:jc w:val="right"/>
              <w:rPr>
                <w:rFonts w:asciiTheme="majorHAnsi" w:hAnsiTheme="majorHAnsi" w:cstheme="majorHAnsi"/>
                <w:sz w:val="16"/>
                <w:szCs w:val="16"/>
              </w:rPr>
            </w:pPr>
            <w:r w:rsidRPr="009E7AA5">
              <w:rPr>
                <w:rFonts w:asciiTheme="majorHAnsi" w:hAnsiTheme="majorHAnsi" w:cstheme="majorHAnsi"/>
                <w:sz w:val="16"/>
                <w:szCs w:val="16"/>
              </w:rPr>
              <w:t xml:space="preserve">            76.637.095 </w:t>
            </w:r>
          </w:p>
        </w:tc>
        <w:tc>
          <w:tcPr>
            <w:tcW w:w="974" w:type="pct"/>
            <w:tcBorders>
              <w:top w:val="nil"/>
              <w:left w:val="nil"/>
              <w:bottom w:val="nil"/>
              <w:right w:val="nil"/>
            </w:tcBorders>
            <w:shd w:val="clear" w:color="000000" w:fill="FFFFFF"/>
            <w:noWrap/>
            <w:vAlign w:val="bottom"/>
            <w:hideMark/>
          </w:tcPr>
          <w:p w14:paraId="27E0A2F0" w14:textId="77777777" w:rsidR="00D01180" w:rsidRPr="009E7AA5" w:rsidRDefault="00D01180" w:rsidP="00D01180">
            <w:pPr>
              <w:jc w:val="right"/>
              <w:rPr>
                <w:rFonts w:asciiTheme="majorHAnsi" w:hAnsiTheme="majorHAnsi" w:cstheme="majorHAnsi"/>
                <w:sz w:val="16"/>
                <w:szCs w:val="16"/>
              </w:rPr>
            </w:pPr>
            <w:r w:rsidRPr="009E7AA5">
              <w:rPr>
                <w:rFonts w:asciiTheme="majorHAnsi" w:hAnsiTheme="majorHAnsi" w:cstheme="majorHAnsi"/>
                <w:sz w:val="16"/>
                <w:szCs w:val="16"/>
              </w:rPr>
              <w:t xml:space="preserve">                                   -   </w:t>
            </w:r>
          </w:p>
        </w:tc>
      </w:tr>
      <w:tr w:rsidR="00D01180" w:rsidRPr="00D01180" w14:paraId="36E3C410"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3D399AB4" w14:textId="77777777" w:rsidR="00D01180" w:rsidRPr="00D01180" w:rsidRDefault="00D01180">
            <w:pPr>
              <w:rPr>
                <w:rFonts w:asciiTheme="majorHAnsi" w:hAnsiTheme="majorHAnsi" w:cstheme="majorHAnsi"/>
                <w:b/>
                <w:bCs/>
                <w:sz w:val="16"/>
                <w:szCs w:val="16"/>
              </w:rPr>
            </w:pPr>
            <w:r w:rsidRPr="00D01180">
              <w:rPr>
                <w:rFonts w:asciiTheme="majorHAnsi" w:hAnsiTheme="majorHAnsi" w:cstheme="majorHAnsi"/>
                <w:b/>
                <w:bCs/>
                <w:sz w:val="16"/>
                <w:szCs w:val="16"/>
              </w:rPr>
              <w:t xml:space="preserve"> = Disponib.liquidas geradas (aplicadas) nas atividades de investimentos </w:t>
            </w:r>
          </w:p>
        </w:tc>
        <w:tc>
          <w:tcPr>
            <w:tcW w:w="811" w:type="pct"/>
            <w:tcBorders>
              <w:top w:val="nil"/>
              <w:left w:val="nil"/>
              <w:bottom w:val="nil"/>
              <w:right w:val="nil"/>
            </w:tcBorders>
            <w:shd w:val="clear" w:color="000000" w:fill="FFFFFF"/>
            <w:noWrap/>
            <w:vAlign w:val="bottom"/>
            <w:hideMark/>
          </w:tcPr>
          <w:p w14:paraId="65F0B172"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(391.101.682)</w:t>
            </w:r>
          </w:p>
        </w:tc>
        <w:tc>
          <w:tcPr>
            <w:tcW w:w="974" w:type="pct"/>
            <w:tcBorders>
              <w:top w:val="nil"/>
              <w:left w:val="nil"/>
              <w:bottom w:val="nil"/>
              <w:right w:val="nil"/>
            </w:tcBorders>
            <w:shd w:val="clear" w:color="000000" w:fill="FFFFFF"/>
            <w:noWrap/>
            <w:vAlign w:val="bottom"/>
            <w:hideMark/>
          </w:tcPr>
          <w:p w14:paraId="5DD45C3F"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(267.309.150)</w:t>
            </w:r>
          </w:p>
        </w:tc>
      </w:tr>
      <w:tr w:rsidR="00D01180" w:rsidRPr="00D01180" w14:paraId="4ED7123B"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5AE57839"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3041F774"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6DBEE153"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r>
      <w:tr w:rsidR="00D01180" w:rsidRPr="00D01180" w14:paraId="15FBB79F"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2BE33C9F"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47997BC6"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662E36DD" w14:textId="77777777" w:rsidR="00D01180" w:rsidRPr="00D01180" w:rsidRDefault="00D01180">
            <w:pPr>
              <w:jc w:val="center"/>
              <w:rPr>
                <w:rFonts w:asciiTheme="majorHAnsi" w:hAnsiTheme="majorHAnsi" w:cstheme="majorHAnsi"/>
                <w:sz w:val="16"/>
                <w:szCs w:val="16"/>
              </w:rPr>
            </w:pPr>
            <w:r w:rsidRPr="00D01180">
              <w:rPr>
                <w:rFonts w:asciiTheme="majorHAnsi" w:hAnsiTheme="majorHAnsi" w:cstheme="majorHAnsi"/>
                <w:sz w:val="16"/>
                <w:szCs w:val="16"/>
              </w:rPr>
              <w:t> </w:t>
            </w:r>
          </w:p>
        </w:tc>
      </w:tr>
      <w:tr w:rsidR="00D01180" w:rsidRPr="00D01180" w14:paraId="0505F121" w14:textId="77777777" w:rsidTr="00D01180">
        <w:trPr>
          <w:trHeight w:hRule="exact" w:val="227"/>
        </w:trPr>
        <w:tc>
          <w:tcPr>
            <w:tcW w:w="5000" w:type="pct"/>
            <w:gridSpan w:val="3"/>
            <w:tcBorders>
              <w:top w:val="nil"/>
              <w:left w:val="nil"/>
              <w:bottom w:val="nil"/>
              <w:right w:val="nil"/>
            </w:tcBorders>
            <w:shd w:val="clear" w:color="000000" w:fill="FFFFFF"/>
            <w:noWrap/>
            <w:vAlign w:val="bottom"/>
            <w:hideMark/>
          </w:tcPr>
          <w:p w14:paraId="74C0017C"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t xml:space="preserve"> FLUXOS DE CAIXA DAS ATIVIDADES DE FINANCIAMENTO </w:t>
            </w:r>
          </w:p>
        </w:tc>
      </w:tr>
      <w:tr w:rsidR="00D01180" w:rsidRPr="00D01180" w14:paraId="233A366A"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500034DC"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t> </w:t>
            </w:r>
          </w:p>
        </w:tc>
        <w:tc>
          <w:tcPr>
            <w:tcW w:w="811" w:type="pct"/>
            <w:tcBorders>
              <w:top w:val="nil"/>
              <w:left w:val="nil"/>
              <w:bottom w:val="nil"/>
              <w:right w:val="nil"/>
            </w:tcBorders>
            <w:shd w:val="clear" w:color="000000" w:fill="FFFFFF"/>
            <w:noWrap/>
            <w:vAlign w:val="bottom"/>
            <w:hideMark/>
          </w:tcPr>
          <w:p w14:paraId="32F8CCC4"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t> </w:t>
            </w:r>
          </w:p>
        </w:tc>
        <w:tc>
          <w:tcPr>
            <w:tcW w:w="974" w:type="pct"/>
            <w:tcBorders>
              <w:top w:val="nil"/>
              <w:left w:val="nil"/>
              <w:bottom w:val="nil"/>
              <w:right w:val="nil"/>
            </w:tcBorders>
            <w:shd w:val="clear" w:color="000000" w:fill="FFFFFF"/>
            <w:noWrap/>
            <w:vAlign w:val="bottom"/>
            <w:hideMark/>
          </w:tcPr>
          <w:p w14:paraId="0DD443D0" w14:textId="77777777" w:rsidR="00D01180" w:rsidRPr="00D01180" w:rsidRDefault="00D01180">
            <w:pPr>
              <w:jc w:val="center"/>
              <w:rPr>
                <w:rFonts w:asciiTheme="majorHAnsi" w:hAnsiTheme="majorHAnsi" w:cstheme="majorHAnsi"/>
                <w:b/>
                <w:bCs/>
                <w:sz w:val="16"/>
                <w:szCs w:val="16"/>
              </w:rPr>
            </w:pPr>
            <w:r w:rsidRPr="00D01180">
              <w:rPr>
                <w:rFonts w:asciiTheme="majorHAnsi" w:hAnsiTheme="majorHAnsi" w:cstheme="majorHAnsi"/>
                <w:b/>
                <w:bCs/>
                <w:sz w:val="16"/>
                <w:szCs w:val="16"/>
              </w:rPr>
              <w:t> </w:t>
            </w:r>
          </w:p>
        </w:tc>
      </w:tr>
      <w:tr w:rsidR="00D01180" w:rsidRPr="00D01180" w14:paraId="25FCA7B5"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0B464EA9"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Créditos Recebidos da União - AFAC </w:t>
            </w:r>
          </w:p>
        </w:tc>
        <w:tc>
          <w:tcPr>
            <w:tcW w:w="811" w:type="pct"/>
            <w:tcBorders>
              <w:top w:val="nil"/>
              <w:left w:val="nil"/>
              <w:bottom w:val="nil"/>
              <w:right w:val="nil"/>
            </w:tcBorders>
            <w:shd w:val="clear" w:color="000000" w:fill="FFFFFF"/>
            <w:noWrap/>
            <w:vAlign w:val="bottom"/>
            <w:hideMark/>
          </w:tcPr>
          <w:p w14:paraId="23446E2E"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223.287.079 </w:t>
            </w:r>
          </w:p>
        </w:tc>
        <w:tc>
          <w:tcPr>
            <w:tcW w:w="974" w:type="pct"/>
            <w:tcBorders>
              <w:top w:val="nil"/>
              <w:left w:val="nil"/>
              <w:bottom w:val="nil"/>
              <w:right w:val="nil"/>
            </w:tcBorders>
            <w:shd w:val="clear" w:color="000000" w:fill="FFFFFF"/>
            <w:noWrap/>
            <w:vAlign w:val="bottom"/>
            <w:hideMark/>
          </w:tcPr>
          <w:p w14:paraId="1343AAD0"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277.743.872 </w:t>
            </w:r>
          </w:p>
        </w:tc>
      </w:tr>
      <w:tr w:rsidR="00D01180" w:rsidRPr="00D01180" w14:paraId="2C89ADB4"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68BAA2CB"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Subvenção do Tesouro Nacional - repasse para custeio/pessoal </w:t>
            </w:r>
          </w:p>
        </w:tc>
        <w:tc>
          <w:tcPr>
            <w:tcW w:w="811" w:type="pct"/>
            <w:tcBorders>
              <w:top w:val="nil"/>
              <w:left w:val="nil"/>
              <w:bottom w:val="nil"/>
              <w:right w:val="nil"/>
            </w:tcBorders>
            <w:shd w:val="clear" w:color="000000" w:fill="FFFFFF"/>
            <w:noWrap/>
            <w:vAlign w:val="bottom"/>
            <w:hideMark/>
          </w:tcPr>
          <w:p w14:paraId="5B042FFE"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109.418.760 </w:t>
            </w:r>
          </w:p>
        </w:tc>
        <w:tc>
          <w:tcPr>
            <w:tcW w:w="974" w:type="pct"/>
            <w:tcBorders>
              <w:top w:val="nil"/>
              <w:left w:val="nil"/>
              <w:bottom w:val="nil"/>
              <w:right w:val="nil"/>
            </w:tcBorders>
            <w:shd w:val="clear" w:color="000000" w:fill="FFFFFF"/>
            <w:noWrap/>
            <w:vAlign w:val="bottom"/>
            <w:hideMark/>
          </w:tcPr>
          <w:p w14:paraId="4AB212D7"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102.401.154 </w:t>
            </w:r>
          </w:p>
        </w:tc>
      </w:tr>
      <w:tr w:rsidR="00D01180" w:rsidRPr="00D01180" w14:paraId="24925FB9"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38D9A5F0" w14:textId="77777777" w:rsidR="00D01180" w:rsidRPr="00D01180" w:rsidRDefault="00D01180">
            <w:pPr>
              <w:rPr>
                <w:rFonts w:asciiTheme="majorHAnsi" w:hAnsiTheme="majorHAnsi" w:cstheme="majorHAnsi"/>
                <w:b/>
                <w:bCs/>
                <w:sz w:val="16"/>
                <w:szCs w:val="16"/>
              </w:rPr>
            </w:pPr>
            <w:r w:rsidRPr="00D01180">
              <w:rPr>
                <w:rFonts w:asciiTheme="majorHAnsi" w:hAnsiTheme="majorHAnsi" w:cstheme="majorHAnsi"/>
                <w:b/>
                <w:bCs/>
                <w:sz w:val="16"/>
                <w:szCs w:val="16"/>
              </w:rPr>
              <w:t xml:space="preserve"> = Disponib. líquidas geradas (aplicadas) nas atividades de financiamentos </w:t>
            </w:r>
          </w:p>
        </w:tc>
        <w:tc>
          <w:tcPr>
            <w:tcW w:w="811" w:type="pct"/>
            <w:tcBorders>
              <w:top w:val="nil"/>
              <w:left w:val="nil"/>
              <w:bottom w:val="nil"/>
              <w:right w:val="nil"/>
            </w:tcBorders>
            <w:shd w:val="clear" w:color="000000" w:fill="FFFFFF"/>
            <w:noWrap/>
            <w:vAlign w:val="bottom"/>
            <w:hideMark/>
          </w:tcPr>
          <w:p w14:paraId="10BFAFF9"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332.705.840 </w:t>
            </w:r>
          </w:p>
        </w:tc>
        <w:tc>
          <w:tcPr>
            <w:tcW w:w="974" w:type="pct"/>
            <w:tcBorders>
              <w:top w:val="nil"/>
              <w:left w:val="nil"/>
              <w:bottom w:val="nil"/>
              <w:right w:val="nil"/>
            </w:tcBorders>
            <w:shd w:val="clear" w:color="000000" w:fill="FFFFFF"/>
            <w:noWrap/>
            <w:vAlign w:val="bottom"/>
            <w:hideMark/>
          </w:tcPr>
          <w:p w14:paraId="24CE9762"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380.145.025 </w:t>
            </w:r>
          </w:p>
        </w:tc>
      </w:tr>
      <w:tr w:rsidR="00D01180" w:rsidRPr="00D01180" w14:paraId="1F4CC5B5"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1E6EFCDF" w14:textId="77777777"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w:t>
            </w:r>
          </w:p>
        </w:tc>
        <w:tc>
          <w:tcPr>
            <w:tcW w:w="811" w:type="pct"/>
            <w:tcBorders>
              <w:top w:val="nil"/>
              <w:left w:val="nil"/>
              <w:bottom w:val="nil"/>
              <w:right w:val="nil"/>
            </w:tcBorders>
            <w:shd w:val="clear" w:color="000000" w:fill="FFFFFF"/>
            <w:noWrap/>
            <w:vAlign w:val="bottom"/>
            <w:hideMark/>
          </w:tcPr>
          <w:p w14:paraId="22E7C77D"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w:t>
            </w:r>
          </w:p>
        </w:tc>
        <w:tc>
          <w:tcPr>
            <w:tcW w:w="974" w:type="pct"/>
            <w:tcBorders>
              <w:top w:val="nil"/>
              <w:left w:val="nil"/>
              <w:bottom w:val="nil"/>
              <w:right w:val="nil"/>
            </w:tcBorders>
            <w:shd w:val="clear" w:color="000000" w:fill="FFFFFF"/>
            <w:noWrap/>
            <w:vAlign w:val="bottom"/>
            <w:hideMark/>
          </w:tcPr>
          <w:p w14:paraId="30DCBD09"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w:t>
            </w:r>
          </w:p>
        </w:tc>
      </w:tr>
      <w:tr w:rsidR="00D01180" w:rsidRPr="00D01180" w14:paraId="0E47BA3B" w14:textId="77777777" w:rsidTr="00D01180">
        <w:trPr>
          <w:trHeight w:hRule="exact" w:val="227"/>
        </w:trPr>
        <w:tc>
          <w:tcPr>
            <w:tcW w:w="3215" w:type="pct"/>
            <w:tcBorders>
              <w:top w:val="nil"/>
              <w:left w:val="nil"/>
              <w:bottom w:val="nil"/>
              <w:right w:val="nil"/>
            </w:tcBorders>
            <w:shd w:val="clear" w:color="000000" w:fill="FFFFFF"/>
            <w:noWrap/>
            <w:vAlign w:val="bottom"/>
            <w:hideMark/>
          </w:tcPr>
          <w:p w14:paraId="5F497683" w14:textId="77777777" w:rsidR="00D01180" w:rsidRPr="00D01180" w:rsidRDefault="00D01180">
            <w:pPr>
              <w:rPr>
                <w:rFonts w:asciiTheme="majorHAnsi" w:hAnsiTheme="majorHAnsi" w:cstheme="majorHAnsi"/>
                <w:b/>
                <w:bCs/>
                <w:sz w:val="16"/>
                <w:szCs w:val="16"/>
              </w:rPr>
            </w:pPr>
            <w:r w:rsidRPr="00D01180">
              <w:rPr>
                <w:rFonts w:asciiTheme="majorHAnsi" w:hAnsiTheme="majorHAnsi" w:cstheme="majorHAnsi"/>
                <w:b/>
                <w:bCs/>
                <w:sz w:val="16"/>
                <w:szCs w:val="16"/>
              </w:rPr>
              <w:t xml:space="preserve"> Aumento (redução) das disponibilidades </w:t>
            </w:r>
          </w:p>
        </w:tc>
        <w:tc>
          <w:tcPr>
            <w:tcW w:w="811" w:type="pct"/>
            <w:tcBorders>
              <w:top w:val="nil"/>
              <w:left w:val="nil"/>
              <w:bottom w:val="nil"/>
              <w:right w:val="nil"/>
            </w:tcBorders>
            <w:shd w:val="clear" w:color="000000" w:fill="FFFFFF"/>
            <w:noWrap/>
            <w:vAlign w:val="bottom"/>
            <w:hideMark/>
          </w:tcPr>
          <w:p w14:paraId="20545D8D"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78.212.501 </w:t>
            </w:r>
          </w:p>
        </w:tc>
        <w:tc>
          <w:tcPr>
            <w:tcW w:w="974" w:type="pct"/>
            <w:tcBorders>
              <w:top w:val="nil"/>
              <w:left w:val="nil"/>
              <w:bottom w:val="nil"/>
              <w:right w:val="nil"/>
            </w:tcBorders>
            <w:shd w:val="clear" w:color="000000" w:fill="FFFFFF"/>
            <w:noWrap/>
            <w:vAlign w:val="bottom"/>
            <w:hideMark/>
          </w:tcPr>
          <w:p w14:paraId="5F95BB85" w14:textId="77777777" w:rsidR="00D01180" w:rsidRPr="00D01180" w:rsidRDefault="00D01180" w:rsidP="00D01180">
            <w:pPr>
              <w:jc w:val="right"/>
              <w:rPr>
                <w:rFonts w:asciiTheme="majorHAnsi" w:hAnsiTheme="majorHAnsi" w:cstheme="majorHAnsi"/>
                <w:b/>
                <w:bCs/>
                <w:sz w:val="16"/>
                <w:szCs w:val="16"/>
              </w:rPr>
            </w:pPr>
            <w:r w:rsidRPr="00D01180">
              <w:rPr>
                <w:rFonts w:asciiTheme="majorHAnsi" w:hAnsiTheme="majorHAnsi" w:cstheme="majorHAnsi"/>
                <w:b/>
                <w:bCs/>
                <w:sz w:val="16"/>
                <w:szCs w:val="16"/>
              </w:rPr>
              <w:t xml:space="preserve">                   36.458.407 </w:t>
            </w:r>
          </w:p>
        </w:tc>
      </w:tr>
      <w:tr w:rsidR="00D01180" w:rsidRPr="00D01180" w14:paraId="6C5A2C39" w14:textId="77777777" w:rsidTr="00D01180">
        <w:trPr>
          <w:trHeight w:hRule="exact" w:val="227"/>
        </w:trPr>
        <w:tc>
          <w:tcPr>
            <w:tcW w:w="3215" w:type="pct"/>
            <w:tcBorders>
              <w:top w:val="nil"/>
              <w:left w:val="nil"/>
              <w:bottom w:val="nil"/>
              <w:right w:val="nil"/>
            </w:tcBorders>
            <w:shd w:val="clear" w:color="auto" w:fill="auto"/>
            <w:noWrap/>
            <w:vAlign w:val="bottom"/>
            <w:hideMark/>
          </w:tcPr>
          <w:p w14:paraId="70C025E6" w14:textId="28887D9E"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Disponibilidades no início do per</w:t>
            </w:r>
            <w:r w:rsidR="00207539">
              <w:rPr>
                <w:rFonts w:asciiTheme="majorHAnsi" w:hAnsiTheme="majorHAnsi" w:cstheme="majorHAnsi"/>
                <w:sz w:val="16"/>
                <w:szCs w:val="16"/>
              </w:rPr>
              <w:t>í</w:t>
            </w:r>
            <w:r w:rsidRPr="00D01180">
              <w:rPr>
                <w:rFonts w:asciiTheme="majorHAnsi" w:hAnsiTheme="majorHAnsi" w:cstheme="majorHAnsi"/>
                <w:sz w:val="16"/>
                <w:szCs w:val="16"/>
              </w:rPr>
              <w:t xml:space="preserve">odo </w:t>
            </w:r>
          </w:p>
        </w:tc>
        <w:tc>
          <w:tcPr>
            <w:tcW w:w="811" w:type="pct"/>
            <w:tcBorders>
              <w:top w:val="nil"/>
              <w:left w:val="nil"/>
              <w:bottom w:val="nil"/>
              <w:right w:val="nil"/>
            </w:tcBorders>
            <w:shd w:val="clear" w:color="000000" w:fill="FFFFFF"/>
            <w:noWrap/>
            <w:vAlign w:val="bottom"/>
            <w:hideMark/>
          </w:tcPr>
          <w:p w14:paraId="167AD8CD"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56.732.574 </w:t>
            </w:r>
          </w:p>
        </w:tc>
        <w:tc>
          <w:tcPr>
            <w:tcW w:w="974" w:type="pct"/>
            <w:tcBorders>
              <w:top w:val="nil"/>
              <w:left w:val="nil"/>
              <w:bottom w:val="nil"/>
              <w:right w:val="nil"/>
            </w:tcBorders>
            <w:shd w:val="clear" w:color="000000" w:fill="FFFFFF"/>
            <w:noWrap/>
            <w:vAlign w:val="bottom"/>
            <w:hideMark/>
          </w:tcPr>
          <w:p w14:paraId="01DBE7D9"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32.350.978 </w:t>
            </w:r>
          </w:p>
        </w:tc>
      </w:tr>
      <w:tr w:rsidR="00D01180" w:rsidRPr="00D01180" w14:paraId="26B5048A" w14:textId="77777777" w:rsidTr="00D01180">
        <w:trPr>
          <w:trHeight w:hRule="exact" w:val="227"/>
        </w:trPr>
        <w:tc>
          <w:tcPr>
            <w:tcW w:w="3215" w:type="pct"/>
            <w:tcBorders>
              <w:top w:val="nil"/>
              <w:left w:val="nil"/>
              <w:bottom w:val="nil"/>
              <w:right w:val="nil"/>
            </w:tcBorders>
            <w:shd w:val="clear" w:color="auto" w:fill="auto"/>
            <w:noWrap/>
            <w:vAlign w:val="bottom"/>
            <w:hideMark/>
          </w:tcPr>
          <w:p w14:paraId="5A5F6FFB" w14:textId="3C655684" w:rsidR="00D01180" w:rsidRPr="00D01180" w:rsidRDefault="00D01180">
            <w:pPr>
              <w:rPr>
                <w:rFonts w:asciiTheme="majorHAnsi" w:hAnsiTheme="majorHAnsi" w:cstheme="majorHAnsi"/>
                <w:sz w:val="16"/>
                <w:szCs w:val="16"/>
              </w:rPr>
            </w:pPr>
            <w:r w:rsidRPr="00D01180">
              <w:rPr>
                <w:rFonts w:asciiTheme="majorHAnsi" w:hAnsiTheme="majorHAnsi" w:cstheme="majorHAnsi"/>
                <w:sz w:val="16"/>
                <w:szCs w:val="16"/>
              </w:rPr>
              <w:t xml:space="preserve"> Disponibilidades no final do per</w:t>
            </w:r>
            <w:r w:rsidR="00207539">
              <w:rPr>
                <w:rFonts w:asciiTheme="majorHAnsi" w:hAnsiTheme="majorHAnsi" w:cstheme="majorHAnsi"/>
                <w:sz w:val="16"/>
                <w:szCs w:val="16"/>
              </w:rPr>
              <w:t>í</w:t>
            </w:r>
            <w:r w:rsidRPr="00D01180">
              <w:rPr>
                <w:rFonts w:asciiTheme="majorHAnsi" w:hAnsiTheme="majorHAnsi" w:cstheme="majorHAnsi"/>
                <w:sz w:val="16"/>
                <w:szCs w:val="16"/>
              </w:rPr>
              <w:t xml:space="preserve">odo </w:t>
            </w:r>
          </w:p>
        </w:tc>
        <w:tc>
          <w:tcPr>
            <w:tcW w:w="811" w:type="pct"/>
            <w:tcBorders>
              <w:top w:val="nil"/>
              <w:left w:val="nil"/>
              <w:bottom w:val="nil"/>
              <w:right w:val="nil"/>
            </w:tcBorders>
            <w:shd w:val="clear" w:color="000000" w:fill="FFFFFF"/>
            <w:noWrap/>
            <w:vAlign w:val="bottom"/>
            <w:hideMark/>
          </w:tcPr>
          <w:p w14:paraId="1A57E8E5"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134.945.075 </w:t>
            </w:r>
          </w:p>
        </w:tc>
        <w:tc>
          <w:tcPr>
            <w:tcW w:w="974" w:type="pct"/>
            <w:tcBorders>
              <w:top w:val="nil"/>
              <w:left w:val="nil"/>
              <w:bottom w:val="nil"/>
              <w:right w:val="nil"/>
            </w:tcBorders>
            <w:shd w:val="clear" w:color="000000" w:fill="FFFFFF"/>
            <w:noWrap/>
            <w:vAlign w:val="bottom"/>
            <w:hideMark/>
          </w:tcPr>
          <w:p w14:paraId="398E6492" w14:textId="77777777" w:rsidR="00D01180" w:rsidRPr="00D01180" w:rsidRDefault="00D01180" w:rsidP="00D01180">
            <w:pPr>
              <w:jc w:val="right"/>
              <w:rPr>
                <w:rFonts w:asciiTheme="majorHAnsi" w:hAnsiTheme="majorHAnsi" w:cstheme="majorHAnsi"/>
                <w:sz w:val="16"/>
                <w:szCs w:val="16"/>
              </w:rPr>
            </w:pPr>
            <w:r w:rsidRPr="00D01180">
              <w:rPr>
                <w:rFonts w:asciiTheme="majorHAnsi" w:hAnsiTheme="majorHAnsi" w:cstheme="majorHAnsi"/>
                <w:sz w:val="16"/>
                <w:szCs w:val="16"/>
              </w:rPr>
              <w:t xml:space="preserve">                   68.809.385 </w:t>
            </w:r>
          </w:p>
        </w:tc>
      </w:tr>
      <w:tr w:rsidR="00D01180" w:rsidRPr="00D01180" w14:paraId="72E3439F" w14:textId="77777777" w:rsidTr="00D01180">
        <w:trPr>
          <w:trHeight w:hRule="exact" w:val="227"/>
        </w:trPr>
        <w:tc>
          <w:tcPr>
            <w:tcW w:w="5000" w:type="pct"/>
            <w:gridSpan w:val="3"/>
            <w:tcBorders>
              <w:top w:val="nil"/>
              <w:left w:val="nil"/>
              <w:bottom w:val="nil"/>
              <w:right w:val="nil"/>
            </w:tcBorders>
            <w:shd w:val="clear" w:color="000000" w:fill="FFFFFF"/>
            <w:noWrap/>
            <w:vAlign w:val="bottom"/>
            <w:hideMark/>
          </w:tcPr>
          <w:p w14:paraId="097BF143" w14:textId="77777777" w:rsidR="00D01180" w:rsidRPr="00D01180" w:rsidRDefault="00D01180">
            <w:pPr>
              <w:jc w:val="center"/>
              <w:rPr>
                <w:rFonts w:asciiTheme="majorHAnsi" w:hAnsiTheme="majorHAnsi" w:cstheme="majorHAnsi"/>
                <w:sz w:val="16"/>
                <w:szCs w:val="16"/>
              </w:rPr>
            </w:pPr>
            <w:r w:rsidRPr="00D01180">
              <w:rPr>
                <w:rFonts w:asciiTheme="majorHAnsi" w:hAnsiTheme="majorHAnsi" w:cstheme="majorHAnsi"/>
                <w:sz w:val="16"/>
                <w:szCs w:val="16"/>
              </w:rPr>
              <w:t> </w:t>
            </w:r>
          </w:p>
        </w:tc>
      </w:tr>
      <w:tr w:rsidR="00D01180" w:rsidRPr="00D01180" w14:paraId="650DE29E" w14:textId="77777777" w:rsidTr="00D01180">
        <w:trPr>
          <w:trHeight w:hRule="exact" w:val="227"/>
        </w:trPr>
        <w:tc>
          <w:tcPr>
            <w:tcW w:w="5000" w:type="pct"/>
            <w:gridSpan w:val="3"/>
            <w:tcBorders>
              <w:top w:val="nil"/>
              <w:left w:val="nil"/>
              <w:bottom w:val="nil"/>
              <w:right w:val="nil"/>
            </w:tcBorders>
            <w:shd w:val="clear" w:color="auto" w:fill="auto"/>
            <w:noWrap/>
            <w:vAlign w:val="bottom"/>
            <w:hideMark/>
          </w:tcPr>
          <w:p w14:paraId="13A61204" w14:textId="77777777" w:rsidR="00D01180" w:rsidRPr="00D01180" w:rsidRDefault="00D01180">
            <w:pPr>
              <w:jc w:val="center"/>
              <w:rPr>
                <w:rFonts w:asciiTheme="majorHAnsi" w:hAnsiTheme="majorHAnsi" w:cstheme="majorHAnsi"/>
                <w:sz w:val="16"/>
                <w:szCs w:val="16"/>
              </w:rPr>
            </w:pPr>
            <w:r w:rsidRPr="00D01180">
              <w:rPr>
                <w:rFonts w:asciiTheme="majorHAnsi" w:hAnsiTheme="majorHAnsi" w:cstheme="majorHAnsi"/>
                <w:sz w:val="16"/>
                <w:szCs w:val="16"/>
              </w:rPr>
              <w:t>(As Notas Explicativas são parte integrante das demonstrações contábeis intermediárias)</w:t>
            </w:r>
          </w:p>
        </w:tc>
      </w:tr>
    </w:tbl>
    <w:p w14:paraId="7BDCB7A7" w14:textId="5D7E71E9" w:rsidR="00E66C6F" w:rsidRDefault="00E66C6F" w:rsidP="00AF45DE"/>
    <w:p w14:paraId="56E4D561" w14:textId="23DACCFF" w:rsidR="00E66C6F" w:rsidRDefault="00E66C6F" w:rsidP="00AF45DE"/>
    <w:p w14:paraId="1BF7158D" w14:textId="71027D90" w:rsidR="00E66C6F" w:rsidRDefault="00E66C6F" w:rsidP="00AF45DE"/>
    <w:p w14:paraId="0797F820" w14:textId="6C168C02" w:rsidR="00E66C6F" w:rsidRDefault="00E66C6F" w:rsidP="00AF45DE"/>
    <w:p w14:paraId="38062542" w14:textId="5ED02A9E" w:rsidR="00E66C6F" w:rsidRDefault="00E66C6F" w:rsidP="00AF45DE"/>
    <w:tbl>
      <w:tblPr>
        <w:tblW w:w="4882" w:type="pct"/>
        <w:tblLayout w:type="fixed"/>
        <w:tblCellMar>
          <w:left w:w="70" w:type="dxa"/>
          <w:right w:w="70" w:type="dxa"/>
        </w:tblCellMar>
        <w:tblLook w:val="04A0" w:firstRow="1" w:lastRow="0" w:firstColumn="1" w:lastColumn="0" w:noHBand="0" w:noVBand="1"/>
      </w:tblPr>
      <w:tblGrid>
        <w:gridCol w:w="3315"/>
        <w:gridCol w:w="166"/>
        <w:gridCol w:w="3039"/>
        <w:gridCol w:w="1697"/>
        <w:gridCol w:w="2003"/>
      </w:tblGrid>
      <w:tr w:rsidR="00E66C6F" w:rsidRPr="00E66C6F" w14:paraId="7D73B946" w14:textId="77777777" w:rsidTr="00E66C6F">
        <w:trPr>
          <w:trHeight w:hRule="exact" w:val="227"/>
        </w:trPr>
        <w:tc>
          <w:tcPr>
            <w:tcW w:w="5000" w:type="pct"/>
            <w:gridSpan w:val="5"/>
            <w:tcBorders>
              <w:top w:val="nil"/>
              <w:left w:val="nil"/>
              <w:bottom w:val="nil"/>
              <w:right w:val="nil"/>
            </w:tcBorders>
            <w:shd w:val="clear" w:color="000000" w:fill="FFFFFF"/>
            <w:noWrap/>
            <w:vAlign w:val="bottom"/>
            <w:hideMark/>
          </w:tcPr>
          <w:p w14:paraId="6940FE96"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DEMONSTRAÇÃO DO VALOR ADICIONADO (DVA)</w:t>
            </w:r>
          </w:p>
        </w:tc>
      </w:tr>
      <w:tr w:rsidR="00E66C6F" w:rsidRPr="00E66C6F" w14:paraId="648D4F87" w14:textId="77777777" w:rsidTr="00E66C6F">
        <w:trPr>
          <w:trHeight w:hRule="exact" w:val="227"/>
        </w:trPr>
        <w:tc>
          <w:tcPr>
            <w:tcW w:w="5000" w:type="pct"/>
            <w:gridSpan w:val="5"/>
            <w:tcBorders>
              <w:top w:val="nil"/>
              <w:left w:val="nil"/>
              <w:bottom w:val="nil"/>
              <w:right w:val="nil"/>
            </w:tcBorders>
            <w:shd w:val="clear" w:color="auto" w:fill="auto"/>
            <w:noWrap/>
            <w:vAlign w:val="bottom"/>
            <w:hideMark/>
          </w:tcPr>
          <w:p w14:paraId="5B97AB23"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3º TRIMESTRE 2022</w:t>
            </w:r>
          </w:p>
        </w:tc>
      </w:tr>
      <w:tr w:rsidR="00E66C6F" w:rsidRPr="00E66C6F" w14:paraId="1BAF5E61" w14:textId="77777777" w:rsidTr="00E66C6F">
        <w:trPr>
          <w:trHeight w:hRule="exact" w:val="227"/>
        </w:trPr>
        <w:tc>
          <w:tcPr>
            <w:tcW w:w="5000" w:type="pct"/>
            <w:gridSpan w:val="5"/>
            <w:tcBorders>
              <w:top w:val="nil"/>
              <w:left w:val="nil"/>
              <w:bottom w:val="nil"/>
              <w:right w:val="nil"/>
            </w:tcBorders>
            <w:shd w:val="clear" w:color="auto" w:fill="auto"/>
            <w:noWrap/>
            <w:vAlign w:val="bottom"/>
            <w:hideMark/>
          </w:tcPr>
          <w:p w14:paraId="1C30EAE0"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Em R$</w:t>
            </w:r>
          </w:p>
        </w:tc>
      </w:tr>
      <w:tr w:rsidR="00E66C6F" w:rsidRPr="00E66C6F" w14:paraId="483AA3E8"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31C48243"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81" w:type="pct"/>
            <w:tcBorders>
              <w:top w:val="nil"/>
              <w:left w:val="nil"/>
              <w:bottom w:val="nil"/>
              <w:right w:val="nil"/>
            </w:tcBorders>
            <w:shd w:val="clear" w:color="000000" w:fill="FFFFFF"/>
            <w:noWrap/>
            <w:vAlign w:val="bottom"/>
            <w:hideMark/>
          </w:tcPr>
          <w:p w14:paraId="5AC601B4"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1487" w:type="pct"/>
            <w:tcBorders>
              <w:top w:val="nil"/>
              <w:left w:val="nil"/>
              <w:bottom w:val="nil"/>
              <w:right w:val="nil"/>
            </w:tcBorders>
            <w:shd w:val="clear" w:color="000000" w:fill="FFFFFF"/>
            <w:noWrap/>
            <w:vAlign w:val="bottom"/>
            <w:hideMark/>
          </w:tcPr>
          <w:p w14:paraId="793C4D86"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830" w:type="pct"/>
            <w:tcBorders>
              <w:top w:val="nil"/>
              <w:left w:val="nil"/>
              <w:bottom w:val="nil"/>
              <w:right w:val="nil"/>
            </w:tcBorders>
            <w:shd w:val="clear" w:color="000000" w:fill="FFFFFF"/>
            <w:noWrap/>
            <w:vAlign w:val="bottom"/>
            <w:hideMark/>
          </w:tcPr>
          <w:p w14:paraId="1977068B" w14:textId="77777777" w:rsidR="00E66C6F" w:rsidRPr="00E66C6F" w:rsidRDefault="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980" w:type="pct"/>
            <w:tcBorders>
              <w:top w:val="nil"/>
              <w:left w:val="nil"/>
              <w:bottom w:val="nil"/>
              <w:right w:val="nil"/>
            </w:tcBorders>
            <w:shd w:val="clear" w:color="000000" w:fill="FFFFFF"/>
            <w:noWrap/>
            <w:vAlign w:val="bottom"/>
            <w:hideMark/>
          </w:tcPr>
          <w:p w14:paraId="0642B587" w14:textId="77777777" w:rsidR="00E66C6F" w:rsidRPr="00E66C6F" w:rsidRDefault="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r>
      <w:tr w:rsidR="00E66C6F" w:rsidRPr="00E66C6F" w14:paraId="0EB2E44C"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0CAEC70A"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81" w:type="pct"/>
            <w:tcBorders>
              <w:top w:val="nil"/>
              <w:left w:val="nil"/>
              <w:bottom w:val="nil"/>
              <w:right w:val="nil"/>
            </w:tcBorders>
            <w:shd w:val="clear" w:color="000000" w:fill="FFFFFF"/>
            <w:noWrap/>
            <w:vAlign w:val="bottom"/>
            <w:hideMark/>
          </w:tcPr>
          <w:p w14:paraId="28167040"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1487" w:type="pct"/>
            <w:tcBorders>
              <w:top w:val="nil"/>
              <w:left w:val="nil"/>
              <w:bottom w:val="nil"/>
              <w:right w:val="nil"/>
            </w:tcBorders>
            <w:shd w:val="clear" w:color="000000" w:fill="FFFFFF"/>
            <w:noWrap/>
            <w:vAlign w:val="bottom"/>
            <w:hideMark/>
          </w:tcPr>
          <w:p w14:paraId="7FDD01C4"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830" w:type="pct"/>
            <w:tcBorders>
              <w:top w:val="nil"/>
              <w:left w:val="nil"/>
              <w:bottom w:val="nil"/>
              <w:right w:val="nil"/>
            </w:tcBorders>
            <w:shd w:val="clear" w:color="000000" w:fill="FFFFFF"/>
            <w:vAlign w:val="bottom"/>
            <w:hideMark/>
          </w:tcPr>
          <w:p w14:paraId="5C99B716" w14:textId="77777777" w:rsidR="00E66C6F" w:rsidRPr="00E66C6F" w:rsidRDefault="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980" w:type="pct"/>
            <w:tcBorders>
              <w:top w:val="nil"/>
              <w:left w:val="nil"/>
              <w:bottom w:val="nil"/>
              <w:right w:val="nil"/>
            </w:tcBorders>
            <w:shd w:val="clear" w:color="000000" w:fill="FFFFFF"/>
            <w:vAlign w:val="bottom"/>
            <w:hideMark/>
          </w:tcPr>
          <w:p w14:paraId="10119CA3" w14:textId="77777777" w:rsidR="00E66C6F" w:rsidRPr="00E66C6F" w:rsidRDefault="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w:t>
            </w:r>
          </w:p>
        </w:tc>
      </w:tr>
      <w:tr w:rsidR="00E66C6F" w:rsidRPr="00E66C6F" w14:paraId="3816462F"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7FECEB3B"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81" w:type="pct"/>
            <w:tcBorders>
              <w:top w:val="nil"/>
              <w:left w:val="nil"/>
              <w:bottom w:val="nil"/>
              <w:right w:val="nil"/>
            </w:tcBorders>
            <w:shd w:val="clear" w:color="000000" w:fill="FFFFFF"/>
            <w:noWrap/>
            <w:vAlign w:val="bottom"/>
            <w:hideMark/>
          </w:tcPr>
          <w:p w14:paraId="3F093C68"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1487" w:type="pct"/>
            <w:tcBorders>
              <w:top w:val="nil"/>
              <w:left w:val="nil"/>
              <w:bottom w:val="nil"/>
              <w:right w:val="nil"/>
            </w:tcBorders>
            <w:shd w:val="clear" w:color="000000" w:fill="FFFFFF"/>
            <w:noWrap/>
            <w:vAlign w:val="bottom"/>
            <w:hideMark/>
          </w:tcPr>
          <w:p w14:paraId="605F32ED"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830" w:type="pct"/>
            <w:tcBorders>
              <w:top w:val="nil"/>
              <w:left w:val="nil"/>
              <w:bottom w:val="nil"/>
              <w:right w:val="nil"/>
            </w:tcBorders>
            <w:shd w:val="clear" w:color="auto" w:fill="auto"/>
            <w:vAlign w:val="bottom"/>
            <w:hideMark/>
          </w:tcPr>
          <w:p w14:paraId="3F31A370"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01/01/2022</w:t>
            </w:r>
          </w:p>
        </w:tc>
        <w:tc>
          <w:tcPr>
            <w:tcW w:w="980" w:type="pct"/>
            <w:tcBorders>
              <w:top w:val="nil"/>
              <w:left w:val="nil"/>
              <w:bottom w:val="nil"/>
              <w:right w:val="nil"/>
            </w:tcBorders>
            <w:shd w:val="clear" w:color="auto" w:fill="auto"/>
            <w:noWrap/>
            <w:vAlign w:val="bottom"/>
            <w:hideMark/>
          </w:tcPr>
          <w:p w14:paraId="6E57C465"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01/01/2021</w:t>
            </w:r>
          </w:p>
        </w:tc>
      </w:tr>
      <w:tr w:rsidR="00E66C6F" w:rsidRPr="00E66C6F" w14:paraId="3681322A"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498F5DB4"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81" w:type="pct"/>
            <w:tcBorders>
              <w:top w:val="nil"/>
              <w:left w:val="nil"/>
              <w:bottom w:val="nil"/>
              <w:right w:val="nil"/>
            </w:tcBorders>
            <w:shd w:val="clear" w:color="000000" w:fill="FFFFFF"/>
            <w:noWrap/>
            <w:vAlign w:val="bottom"/>
            <w:hideMark/>
          </w:tcPr>
          <w:p w14:paraId="1C0A9A0F"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1487" w:type="pct"/>
            <w:tcBorders>
              <w:top w:val="nil"/>
              <w:left w:val="nil"/>
              <w:bottom w:val="nil"/>
              <w:right w:val="nil"/>
            </w:tcBorders>
            <w:shd w:val="clear" w:color="000000" w:fill="FFFFFF"/>
            <w:noWrap/>
            <w:vAlign w:val="bottom"/>
            <w:hideMark/>
          </w:tcPr>
          <w:p w14:paraId="5DC4F8DB"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830" w:type="pct"/>
            <w:tcBorders>
              <w:top w:val="nil"/>
              <w:left w:val="nil"/>
              <w:bottom w:val="nil"/>
              <w:right w:val="nil"/>
            </w:tcBorders>
            <w:shd w:val="clear" w:color="auto" w:fill="auto"/>
            <w:noWrap/>
            <w:vAlign w:val="bottom"/>
            <w:hideMark/>
          </w:tcPr>
          <w:p w14:paraId="688BC75E"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a 30/09/2022</w:t>
            </w:r>
          </w:p>
        </w:tc>
        <w:tc>
          <w:tcPr>
            <w:tcW w:w="980" w:type="pct"/>
            <w:tcBorders>
              <w:top w:val="nil"/>
              <w:left w:val="nil"/>
              <w:bottom w:val="nil"/>
              <w:right w:val="nil"/>
            </w:tcBorders>
            <w:shd w:val="clear" w:color="auto" w:fill="auto"/>
            <w:noWrap/>
            <w:vAlign w:val="bottom"/>
            <w:hideMark/>
          </w:tcPr>
          <w:p w14:paraId="556C4ADF"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a 30/09/2021</w:t>
            </w:r>
          </w:p>
        </w:tc>
      </w:tr>
      <w:tr w:rsidR="00E66C6F" w:rsidRPr="00E66C6F" w14:paraId="6E860A99"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156E5758"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81" w:type="pct"/>
            <w:tcBorders>
              <w:top w:val="nil"/>
              <w:left w:val="nil"/>
              <w:bottom w:val="nil"/>
              <w:right w:val="nil"/>
            </w:tcBorders>
            <w:shd w:val="clear" w:color="000000" w:fill="FFFFFF"/>
            <w:noWrap/>
            <w:vAlign w:val="bottom"/>
            <w:hideMark/>
          </w:tcPr>
          <w:p w14:paraId="45197587" w14:textId="77777777" w:rsidR="00E66C6F" w:rsidRPr="00E66C6F" w:rsidRDefault="00E66C6F">
            <w:pPr>
              <w:jc w:val="cente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1487" w:type="pct"/>
            <w:tcBorders>
              <w:top w:val="nil"/>
              <w:left w:val="nil"/>
              <w:bottom w:val="nil"/>
              <w:right w:val="nil"/>
            </w:tcBorders>
            <w:shd w:val="clear" w:color="000000" w:fill="FFFFFF"/>
            <w:noWrap/>
            <w:vAlign w:val="bottom"/>
            <w:hideMark/>
          </w:tcPr>
          <w:p w14:paraId="7CBE9C79"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3785C565"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980" w:type="pct"/>
            <w:tcBorders>
              <w:top w:val="nil"/>
              <w:left w:val="nil"/>
              <w:bottom w:val="nil"/>
              <w:right w:val="nil"/>
            </w:tcBorders>
            <w:shd w:val="clear" w:color="000000" w:fill="FFFFFF"/>
            <w:noWrap/>
            <w:vAlign w:val="bottom"/>
            <w:hideMark/>
          </w:tcPr>
          <w:p w14:paraId="21F27BD9"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r>
      <w:tr w:rsidR="00E66C6F" w:rsidRPr="00E66C6F" w14:paraId="5CB02F14"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27517676"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I. RECEITAS</w:t>
            </w:r>
          </w:p>
        </w:tc>
        <w:tc>
          <w:tcPr>
            <w:tcW w:w="81" w:type="pct"/>
            <w:tcBorders>
              <w:top w:val="nil"/>
              <w:left w:val="nil"/>
              <w:bottom w:val="nil"/>
              <w:right w:val="nil"/>
            </w:tcBorders>
            <w:shd w:val="clear" w:color="000000" w:fill="FFFFFF"/>
            <w:noWrap/>
            <w:vAlign w:val="bottom"/>
            <w:hideMark/>
          </w:tcPr>
          <w:p w14:paraId="7B3A4F7A"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1487" w:type="pct"/>
            <w:tcBorders>
              <w:top w:val="nil"/>
              <w:left w:val="nil"/>
              <w:bottom w:val="nil"/>
              <w:right w:val="nil"/>
            </w:tcBorders>
            <w:shd w:val="clear" w:color="000000" w:fill="FFFFFF"/>
            <w:noWrap/>
            <w:vAlign w:val="bottom"/>
            <w:hideMark/>
          </w:tcPr>
          <w:p w14:paraId="0707E785"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554997E1"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114.328.826</w:t>
            </w:r>
          </w:p>
        </w:tc>
        <w:tc>
          <w:tcPr>
            <w:tcW w:w="980" w:type="pct"/>
            <w:tcBorders>
              <w:top w:val="nil"/>
              <w:left w:val="nil"/>
              <w:bottom w:val="nil"/>
              <w:right w:val="nil"/>
            </w:tcBorders>
            <w:shd w:val="clear" w:color="000000" w:fill="FFFFFF"/>
            <w:noWrap/>
            <w:vAlign w:val="bottom"/>
            <w:hideMark/>
          </w:tcPr>
          <w:p w14:paraId="03548648"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104.417.743</w:t>
            </w:r>
          </w:p>
        </w:tc>
      </w:tr>
      <w:tr w:rsidR="00E66C6F" w:rsidRPr="00E66C6F" w14:paraId="2A0C59DC"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6E0AF193"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Receitas de Exploração da Ferrovia</w:t>
            </w:r>
          </w:p>
        </w:tc>
        <w:tc>
          <w:tcPr>
            <w:tcW w:w="1487" w:type="pct"/>
            <w:tcBorders>
              <w:top w:val="nil"/>
              <w:left w:val="nil"/>
              <w:bottom w:val="nil"/>
              <w:right w:val="nil"/>
            </w:tcBorders>
            <w:shd w:val="clear" w:color="000000" w:fill="FFFFFF"/>
            <w:noWrap/>
            <w:vAlign w:val="bottom"/>
            <w:hideMark/>
          </w:tcPr>
          <w:p w14:paraId="34E2870B"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71638789"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22.855</w:t>
            </w:r>
          </w:p>
        </w:tc>
        <w:tc>
          <w:tcPr>
            <w:tcW w:w="980" w:type="pct"/>
            <w:tcBorders>
              <w:top w:val="nil"/>
              <w:left w:val="nil"/>
              <w:bottom w:val="nil"/>
              <w:right w:val="nil"/>
            </w:tcBorders>
            <w:shd w:val="clear" w:color="000000" w:fill="FFFFFF"/>
            <w:noWrap/>
            <w:vAlign w:val="bottom"/>
            <w:hideMark/>
          </w:tcPr>
          <w:p w14:paraId="12538B1C"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110.877</w:t>
            </w:r>
          </w:p>
        </w:tc>
      </w:tr>
      <w:tr w:rsidR="00E66C6F" w:rsidRPr="00E66C6F" w14:paraId="3A0D6828"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36E0189A"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Permissões para uso de pátios</w:t>
            </w:r>
          </w:p>
        </w:tc>
        <w:tc>
          <w:tcPr>
            <w:tcW w:w="1487" w:type="pct"/>
            <w:tcBorders>
              <w:top w:val="nil"/>
              <w:left w:val="nil"/>
              <w:bottom w:val="nil"/>
              <w:right w:val="nil"/>
            </w:tcBorders>
            <w:shd w:val="clear" w:color="000000" w:fill="FFFFFF"/>
            <w:noWrap/>
            <w:vAlign w:val="bottom"/>
            <w:hideMark/>
          </w:tcPr>
          <w:p w14:paraId="4E1C90F4"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38F1C5A5"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3.250.711</w:t>
            </w:r>
          </w:p>
        </w:tc>
        <w:tc>
          <w:tcPr>
            <w:tcW w:w="980" w:type="pct"/>
            <w:tcBorders>
              <w:top w:val="nil"/>
              <w:left w:val="nil"/>
              <w:bottom w:val="nil"/>
              <w:right w:val="nil"/>
            </w:tcBorders>
            <w:shd w:val="clear" w:color="000000" w:fill="FFFFFF"/>
            <w:noWrap/>
            <w:vAlign w:val="bottom"/>
            <w:hideMark/>
          </w:tcPr>
          <w:p w14:paraId="2E381F16"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1.905.712</w:t>
            </w:r>
          </w:p>
        </w:tc>
      </w:tr>
      <w:tr w:rsidR="00E66C6F" w:rsidRPr="00E66C6F" w14:paraId="3EF0140A"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2F61A637"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Receita com Subconcessão FIOL</w:t>
            </w:r>
          </w:p>
        </w:tc>
        <w:tc>
          <w:tcPr>
            <w:tcW w:w="1487" w:type="pct"/>
            <w:tcBorders>
              <w:top w:val="nil"/>
              <w:left w:val="nil"/>
              <w:bottom w:val="nil"/>
              <w:right w:val="nil"/>
            </w:tcBorders>
            <w:shd w:val="clear" w:color="000000" w:fill="FFFFFF"/>
            <w:noWrap/>
            <w:vAlign w:val="bottom"/>
            <w:hideMark/>
          </w:tcPr>
          <w:p w14:paraId="50326418"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3836DDF0"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1.636.500</w:t>
            </w:r>
          </w:p>
        </w:tc>
        <w:tc>
          <w:tcPr>
            <w:tcW w:w="980" w:type="pct"/>
            <w:tcBorders>
              <w:top w:val="nil"/>
              <w:left w:val="nil"/>
              <w:bottom w:val="nil"/>
              <w:right w:val="nil"/>
            </w:tcBorders>
            <w:shd w:val="clear" w:color="000000" w:fill="FFFFFF"/>
            <w:noWrap/>
            <w:vAlign w:val="bottom"/>
            <w:hideMark/>
          </w:tcPr>
          <w:p w14:paraId="2BED0546"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   </w:t>
            </w:r>
          </w:p>
        </w:tc>
      </w:tr>
      <w:tr w:rsidR="00E66C6F" w:rsidRPr="00E66C6F" w14:paraId="074F5826"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1B3D93A9"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 xml:space="preserve">        </w:t>
            </w:r>
            <w:r w:rsidRPr="00E66C6F">
              <w:rPr>
                <w:rFonts w:asciiTheme="majorHAnsi" w:hAnsiTheme="majorHAnsi" w:cstheme="majorHAnsi"/>
                <w:sz w:val="16"/>
                <w:szCs w:val="16"/>
              </w:rPr>
              <w:t>Repasses Recebidos (subvenções p/ custeio)</w:t>
            </w:r>
          </w:p>
        </w:tc>
        <w:tc>
          <w:tcPr>
            <w:tcW w:w="1487" w:type="pct"/>
            <w:tcBorders>
              <w:top w:val="nil"/>
              <w:left w:val="nil"/>
              <w:bottom w:val="nil"/>
              <w:right w:val="nil"/>
            </w:tcBorders>
            <w:shd w:val="clear" w:color="000000" w:fill="FFFFFF"/>
            <w:noWrap/>
            <w:vAlign w:val="bottom"/>
            <w:hideMark/>
          </w:tcPr>
          <w:p w14:paraId="24566D93"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22B65634"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109.418.760</w:t>
            </w:r>
          </w:p>
        </w:tc>
        <w:tc>
          <w:tcPr>
            <w:tcW w:w="980" w:type="pct"/>
            <w:tcBorders>
              <w:top w:val="nil"/>
              <w:left w:val="nil"/>
              <w:bottom w:val="nil"/>
              <w:right w:val="nil"/>
            </w:tcBorders>
            <w:shd w:val="clear" w:color="000000" w:fill="FFFFFF"/>
            <w:noWrap/>
            <w:vAlign w:val="bottom"/>
            <w:hideMark/>
          </w:tcPr>
          <w:p w14:paraId="4815CC67"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102.401.154</w:t>
            </w:r>
          </w:p>
        </w:tc>
      </w:tr>
      <w:tr w:rsidR="00E66C6F" w:rsidRPr="00E66C6F" w14:paraId="74F430BC"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09F55D49"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1" w:type="pct"/>
            <w:tcBorders>
              <w:top w:val="nil"/>
              <w:left w:val="nil"/>
              <w:bottom w:val="nil"/>
              <w:right w:val="nil"/>
            </w:tcBorders>
            <w:shd w:val="clear" w:color="000000" w:fill="FFFFFF"/>
            <w:noWrap/>
            <w:vAlign w:val="bottom"/>
            <w:hideMark/>
          </w:tcPr>
          <w:p w14:paraId="250864D4"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4E10F268"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7B304E01"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c>
          <w:tcPr>
            <w:tcW w:w="980" w:type="pct"/>
            <w:tcBorders>
              <w:top w:val="nil"/>
              <w:left w:val="nil"/>
              <w:bottom w:val="nil"/>
              <w:right w:val="nil"/>
            </w:tcBorders>
            <w:shd w:val="clear" w:color="000000" w:fill="FFFFFF"/>
            <w:noWrap/>
            <w:vAlign w:val="bottom"/>
            <w:hideMark/>
          </w:tcPr>
          <w:p w14:paraId="072D6E7C"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r>
      <w:tr w:rsidR="00E66C6F" w:rsidRPr="00E66C6F" w14:paraId="40FC696E"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56FE8425"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II. INSUMOS</w:t>
            </w:r>
          </w:p>
        </w:tc>
        <w:tc>
          <w:tcPr>
            <w:tcW w:w="81" w:type="pct"/>
            <w:tcBorders>
              <w:top w:val="nil"/>
              <w:left w:val="nil"/>
              <w:bottom w:val="nil"/>
              <w:right w:val="nil"/>
            </w:tcBorders>
            <w:shd w:val="clear" w:color="000000" w:fill="FFFFFF"/>
            <w:noWrap/>
            <w:vAlign w:val="bottom"/>
            <w:hideMark/>
          </w:tcPr>
          <w:p w14:paraId="7D207659"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61693EA6"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1D954C22"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(13.602.605)</w:t>
            </w:r>
          </w:p>
        </w:tc>
        <w:tc>
          <w:tcPr>
            <w:tcW w:w="980" w:type="pct"/>
            <w:tcBorders>
              <w:top w:val="nil"/>
              <w:left w:val="nil"/>
              <w:bottom w:val="nil"/>
              <w:right w:val="nil"/>
            </w:tcBorders>
            <w:shd w:val="clear" w:color="000000" w:fill="FFFFFF"/>
            <w:noWrap/>
            <w:vAlign w:val="bottom"/>
            <w:hideMark/>
          </w:tcPr>
          <w:p w14:paraId="0396886D"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70.544.835 </w:t>
            </w:r>
          </w:p>
        </w:tc>
      </w:tr>
      <w:tr w:rsidR="00E66C6F" w:rsidRPr="00E66C6F" w14:paraId="3F45EF23"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2E6584C4"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 xml:space="preserve">        </w:t>
            </w:r>
            <w:r w:rsidRPr="00E66C6F">
              <w:rPr>
                <w:rFonts w:asciiTheme="majorHAnsi" w:hAnsiTheme="majorHAnsi" w:cstheme="majorHAnsi"/>
                <w:sz w:val="16"/>
                <w:szCs w:val="16"/>
              </w:rPr>
              <w:t>Materiais, Energia, Serviços de Terceiros e Outros</w:t>
            </w:r>
          </w:p>
        </w:tc>
        <w:tc>
          <w:tcPr>
            <w:tcW w:w="1487" w:type="pct"/>
            <w:tcBorders>
              <w:top w:val="nil"/>
              <w:left w:val="nil"/>
              <w:bottom w:val="nil"/>
              <w:right w:val="nil"/>
            </w:tcBorders>
            <w:shd w:val="clear" w:color="000000" w:fill="FFFFFF"/>
            <w:noWrap/>
            <w:vAlign w:val="bottom"/>
            <w:hideMark/>
          </w:tcPr>
          <w:p w14:paraId="07A32AF3"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19B3544B"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(13.079.871)</w:t>
            </w:r>
          </w:p>
        </w:tc>
        <w:tc>
          <w:tcPr>
            <w:tcW w:w="980" w:type="pct"/>
            <w:tcBorders>
              <w:top w:val="nil"/>
              <w:left w:val="nil"/>
              <w:bottom w:val="nil"/>
              <w:right w:val="nil"/>
            </w:tcBorders>
            <w:shd w:val="clear" w:color="000000" w:fill="FFFFFF"/>
            <w:noWrap/>
            <w:vAlign w:val="bottom"/>
            <w:hideMark/>
          </w:tcPr>
          <w:p w14:paraId="0FB57493"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70.544.835 </w:t>
            </w:r>
          </w:p>
        </w:tc>
      </w:tr>
      <w:tr w:rsidR="00E66C6F" w:rsidRPr="00E66C6F" w14:paraId="10D11E25"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78F3F358"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1" w:type="pct"/>
            <w:tcBorders>
              <w:top w:val="nil"/>
              <w:left w:val="nil"/>
              <w:bottom w:val="nil"/>
              <w:right w:val="nil"/>
            </w:tcBorders>
            <w:shd w:val="clear" w:color="000000" w:fill="FFFFFF"/>
            <w:noWrap/>
            <w:vAlign w:val="bottom"/>
            <w:hideMark/>
          </w:tcPr>
          <w:p w14:paraId="41CB6ACF"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33CD5A25"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68081A33"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c>
          <w:tcPr>
            <w:tcW w:w="980" w:type="pct"/>
            <w:tcBorders>
              <w:top w:val="nil"/>
              <w:left w:val="nil"/>
              <w:bottom w:val="nil"/>
              <w:right w:val="nil"/>
            </w:tcBorders>
            <w:shd w:val="clear" w:color="000000" w:fill="FFFFFF"/>
            <w:noWrap/>
            <w:vAlign w:val="bottom"/>
            <w:hideMark/>
          </w:tcPr>
          <w:p w14:paraId="19E211C9"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w:t>
            </w:r>
          </w:p>
        </w:tc>
      </w:tr>
      <w:tr w:rsidR="00E66C6F" w:rsidRPr="00E66C6F" w14:paraId="7D2CA64F"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417E27EA"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III. VALOR ADICIONADO BRUTO (I - II)</w:t>
            </w:r>
          </w:p>
        </w:tc>
        <w:tc>
          <w:tcPr>
            <w:tcW w:w="1487" w:type="pct"/>
            <w:tcBorders>
              <w:top w:val="nil"/>
              <w:left w:val="nil"/>
              <w:bottom w:val="nil"/>
              <w:right w:val="nil"/>
            </w:tcBorders>
            <w:shd w:val="clear" w:color="000000" w:fill="FFFFFF"/>
            <w:noWrap/>
            <w:vAlign w:val="bottom"/>
            <w:hideMark/>
          </w:tcPr>
          <w:p w14:paraId="1FCE17DF"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40769403"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127.931.432 </w:t>
            </w:r>
          </w:p>
        </w:tc>
        <w:tc>
          <w:tcPr>
            <w:tcW w:w="980" w:type="pct"/>
            <w:tcBorders>
              <w:top w:val="nil"/>
              <w:left w:val="nil"/>
              <w:bottom w:val="nil"/>
              <w:right w:val="nil"/>
            </w:tcBorders>
            <w:shd w:val="clear" w:color="000000" w:fill="FFFFFF"/>
            <w:noWrap/>
            <w:vAlign w:val="bottom"/>
            <w:hideMark/>
          </w:tcPr>
          <w:p w14:paraId="2019144E"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33.872.908 </w:t>
            </w:r>
          </w:p>
        </w:tc>
      </w:tr>
      <w:tr w:rsidR="00E66C6F" w:rsidRPr="00E66C6F" w14:paraId="0C3DF715"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34F52AD2"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81" w:type="pct"/>
            <w:tcBorders>
              <w:top w:val="nil"/>
              <w:left w:val="nil"/>
              <w:bottom w:val="nil"/>
              <w:right w:val="nil"/>
            </w:tcBorders>
            <w:shd w:val="clear" w:color="000000" w:fill="FFFFFF"/>
            <w:noWrap/>
            <w:vAlign w:val="bottom"/>
            <w:hideMark/>
          </w:tcPr>
          <w:p w14:paraId="3C789986"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79A67E58"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0349FFEA"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980" w:type="pct"/>
            <w:tcBorders>
              <w:top w:val="nil"/>
              <w:left w:val="nil"/>
              <w:bottom w:val="nil"/>
              <w:right w:val="nil"/>
            </w:tcBorders>
            <w:shd w:val="clear" w:color="000000" w:fill="FFFFFF"/>
            <w:noWrap/>
            <w:vAlign w:val="bottom"/>
            <w:hideMark/>
          </w:tcPr>
          <w:p w14:paraId="48EB76EB"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w:t>
            </w:r>
          </w:p>
        </w:tc>
      </w:tr>
      <w:tr w:rsidR="00E66C6F" w:rsidRPr="00E66C6F" w14:paraId="4D6E5104"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403CA5B7"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IV. RETENÇÕES</w:t>
            </w:r>
          </w:p>
        </w:tc>
        <w:tc>
          <w:tcPr>
            <w:tcW w:w="81" w:type="pct"/>
            <w:tcBorders>
              <w:top w:val="nil"/>
              <w:left w:val="nil"/>
              <w:bottom w:val="nil"/>
              <w:right w:val="nil"/>
            </w:tcBorders>
            <w:shd w:val="clear" w:color="000000" w:fill="FFFFFF"/>
            <w:noWrap/>
            <w:vAlign w:val="bottom"/>
            <w:hideMark/>
          </w:tcPr>
          <w:p w14:paraId="71AE2316"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4084F961"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485FD7C7"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5.716.652</w:t>
            </w:r>
          </w:p>
        </w:tc>
        <w:tc>
          <w:tcPr>
            <w:tcW w:w="980" w:type="pct"/>
            <w:tcBorders>
              <w:top w:val="nil"/>
              <w:left w:val="nil"/>
              <w:bottom w:val="nil"/>
              <w:right w:val="nil"/>
            </w:tcBorders>
            <w:shd w:val="clear" w:color="000000" w:fill="FFFFFF"/>
            <w:noWrap/>
            <w:vAlign w:val="bottom"/>
            <w:hideMark/>
          </w:tcPr>
          <w:p w14:paraId="1FE5C975"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8.961.193</w:t>
            </w:r>
          </w:p>
        </w:tc>
      </w:tr>
      <w:tr w:rsidR="00E66C6F" w:rsidRPr="00E66C6F" w14:paraId="6F3C5F5A"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1C26D32F"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Depreciação e Amortização</w:t>
            </w:r>
          </w:p>
        </w:tc>
        <w:tc>
          <w:tcPr>
            <w:tcW w:w="1487" w:type="pct"/>
            <w:tcBorders>
              <w:top w:val="nil"/>
              <w:left w:val="nil"/>
              <w:bottom w:val="nil"/>
              <w:right w:val="nil"/>
            </w:tcBorders>
            <w:shd w:val="clear" w:color="000000" w:fill="FFFFFF"/>
            <w:noWrap/>
            <w:vAlign w:val="bottom"/>
            <w:hideMark/>
          </w:tcPr>
          <w:p w14:paraId="1880658D"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10C4A3E6"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4.599.679</w:t>
            </w:r>
          </w:p>
        </w:tc>
        <w:tc>
          <w:tcPr>
            <w:tcW w:w="980" w:type="pct"/>
            <w:tcBorders>
              <w:top w:val="nil"/>
              <w:left w:val="nil"/>
              <w:bottom w:val="nil"/>
              <w:right w:val="nil"/>
            </w:tcBorders>
            <w:shd w:val="clear" w:color="000000" w:fill="FFFFFF"/>
            <w:noWrap/>
            <w:vAlign w:val="bottom"/>
            <w:hideMark/>
          </w:tcPr>
          <w:p w14:paraId="62D06194"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4.698.894</w:t>
            </w:r>
          </w:p>
        </w:tc>
      </w:tr>
      <w:tr w:rsidR="00E66C6F" w:rsidRPr="00E66C6F" w14:paraId="7F115431"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7A22F1CF"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Depreciação de Direito de Uso</w:t>
            </w:r>
          </w:p>
        </w:tc>
        <w:tc>
          <w:tcPr>
            <w:tcW w:w="1487" w:type="pct"/>
            <w:tcBorders>
              <w:top w:val="nil"/>
              <w:left w:val="nil"/>
              <w:bottom w:val="nil"/>
              <w:right w:val="nil"/>
            </w:tcBorders>
            <w:shd w:val="clear" w:color="000000" w:fill="FFFFFF"/>
            <w:noWrap/>
            <w:vAlign w:val="bottom"/>
            <w:hideMark/>
          </w:tcPr>
          <w:p w14:paraId="29A3849E"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012362F7"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1.116.972</w:t>
            </w:r>
          </w:p>
        </w:tc>
        <w:tc>
          <w:tcPr>
            <w:tcW w:w="980" w:type="pct"/>
            <w:tcBorders>
              <w:top w:val="nil"/>
              <w:left w:val="nil"/>
              <w:bottom w:val="nil"/>
              <w:right w:val="nil"/>
            </w:tcBorders>
            <w:shd w:val="clear" w:color="000000" w:fill="FFFFFF"/>
            <w:noWrap/>
            <w:vAlign w:val="bottom"/>
            <w:hideMark/>
          </w:tcPr>
          <w:p w14:paraId="45984EBC"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4.262.299</w:t>
            </w:r>
          </w:p>
        </w:tc>
      </w:tr>
      <w:tr w:rsidR="00E66C6F" w:rsidRPr="00E66C6F" w14:paraId="46B7C6CF"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56D7D58F"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1" w:type="pct"/>
            <w:tcBorders>
              <w:top w:val="nil"/>
              <w:left w:val="nil"/>
              <w:bottom w:val="nil"/>
              <w:right w:val="nil"/>
            </w:tcBorders>
            <w:shd w:val="clear" w:color="000000" w:fill="FFFFFF"/>
            <w:noWrap/>
            <w:vAlign w:val="bottom"/>
            <w:hideMark/>
          </w:tcPr>
          <w:p w14:paraId="3128AF3C"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00D753F0"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5FBBC812"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c>
          <w:tcPr>
            <w:tcW w:w="980" w:type="pct"/>
            <w:tcBorders>
              <w:top w:val="nil"/>
              <w:left w:val="nil"/>
              <w:bottom w:val="nil"/>
              <w:right w:val="nil"/>
            </w:tcBorders>
            <w:shd w:val="clear" w:color="000000" w:fill="FFFFFF"/>
            <w:noWrap/>
            <w:vAlign w:val="bottom"/>
            <w:hideMark/>
          </w:tcPr>
          <w:p w14:paraId="41F748FC"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r>
      <w:tr w:rsidR="00E66C6F" w:rsidRPr="00E66C6F" w14:paraId="76563CBF"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1352D62F"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V. VALOR ADICIONADO LÍQUIDO PRODUZIDO PELA ENTIDADE (III - IV)</w:t>
            </w:r>
          </w:p>
        </w:tc>
        <w:tc>
          <w:tcPr>
            <w:tcW w:w="1487" w:type="pct"/>
            <w:tcBorders>
              <w:top w:val="nil"/>
              <w:left w:val="nil"/>
              <w:bottom w:val="nil"/>
              <w:right w:val="nil"/>
            </w:tcBorders>
            <w:shd w:val="clear" w:color="000000" w:fill="FFFFFF"/>
            <w:noWrap/>
            <w:vAlign w:val="bottom"/>
            <w:hideMark/>
          </w:tcPr>
          <w:p w14:paraId="6BEF7A86"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5D3C6263"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122.214.780 </w:t>
            </w:r>
          </w:p>
        </w:tc>
        <w:tc>
          <w:tcPr>
            <w:tcW w:w="980" w:type="pct"/>
            <w:tcBorders>
              <w:top w:val="nil"/>
              <w:left w:val="nil"/>
              <w:bottom w:val="nil"/>
              <w:right w:val="nil"/>
            </w:tcBorders>
            <w:shd w:val="clear" w:color="000000" w:fill="FFFFFF"/>
            <w:noWrap/>
            <w:vAlign w:val="bottom"/>
            <w:hideMark/>
          </w:tcPr>
          <w:p w14:paraId="7097459B"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24.911.715 </w:t>
            </w:r>
          </w:p>
        </w:tc>
      </w:tr>
      <w:tr w:rsidR="00E66C6F" w:rsidRPr="00E66C6F" w14:paraId="33AC2A93"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65656BE3"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1" w:type="pct"/>
            <w:tcBorders>
              <w:top w:val="nil"/>
              <w:left w:val="nil"/>
              <w:bottom w:val="nil"/>
              <w:right w:val="nil"/>
            </w:tcBorders>
            <w:shd w:val="clear" w:color="000000" w:fill="FFFFFF"/>
            <w:noWrap/>
            <w:vAlign w:val="bottom"/>
            <w:hideMark/>
          </w:tcPr>
          <w:p w14:paraId="7EE8D115"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44AA08DE"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4A22F867"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c>
          <w:tcPr>
            <w:tcW w:w="980" w:type="pct"/>
            <w:tcBorders>
              <w:top w:val="nil"/>
              <w:left w:val="nil"/>
              <w:bottom w:val="nil"/>
              <w:right w:val="nil"/>
            </w:tcBorders>
            <w:shd w:val="clear" w:color="000000" w:fill="FFFFFF"/>
            <w:noWrap/>
            <w:vAlign w:val="bottom"/>
            <w:hideMark/>
          </w:tcPr>
          <w:p w14:paraId="3AA05365"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w:t>
            </w:r>
          </w:p>
        </w:tc>
      </w:tr>
      <w:tr w:rsidR="00E66C6F" w:rsidRPr="00E66C6F" w14:paraId="5013B502"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6EEA1DEB"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 xml:space="preserve">VI. VALOR ADICIONADO RECEBIDO EM TRANSFERÊNCIAS </w:t>
            </w:r>
          </w:p>
        </w:tc>
        <w:tc>
          <w:tcPr>
            <w:tcW w:w="1487" w:type="pct"/>
            <w:tcBorders>
              <w:top w:val="nil"/>
              <w:left w:val="nil"/>
              <w:bottom w:val="nil"/>
              <w:right w:val="nil"/>
            </w:tcBorders>
            <w:shd w:val="clear" w:color="000000" w:fill="FFFFFF"/>
            <w:noWrap/>
            <w:vAlign w:val="bottom"/>
            <w:hideMark/>
          </w:tcPr>
          <w:p w14:paraId="268ABC61"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3369A064"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(17.385.348)</w:t>
            </w:r>
          </w:p>
        </w:tc>
        <w:tc>
          <w:tcPr>
            <w:tcW w:w="980" w:type="pct"/>
            <w:tcBorders>
              <w:top w:val="nil"/>
              <w:left w:val="nil"/>
              <w:bottom w:val="nil"/>
              <w:right w:val="nil"/>
            </w:tcBorders>
            <w:shd w:val="clear" w:color="000000" w:fill="FFFFFF"/>
            <w:noWrap/>
            <w:vAlign w:val="bottom"/>
            <w:hideMark/>
          </w:tcPr>
          <w:p w14:paraId="763AFD48"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(28.577.371)</w:t>
            </w:r>
          </w:p>
        </w:tc>
      </w:tr>
      <w:tr w:rsidR="00E66C6F" w:rsidRPr="00E66C6F" w14:paraId="7B43287C" w14:textId="77777777" w:rsidTr="00E66C6F">
        <w:trPr>
          <w:trHeight w:hRule="exact" w:val="227"/>
        </w:trPr>
        <w:tc>
          <w:tcPr>
            <w:tcW w:w="1703" w:type="pct"/>
            <w:gridSpan w:val="2"/>
            <w:tcBorders>
              <w:top w:val="nil"/>
              <w:left w:val="nil"/>
              <w:bottom w:val="nil"/>
              <w:right w:val="nil"/>
            </w:tcBorders>
            <w:shd w:val="clear" w:color="000000" w:fill="FFFFFF"/>
            <w:noWrap/>
            <w:vAlign w:val="center"/>
            <w:hideMark/>
          </w:tcPr>
          <w:p w14:paraId="1F13DF53"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Receitas Financeiras</w:t>
            </w:r>
          </w:p>
        </w:tc>
        <w:tc>
          <w:tcPr>
            <w:tcW w:w="1487" w:type="pct"/>
            <w:tcBorders>
              <w:top w:val="nil"/>
              <w:left w:val="nil"/>
              <w:bottom w:val="nil"/>
              <w:right w:val="nil"/>
            </w:tcBorders>
            <w:shd w:val="clear" w:color="000000" w:fill="FFFFFF"/>
            <w:noWrap/>
            <w:vAlign w:val="bottom"/>
            <w:hideMark/>
          </w:tcPr>
          <w:p w14:paraId="586B4593"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2658EAC0"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3.954.653</w:t>
            </w:r>
          </w:p>
        </w:tc>
        <w:tc>
          <w:tcPr>
            <w:tcW w:w="980" w:type="pct"/>
            <w:tcBorders>
              <w:top w:val="nil"/>
              <w:left w:val="nil"/>
              <w:bottom w:val="nil"/>
              <w:right w:val="nil"/>
            </w:tcBorders>
            <w:shd w:val="clear" w:color="000000" w:fill="FFFFFF"/>
            <w:noWrap/>
            <w:vAlign w:val="bottom"/>
            <w:hideMark/>
          </w:tcPr>
          <w:p w14:paraId="3C329321"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4.295.598 </w:t>
            </w:r>
          </w:p>
        </w:tc>
      </w:tr>
      <w:tr w:rsidR="00E66C6F" w:rsidRPr="00E66C6F" w14:paraId="4DA3A9A2" w14:textId="77777777" w:rsidTr="00E66C6F">
        <w:trPr>
          <w:trHeight w:hRule="exact" w:val="227"/>
        </w:trPr>
        <w:tc>
          <w:tcPr>
            <w:tcW w:w="1622" w:type="pct"/>
            <w:tcBorders>
              <w:top w:val="nil"/>
              <w:left w:val="nil"/>
              <w:bottom w:val="nil"/>
              <w:right w:val="nil"/>
            </w:tcBorders>
            <w:shd w:val="clear" w:color="000000" w:fill="FFFFFF"/>
            <w:noWrap/>
            <w:vAlign w:val="center"/>
            <w:hideMark/>
          </w:tcPr>
          <w:p w14:paraId="5A751288"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Doações</w:t>
            </w:r>
          </w:p>
        </w:tc>
        <w:tc>
          <w:tcPr>
            <w:tcW w:w="81" w:type="pct"/>
            <w:tcBorders>
              <w:top w:val="nil"/>
              <w:left w:val="nil"/>
              <w:bottom w:val="nil"/>
              <w:right w:val="nil"/>
            </w:tcBorders>
            <w:shd w:val="clear" w:color="000000" w:fill="FFFFFF"/>
            <w:noWrap/>
            <w:vAlign w:val="bottom"/>
            <w:hideMark/>
          </w:tcPr>
          <w:p w14:paraId="5854E46A"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4BCB9DC2"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5D7000DA"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   </w:t>
            </w:r>
          </w:p>
        </w:tc>
        <w:tc>
          <w:tcPr>
            <w:tcW w:w="980" w:type="pct"/>
            <w:tcBorders>
              <w:top w:val="nil"/>
              <w:left w:val="nil"/>
              <w:bottom w:val="nil"/>
              <w:right w:val="nil"/>
            </w:tcBorders>
            <w:shd w:val="clear" w:color="000000" w:fill="FFFFFF"/>
            <w:noWrap/>
            <w:vAlign w:val="bottom"/>
            <w:hideMark/>
          </w:tcPr>
          <w:p w14:paraId="2CDDA22F"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578.776 </w:t>
            </w:r>
          </w:p>
        </w:tc>
      </w:tr>
      <w:tr w:rsidR="00E66C6F" w:rsidRPr="00E66C6F" w14:paraId="59C15248"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1AAF8D69"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Repasse Concedido</w:t>
            </w:r>
          </w:p>
        </w:tc>
        <w:tc>
          <w:tcPr>
            <w:tcW w:w="1487" w:type="pct"/>
            <w:tcBorders>
              <w:top w:val="nil"/>
              <w:left w:val="nil"/>
              <w:bottom w:val="nil"/>
              <w:right w:val="nil"/>
            </w:tcBorders>
            <w:shd w:val="clear" w:color="000000" w:fill="FFFFFF"/>
            <w:noWrap/>
            <w:vAlign w:val="bottom"/>
            <w:hideMark/>
          </w:tcPr>
          <w:p w14:paraId="5BD0BBA7"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71BBCC95"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(2.036.332)</w:t>
            </w:r>
          </w:p>
        </w:tc>
        <w:tc>
          <w:tcPr>
            <w:tcW w:w="980" w:type="pct"/>
            <w:tcBorders>
              <w:top w:val="nil"/>
              <w:left w:val="nil"/>
              <w:bottom w:val="nil"/>
              <w:right w:val="nil"/>
            </w:tcBorders>
            <w:shd w:val="clear" w:color="000000" w:fill="FFFFFF"/>
            <w:noWrap/>
            <w:vAlign w:val="bottom"/>
            <w:hideMark/>
          </w:tcPr>
          <w:p w14:paraId="4CA464F1"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(1.203.236)</w:t>
            </w:r>
          </w:p>
        </w:tc>
      </w:tr>
      <w:tr w:rsidR="00E66C6F" w:rsidRPr="00E66C6F" w14:paraId="0F643BFB"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687E811A"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 xml:space="preserve">        </w:t>
            </w:r>
            <w:r w:rsidRPr="00E66C6F">
              <w:rPr>
                <w:rFonts w:asciiTheme="majorHAnsi" w:hAnsiTheme="majorHAnsi" w:cstheme="majorHAnsi"/>
                <w:sz w:val="16"/>
                <w:szCs w:val="16"/>
              </w:rPr>
              <w:t>Resultado de Equivalência Patrimonial</w:t>
            </w:r>
          </w:p>
        </w:tc>
        <w:tc>
          <w:tcPr>
            <w:tcW w:w="1487" w:type="pct"/>
            <w:tcBorders>
              <w:top w:val="nil"/>
              <w:left w:val="nil"/>
              <w:bottom w:val="nil"/>
              <w:right w:val="nil"/>
            </w:tcBorders>
            <w:shd w:val="clear" w:color="000000" w:fill="FFFFFF"/>
            <w:noWrap/>
            <w:vAlign w:val="bottom"/>
            <w:hideMark/>
          </w:tcPr>
          <w:p w14:paraId="582BA054"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1CB2A736"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(19.303.670)</w:t>
            </w:r>
          </w:p>
        </w:tc>
        <w:tc>
          <w:tcPr>
            <w:tcW w:w="980" w:type="pct"/>
            <w:tcBorders>
              <w:top w:val="nil"/>
              <w:left w:val="nil"/>
              <w:bottom w:val="nil"/>
              <w:right w:val="nil"/>
            </w:tcBorders>
            <w:shd w:val="clear" w:color="000000" w:fill="FFFFFF"/>
            <w:noWrap/>
            <w:vAlign w:val="bottom"/>
            <w:hideMark/>
          </w:tcPr>
          <w:p w14:paraId="0CC57D4A"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(32.248.507)</w:t>
            </w:r>
          </w:p>
        </w:tc>
      </w:tr>
      <w:tr w:rsidR="00E66C6F" w:rsidRPr="00E66C6F" w14:paraId="5F751DFE" w14:textId="77777777" w:rsidTr="00E66C6F">
        <w:trPr>
          <w:trHeight w:hRule="exact" w:val="227"/>
        </w:trPr>
        <w:tc>
          <w:tcPr>
            <w:tcW w:w="1622" w:type="pct"/>
            <w:tcBorders>
              <w:top w:val="nil"/>
              <w:left w:val="nil"/>
              <w:bottom w:val="nil"/>
              <w:right w:val="nil"/>
            </w:tcBorders>
            <w:shd w:val="clear" w:color="000000" w:fill="FFFFFF"/>
            <w:hideMark/>
          </w:tcPr>
          <w:p w14:paraId="135DB339"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81" w:type="pct"/>
            <w:tcBorders>
              <w:top w:val="nil"/>
              <w:left w:val="nil"/>
              <w:bottom w:val="nil"/>
              <w:right w:val="nil"/>
            </w:tcBorders>
            <w:shd w:val="clear" w:color="000000" w:fill="FFFFFF"/>
            <w:noWrap/>
            <w:vAlign w:val="bottom"/>
            <w:hideMark/>
          </w:tcPr>
          <w:p w14:paraId="0CB15D8A"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0B5E23B8"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358D003E"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c>
          <w:tcPr>
            <w:tcW w:w="980" w:type="pct"/>
            <w:tcBorders>
              <w:top w:val="nil"/>
              <w:left w:val="nil"/>
              <w:bottom w:val="nil"/>
              <w:right w:val="nil"/>
            </w:tcBorders>
            <w:shd w:val="clear" w:color="000000" w:fill="FFFFFF"/>
            <w:noWrap/>
            <w:vAlign w:val="bottom"/>
            <w:hideMark/>
          </w:tcPr>
          <w:p w14:paraId="7D4F1F6A"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r>
      <w:tr w:rsidR="00E66C6F" w:rsidRPr="00E66C6F" w14:paraId="7B109B22"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2B0C761C"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VII. VALOR ADICIONADO TOTAL A DISTRIBUIR (V + VI)</w:t>
            </w:r>
          </w:p>
        </w:tc>
        <w:tc>
          <w:tcPr>
            <w:tcW w:w="1487" w:type="pct"/>
            <w:tcBorders>
              <w:top w:val="nil"/>
              <w:left w:val="nil"/>
              <w:bottom w:val="nil"/>
              <w:right w:val="nil"/>
            </w:tcBorders>
            <w:shd w:val="clear" w:color="000000" w:fill="FFFFFF"/>
            <w:noWrap/>
            <w:vAlign w:val="bottom"/>
            <w:hideMark/>
          </w:tcPr>
          <w:p w14:paraId="181BEC09"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023AE346"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104.829.431 </w:t>
            </w:r>
          </w:p>
        </w:tc>
        <w:tc>
          <w:tcPr>
            <w:tcW w:w="980" w:type="pct"/>
            <w:tcBorders>
              <w:top w:val="nil"/>
              <w:left w:val="nil"/>
              <w:bottom w:val="nil"/>
              <w:right w:val="nil"/>
            </w:tcBorders>
            <w:shd w:val="clear" w:color="000000" w:fill="FFFFFF"/>
            <w:noWrap/>
            <w:vAlign w:val="bottom"/>
            <w:hideMark/>
          </w:tcPr>
          <w:p w14:paraId="282DAB47"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(3.665.656)</w:t>
            </w:r>
          </w:p>
        </w:tc>
      </w:tr>
      <w:tr w:rsidR="00E66C6F" w:rsidRPr="00E66C6F" w14:paraId="6384049F"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471C5E1D"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1" w:type="pct"/>
            <w:tcBorders>
              <w:top w:val="nil"/>
              <w:left w:val="nil"/>
              <w:bottom w:val="nil"/>
              <w:right w:val="nil"/>
            </w:tcBorders>
            <w:shd w:val="clear" w:color="000000" w:fill="FFFFFF"/>
            <w:noWrap/>
            <w:vAlign w:val="bottom"/>
            <w:hideMark/>
          </w:tcPr>
          <w:p w14:paraId="265354A1" w14:textId="77777777" w:rsidR="00E66C6F" w:rsidRPr="00E66C6F" w:rsidRDefault="00E66C6F">
            <w:pPr>
              <w:rPr>
                <w:rFonts w:asciiTheme="majorHAnsi" w:hAnsiTheme="majorHAnsi" w:cstheme="majorHAnsi"/>
                <w:color w:val="FF0000"/>
                <w:sz w:val="16"/>
                <w:szCs w:val="16"/>
              </w:rPr>
            </w:pPr>
            <w:r w:rsidRPr="00E66C6F">
              <w:rPr>
                <w:rFonts w:asciiTheme="majorHAnsi" w:hAnsiTheme="majorHAnsi" w:cstheme="majorHAnsi"/>
                <w:color w:val="FF0000"/>
                <w:sz w:val="16"/>
                <w:szCs w:val="16"/>
              </w:rPr>
              <w:t> </w:t>
            </w:r>
          </w:p>
        </w:tc>
        <w:tc>
          <w:tcPr>
            <w:tcW w:w="1487" w:type="pct"/>
            <w:tcBorders>
              <w:top w:val="nil"/>
              <w:left w:val="nil"/>
              <w:bottom w:val="nil"/>
              <w:right w:val="nil"/>
            </w:tcBorders>
            <w:shd w:val="clear" w:color="000000" w:fill="FFFFFF"/>
            <w:noWrap/>
            <w:vAlign w:val="bottom"/>
            <w:hideMark/>
          </w:tcPr>
          <w:p w14:paraId="65E27303"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3B6321B7"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c>
          <w:tcPr>
            <w:tcW w:w="980" w:type="pct"/>
            <w:tcBorders>
              <w:top w:val="nil"/>
              <w:left w:val="nil"/>
              <w:bottom w:val="nil"/>
              <w:right w:val="nil"/>
            </w:tcBorders>
            <w:shd w:val="clear" w:color="000000" w:fill="FFFFFF"/>
            <w:noWrap/>
            <w:vAlign w:val="bottom"/>
            <w:hideMark/>
          </w:tcPr>
          <w:p w14:paraId="65114B56"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r>
      <w:tr w:rsidR="00E66C6F" w:rsidRPr="00E66C6F" w14:paraId="547B9748"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5AB2348E"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VIII. DISTRIBUIÇÃO DO VALOR ADICIONADO</w:t>
            </w:r>
          </w:p>
        </w:tc>
        <w:tc>
          <w:tcPr>
            <w:tcW w:w="1487" w:type="pct"/>
            <w:tcBorders>
              <w:top w:val="nil"/>
              <w:left w:val="nil"/>
              <w:bottom w:val="nil"/>
              <w:right w:val="nil"/>
            </w:tcBorders>
            <w:shd w:val="clear" w:color="000000" w:fill="FFFFFF"/>
            <w:noWrap/>
            <w:vAlign w:val="bottom"/>
            <w:hideMark/>
          </w:tcPr>
          <w:p w14:paraId="019721E7"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1DFC4721"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104.829.431 </w:t>
            </w:r>
          </w:p>
        </w:tc>
        <w:tc>
          <w:tcPr>
            <w:tcW w:w="980" w:type="pct"/>
            <w:tcBorders>
              <w:top w:val="nil"/>
              <w:left w:val="nil"/>
              <w:bottom w:val="nil"/>
              <w:right w:val="nil"/>
            </w:tcBorders>
            <w:shd w:val="clear" w:color="000000" w:fill="FFFFFF"/>
            <w:noWrap/>
            <w:vAlign w:val="bottom"/>
            <w:hideMark/>
          </w:tcPr>
          <w:p w14:paraId="724176E8"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(3.665.656)</w:t>
            </w:r>
          </w:p>
        </w:tc>
      </w:tr>
      <w:tr w:rsidR="00E66C6F" w:rsidRPr="00E66C6F" w14:paraId="5DEB90B7"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24678418"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81" w:type="pct"/>
            <w:tcBorders>
              <w:top w:val="nil"/>
              <w:left w:val="nil"/>
              <w:bottom w:val="nil"/>
              <w:right w:val="nil"/>
            </w:tcBorders>
            <w:shd w:val="clear" w:color="000000" w:fill="FFFFFF"/>
            <w:noWrap/>
            <w:vAlign w:val="bottom"/>
            <w:hideMark/>
          </w:tcPr>
          <w:p w14:paraId="32434584"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59CEA6A7"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67DC3C5E"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w:t>
            </w:r>
          </w:p>
        </w:tc>
        <w:tc>
          <w:tcPr>
            <w:tcW w:w="980" w:type="pct"/>
            <w:tcBorders>
              <w:top w:val="nil"/>
              <w:left w:val="nil"/>
              <w:bottom w:val="nil"/>
              <w:right w:val="nil"/>
            </w:tcBorders>
            <w:shd w:val="clear" w:color="000000" w:fill="FFFFFF"/>
            <w:noWrap/>
            <w:vAlign w:val="bottom"/>
            <w:hideMark/>
          </w:tcPr>
          <w:p w14:paraId="0704CAFA"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w:t>
            </w:r>
          </w:p>
        </w:tc>
      </w:tr>
      <w:tr w:rsidR="00E66C6F" w:rsidRPr="00E66C6F" w14:paraId="0B15C4C9"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311BA9A7"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b/>
                <w:bCs/>
                <w:sz w:val="16"/>
                <w:szCs w:val="16"/>
              </w:rPr>
              <w:t>VIII. 1 PESSOAL</w:t>
            </w:r>
            <w:r w:rsidRPr="00E66C6F">
              <w:rPr>
                <w:rFonts w:asciiTheme="majorHAnsi" w:hAnsiTheme="majorHAnsi" w:cstheme="majorHAnsi"/>
                <w:sz w:val="16"/>
                <w:szCs w:val="16"/>
              </w:rPr>
              <w:t xml:space="preserve">   </w:t>
            </w:r>
          </w:p>
        </w:tc>
        <w:tc>
          <w:tcPr>
            <w:tcW w:w="81" w:type="pct"/>
            <w:tcBorders>
              <w:top w:val="nil"/>
              <w:left w:val="nil"/>
              <w:bottom w:val="nil"/>
              <w:right w:val="nil"/>
            </w:tcBorders>
            <w:shd w:val="clear" w:color="000000" w:fill="FFFFFF"/>
            <w:noWrap/>
            <w:vAlign w:val="bottom"/>
            <w:hideMark/>
          </w:tcPr>
          <w:p w14:paraId="0D483819"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269CD50D"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69A60F83"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78.972.855</w:t>
            </w:r>
          </w:p>
        </w:tc>
        <w:tc>
          <w:tcPr>
            <w:tcW w:w="980" w:type="pct"/>
            <w:tcBorders>
              <w:top w:val="nil"/>
              <w:left w:val="nil"/>
              <w:bottom w:val="nil"/>
              <w:right w:val="nil"/>
            </w:tcBorders>
            <w:shd w:val="clear" w:color="000000" w:fill="FFFFFF"/>
            <w:noWrap/>
            <w:vAlign w:val="bottom"/>
            <w:hideMark/>
          </w:tcPr>
          <w:p w14:paraId="22AE12D9"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81.125.821</w:t>
            </w:r>
          </w:p>
        </w:tc>
      </w:tr>
      <w:tr w:rsidR="00E66C6F" w:rsidRPr="00E66C6F" w14:paraId="11137C0F"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5D2AFE1A"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 xml:space="preserve">         </w:t>
            </w:r>
            <w:r w:rsidRPr="00E66C6F">
              <w:rPr>
                <w:rFonts w:asciiTheme="majorHAnsi" w:hAnsiTheme="majorHAnsi" w:cstheme="majorHAnsi"/>
                <w:sz w:val="16"/>
                <w:szCs w:val="16"/>
              </w:rPr>
              <w:t>Remuneração Direta</w:t>
            </w:r>
          </w:p>
        </w:tc>
        <w:tc>
          <w:tcPr>
            <w:tcW w:w="1487" w:type="pct"/>
            <w:tcBorders>
              <w:top w:val="nil"/>
              <w:left w:val="nil"/>
              <w:bottom w:val="nil"/>
              <w:right w:val="nil"/>
            </w:tcBorders>
            <w:shd w:val="clear" w:color="000000" w:fill="FFFFFF"/>
            <w:noWrap/>
            <w:vAlign w:val="bottom"/>
            <w:hideMark/>
          </w:tcPr>
          <w:p w14:paraId="5563164B"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555B15D5"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63.161.600</w:t>
            </w:r>
          </w:p>
        </w:tc>
        <w:tc>
          <w:tcPr>
            <w:tcW w:w="980" w:type="pct"/>
            <w:tcBorders>
              <w:top w:val="nil"/>
              <w:left w:val="nil"/>
              <w:bottom w:val="nil"/>
              <w:right w:val="nil"/>
            </w:tcBorders>
            <w:shd w:val="clear" w:color="000000" w:fill="FFFFFF"/>
            <w:noWrap/>
            <w:vAlign w:val="bottom"/>
            <w:hideMark/>
          </w:tcPr>
          <w:p w14:paraId="22617D5F"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68.108.102</w:t>
            </w:r>
          </w:p>
        </w:tc>
      </w:tr>
      <w:tr w:rsidR="00E66C6F" w:rsidRPr="00E66C6F" w14:paraId="6864913D"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338AF70F"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 xml:space="preserve">         </w:t>
            </w:r>
            <w:r w:rsidRPr="00E66C6F">
              <w:rPr>
                <w:rFonts w:asciiTheme="majorHAnsi" w:hAnsiTheme="majorHAnsi" w:cstheme="majorHAnsi"/>
                <w:sz w:val="16"/>
                <w:szCs w:val="16"/>
              </w:rPr>
              <w:t>Benefícios</w:t>
            </w:r>
          </w:p>
        </w:tc>
        <w:tc>
          <w:tcPr>
            <w:tcW w:w="81" w:type="pct"/>
            <w:tcBorders>
              <w:top w:val="nil"/>
              <w:left w:val="nil"/>
              <w:bottom w:val="nil"/>
              <w:right w:val="nil"/>
            </w:tcBorders>
            <w:shd w:val="clear" w:color="000000" w:fill="FFFFFF"/>
            <w:noWrap/>
            <w:vAlign w:val="bottom"/>
            <w:hideMark/>
          </w:tcPr>
          <w:p w14:paraId="7534C959"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051D3F71"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4E1778F0"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10.235.220</w:t>
            </w:r>
          </w:p>
        </w:tc>
        <w:tc>
          <w:tcPr>
            <w:tcW w:w="980" w:type="pct"/>
            <w:tcBorders>
              <w:top w:val="nil"/>
              <w:left w:val="nil"/>
              <w:bottom w:val="nil"/>
              <w:right w:val="nil"/>
            </w:tcBorders>
            <w:shd w:val="clear" w:color="000000" w:fill="FFFFFF"/>
            <w:noWrap/>
            <w:vAlign w:val="bottom"/>
            <w:hideMark/>
          </w:tcPr>
          <w:p w14:paraId="75877370"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8.202.744</w:t>
            </w:r>
          </w:p>
        </w:tc>
      </w:tr>
      <w:tr w:rsidR="00E66C6F" w:rsidRPr="00E66C6F" w14:paraId="73DE1B32"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7524AD3E"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FGTS</w:t>
            </w:r>
          </w:p>
        </w:tc>
        <w:tc>
          <w:tcPr>
            <w:tcW w:w="81" w:type="pct"/>
            <w:tcBorders>
              <w:top w:val="nil"/>
              <w:left w:val="nil"/>
              <w:bottom w:val="nil"/>
              <w:right w:val="nil"/>
            </w:tcBorders>
            <w:shd w:val="clear" w:color="000000" w:fill="FFFFFF"/>
            <w:noWrap/>
            <w:vAlign w:val="bottom"/>
            <w:hideMark/>
          </w:tcPr>
          <w:p w14:paraId="1B172CCB"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631E3898"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196DF8B0"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5.576.034</w:t>
            </w:r>
          </w:p>
        </w:tc>
        <w:tc>
          <w:tcPr>
            <w:tcW w:w="980" w:type="pct"/>
            <w:tcBorders>
              <w:top w:val="nil"/>
              <w:left w:val="nil"/>
              <w:bottom w:val="nil"/>
              <w:right w:val="nil"/>
            </w:tcBorders>
            <w:shd w:val="clear" w:color="000000" w:fill="FFFFFF"/>
            <w:noWrap/>
            <w:vAlign w:val="bottom"/>
            <w:hideMark/>
          </w:tcPr>
          <w:p w14:paraId="2AEA26C5"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4.814.975</w:t>
            </w:r>
          </w:p>
        </w:tc>
      </w:tr>
      <w:tr w:rsidR="00E66C6F" w:rsidRPr="00E66C6F" w14:paraId="5A4F2C39"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2AC63FE2"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VIII. 2 IMPOSTOS, TAXAS E CONTRIBUIÇÕES</w:t>
            </w:r>
          </w:p>
        </w:tc>
        <w:tc>
          <w:tcPr>
            <w:tcW w:w="1487" w:type="pct"/>
            <w:tcBorders>
              <w:top w:val="nil"/>
              <w:left w:val="nil"/>
              <w:bottom w:val="nil"/>
              <w:right w:val="nil"/>
            </w:tcBorders>
            <w:shd w:val="clear" w:color="000000" w:fill="FFFFFF"/>
            <w:noWrap/>
            <w:vAlign w:val="bottom"/>
            <w:hideMark/>
          </w:tcPr>
          <w:p w14:paraId="128D782D"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58481D3B"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15.918.761</w:t>
            </w:r>
          </w:p>
        </w:tc>
        <w:tc>
          <w:tcPr>
            <w:tcW w:w="980" w:type="pct"/>
            <w:tcBorders>
              <w:top w:val="nil"/>
              <w:left w:val="nil"/>
              <w:bottom w:val="nil"/>
              <w:right w:val="nil"/>
            </w:tcBorders>
            <w:shd w:val="clear" w:color="000000" w:fill="FFFFFF"/>
            <w:noWrap/>
            <w:vAlign w:val="bottom"/>
            <w:hideMark/>
          </w:tcPr>
          <w:p w14:paraId="619633D4"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16.952.624</w:t>
            </w:r>
          </w:p>
        </w:tc>
      </w:tr>
      <w:tr w:rsidR="00E66C6F" w:rsidRPr="00E66C6F" w14:paraId="58FA77C3"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2A60693D"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Federais</w:t>
            </w:r>
          </w:p>
        </w:tc>
        <w:tc>
          <w:tcPr>
            <w:tcW w:w="81" w:type="pct"/>
            <w:tcBorders>
              <w:top w:val="nil"/>
              <w:left w:val="nil"/>
              <w:bottom w:val="nil"/>
              <w:right w:val="nil"/>
            </w:tcBorders>
            <w:shd w:val="clear" w:color="000000" w:fill="FFFFFF"/>
            <w:noWrap/>
            <w:vAlign w:val="bottom"/>
            <w:hideMark/>
          </w:tcPr>
          <w:p w14:paraId="4FB21D87"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7F23B21C"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1774D5DC"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15.898.476</w:t>
            </w:r>
          </w:p>
        </w:tc>
        <w:tc>
          <w:tcPr>
            <w:tcW w:w="980" w:type="pct"/>
            <w:tcBorders>
              <w:top w:val="nil"/>
              <w:left w:val="nil"/>
              <w:bottom w:val="nil"/>
              <w:right w:val="nil"/>
            </w:tcBorders>
            <w:shd w:val="clear" w:color="000000" w:fill="FFFFFF"/>
            <w:noWrap/>
            <w:vAlign w:val="bottom"/>
            <w:hideMark/>
          </w:tcPr>
          <w:p w14:paraId="783D0BCC"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16.925.336</w:t>
            </w:r>
          </w:p>
        </w:tc>
      </w:tr>
      <w:tr w:rsidR="00E66C6F" w:rsidRPr="00E66C6F" w14:paraId="4F14CA33"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1BD147FD"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Estaduais</w:t>
            </w:r>
          </w:p>
        </w:tc>
        <w:tc>
          <w:tcPr>
            <w:tcW w:w="81" w:type="pct"/>
            <w:tcBorders>
              <w:top w:val="nil"/>
              <w:left w:val="nil"/>
              <w:bottom w:val="nil"/>
              <w:right w:val="nil"/>
            </w:tcBorders>
            <w:shd w:val="clear" w:color="000000" w:fill="FFFFFF"/>
            <w:noWrap/>
            <w:vAlign w:val="bottom"/>
            <w:hideMark/>
          </w:tcPr>
          <w:p w14:paraId="46C367B6"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516E90CD"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19B5E097"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   </w:t>
            </w:r>
          </w:p>
        </w:tc>
        <w:tc>
          <w:tcPr>
            <w:tcW w:w="980" w:type="pct"/>
            <w:tcBorders>
              <w:top w:val="nil"/>
              <w:left w:val="nil"/>
              <w:bottom w:val="nil"/>
              <w:right w:val="nil"/>
            </w:tcBorders>
            <w:shd w:val="clear" w:color="000000" w:fill="FFFFFF"/>
            <w:noWrap/>
            <w:vAlign w:val="bottom"/>
            <w:hideMark/>
          </w:tcPr>
          <w:p w14:paraId="7175CBB5"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   </w:t>
            </w:r>
          </w:p>
        </w:tc>
      </w:tr>
      <w:tr w:rsidR="00E66C6F" w:rsidRPr="00E66C6F" w14:paraId="553E199B"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6B9DF2A6"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Municipais</w:t>
            </w:r>
          </w:p>
        </w:tc>
        <w:tc>
          <w:tcPr>
            <w:tcW w:w="81" w:type="pct"/>
            <w:tcBorders>
              <w:top w:val="nil"/>
              <w:left w:val="nil"/>
              <w:bottom w:val="nil"/>
              <w:right w:val="nil"/>
            </w:tcBorders>
            <w:shd w:val="clear" w:color="000000" w:fill="FFFFFF"/>
            <w:noWrap/>
            <w:vAlign w:val="bottom"/>
            <w:hideMark/>
          </w:tcPr>
          <w:p w14:paraId="2572A844"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3AAE0A27"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41C83EA7"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20.285</w:t>
            </w:r>
          </w:p>
        </w:tc>
        <w:tc>
          <w:tcPr>
            <w:tcW w:w="980" w:type="pct"/>
            <w:tcBorders>
              <w:top w:val="nil"/>
              <w:left w:val="nil"/>
              <w:bottom w:val="nil"/>
              <w:right w:val="nil"/>
            </w:tcBorders>
            <w:shd w:val="clear" w:color="000000" w:fill="FFFFFF"/>
            <w:noWrap/>
            <w:vAlign w:val="bottom"/>
            <w:hideMark/>
          </w:tcPr>
          <w:p w14:paraId="3A186742"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27.288 </w:t>
            </w:r>
          </w:p>
        </w:tc>
      </w:tr>
      <w:tr w:rsidR="00E66C6F" w:rsidRPr="00E66C6F" w14:paraId="53D82C7C"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4A6925DA"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VIII. 3 REMUNERAÇÃO DE CAPITAIS DE TERCEIROS</w:t>
            </w:r>
          </w:p>
        </w:tc>
        <w:tc>
          <w:tcPr>
            <w:tcW w:w="1487" w:type="pct"/>
            <w:tcBorders>
              <w:top w:val="nil"/>
              <w:left w:val="nil"/>
              <w:bottom w:val="nil"/>
              <w:right w:val="nil"/>
            </w:tcBorders>
            <w:shd w:val="clear" w:color="000000" w:fill="FFFFFF"/>
            <w:noWrap/>
            <w:vAlign w:val="bottom"/>
            <w:hideMark/>
          </w:tcPr>
          <w:p w14:paraId="3EDDEE2B"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6306B685"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4.947.723</w:t>
            </w:r>
          </w:p>
        </w:tc>
        <w:tc>
          <w:tcPr>
            <w:tcW w:w="980" w:type="pct"/>
            <w:tcBorders>
              <w:top w:val="nil"/>
              <w:left w:val="nil"/>
              <w:bottom w:val="nil"/>
              <w:right w:val="nil"/>
            </w:tcBorders>
            <w:shd w:val="clear" w:color="000000" w:fill="FFFFFF"/>
            <w:noWrap/>
            <w:vAlign w:val="bottom"/>
            <w:hideMark/>
          </w:tcPr>
          <w:p w14:paraId="1394F06C"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190.157</w:t>
            </w:r>
          </w:p>
        </w:tc>
      </w:tr>
      <w:tr w:rsidR="00E66C6F" w:rsidRPr="00E66C6F" w14:paraId="6140D750"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272F754E"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Juros e Atualizações Monetárias</w:t>
            </w:r>
          </w:p>
        </w:tc>
        <w:tc>
          <w:tcPr>
            <w:tcW w:w="1487" w:type="pct"/>
            <w:tcBorders>
              <w:top w:val="nil"/>
              <w:left w:val="nil"/>
              <w:bottom w:val="nil"/>
              <w:right w:val="nil"/>
            </w:tcBorders>
            <w:shd w:val="clear" w:color="000000" w:fill="FFFFFF"/>
            <w:noWrap/>
            <w:vAlign w:val="bottom"/>
            <w:hideMark/>
          </w:tcPr>
          <w:p w14:paraId="62B3E629"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2A918EE8"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1.775.147 </w:t>
            </w:r>
          </w:p>
        </w:tc>
        <w:tc>
          <w:tcPr>
            <w:tcW w:w="980" w:type="pct"/>
            <w:tcBorders>
              <w:top w:val="nil"/>
              <w:left w:val="nil"/>
              <w:bottom w:val="nil"/>
              <w:right w:val="nil"/>
            </w:tcBorders>
            <w:shd w:val="clear" w:color="000000" w:fill="FFFFFF"/>
            <w:noWrap/>
            <w:vAlign w:val="bottom"/>
            <w:hideMark/>
          </w:tcPr>
          <w:p w14:paraId="2D243638"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   </w:t>
            </w:r>
          </w:p>
        </w:tc>
      </w:tr>
      <w:tr w:rsidR="00E66C6F" w:rsidRPr="00E66C6F" w14:paraId="3D155399"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0F90F128"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Locação de Máquinas e Equipamentos</w:t>
            </w:r>
          </w:p>
        </w:tc>
        <w:tc>
          <w:tcPr>
            <w:tcW w:w="1487" w:type="pct"/>
            <w:tcBorders>
              <w:top w:val="nil"/>
              <w:left w:val="nil"/>
              <w:bottom w:val="nil"/>
              <w:right w:val="nil"/>
            </w:tcBorders>
            <w:shd w:val="clear" w:color="000000" w:fill="FFFFFF"/>
            <w:noWrap/>
            <w:vAlign w:val="bottom"/>
            <w:hideMark/>
          </w:tcPr>
          <w:p w14:paraId="46803DE2"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40D2E357"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3.172.576</w:t>
            </w:r>
          </w:p>
        </w:tc>
        <w:tc>
          <w:tcPr>
            <w:tcW w:w="980" w:type="pct"/>
            <w:tcBorders>
              <w:top w:val="nil"/>
              <w:left w:val="nil"/>
              <w:bottom w:val="nil"/>
              <w:right w:val="nil"/>
            </w:tcBorders>
            <w:shd w:val="clear" w:color="000000" w:fill="FFFFFF"/>
            <w:noWrap/>
            <w:vAlign w:val="bottom"/>
            <w:hideMark/>
          </w:tcPr>
          <w:p w14:paraId="75684B15"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190.157 </w:t>
            </w:r>
          </w:p>
        </w:tc>
      </w:tr>
      <w:tr w:rsidR="00E66C6F" w:rsidRPr="00E66C6F" w14:paraId="38BD7516"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7634EEDE" w14:textId="77777777" w:rsidR="00E66C6F" w:rsidRPr="00E66C6F" w:rsidRDefault="00E66C6F">
            <w:pPr>
              <w:rPr>
                <w:rFonts w:asciiTheme="majorHAnsi" w:hAnsiTheme="majorHAnsi" w:cstheme="majorHAnsi"/>
                <w:b/>
                <w:bCs/>
                <w:sz w:val="16"/>
                <w:szCs w:val="16"/>
              </w:rPr>
            </w:pPr>
            <w:r w:rsidRPr="00E66C6F">
              <w:rPr>
                <w:rFonts w:asciiTheme="majorHAnsi" w:hAnsiTheme="majorHAnsi" w:cstheme="majorHAnsi"/>
                <w:b/>
                <w:bCs/>
                <w:sz w:val="16"/>
                <w:szCs w:val="16"/>
              </w:rPr>
              <w:t>VIII.4 REMUNERAÇÃO DE CAPITAIS PRÓPRIOS</w:t>
            </w:r>
          </w:p>
        </w:tc>
        <w:tc>
          <w:tcPr>
            <w:tcW w:w="1487" w:type="pct"/>
            <w:tcBorders>
              <w:top w:val="nil"/>
              <w:left w:val="nil"/>
              <w:bottom w:val="nil"/>
              <w:right w:val="nil"/>
            </w:tcBorders>
            <w:shd w:val="clear" w:color="000000" w:fill="FFFFFF"/>
            <w:noWrap/>
            <w:vAlign w:val="bottom"/>
            <w:hideMark/>
          </w:tcPr>
          <w:p w14:paraId="67BCB621"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4DA3F704"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4.990.093 </w:t>
            </w:r>
          </w:p>
        </w:tc>
        <w:tc>
          <w:tcPr>
            <w:tcW w:w="980" w:type="pct"/>
            <w:tcBorders>
              <w:top w:val="nil"/>
              <w:left w:val="nil"/>
              <w:bottom w:val="nil"/>
              <w:right w:val="nil"/>
            </w:tcBorders>
            <w:shd w:val="clear" w:color="000000" w:fill="FFFFFF"/>
            <w:noWrap/>
            <w:vAlign w:val="bottom"/>
            <w:hideMark/>
          </w:tcPr>
          <w:p w14:paraId="264824EE" w14:textId="77777777" w:rsidR="00E66C6F" w:rsidRPr="00E66C6F" w:rsidRDefault="00E66C6F" w:rsidP="00E66C6F">
            <w:pPr>
              <w:jc w:val="right"/>
              <w:rPr>
                <w:rFonts w:asciiTheme="majorHAnsi" w:hAnsiTheme="majorHAnsi" w:cstheme="majorHAnsi"/>
                <w:b/>
                <w:bCs/>
                <w:sz w:val="16"/>
                <w:szCs w:val="16"/>
              </w:rPr>
            </w:pPr>
            <w:r w:rsidRPr="00E66C6F">
              <w:rPr>
                <w:rFonts w:asciiTheme="majorHAnsi" w:hAnsiTheme="majorHAnsi" w:cstheme="majorHAnsi"/>
                <w:b/>
                <w:bCs/>
                <w:sz w:val="16"/>
                <w:szCs w:val="16"/>
              </w:rPr>
              <w:t xml:space="preserve">                     (101.934.258)</w:t>
            </w:r>
          </w:p>
        </w:tc>
      </w:tr>
      <w:tr w:rsidR="00E66C6F" w:rsidRPr="00E66C6F" w14:paraId="4651AA43" w14:textId="77777777" w:rsidTr="00E66C6F">
        <w:trPr>
          <w:trHeight w:hRule="exact" w:val="227"/>
        </w:trPr>
        <w:tc>
          <w:tcPr>
            <w:tcW w:w="1703" w:type="pct"/>
            <w:gridSpan w:val="2"/>
            <w:tcBorders>
              <w:top w:val="nil"/>
              <w:left w:val="nil"/>
              <w:bottom w:val="nil"/>
              <w:right w:val="nil"/>
            </w:tcBorders>
            <w:shd w:val="clear" w:color="000000" w:fill="FFFFFF"/>
            <w:noWrap/>
            <w:vAlign w:val="bottom"/>
            <w:hideMark/>
          </w:tcPr>
          <w:p w14:paraId="5741906D" w14:textId="7E965A2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xml:space="preserve">         Resultado do Per</w:t>
            </w:r>
            <w:r>
              <w:rPr>
                <w:rFonts w:asciiTheme="majorHAnsi" w:hAnsiTheme="majorHAnsi" w:cstheme="majorHAnsi"/>
                <w:sz w:val="16"/>
                <w:szCs w:val="16"/>
              </w:rPr>
              <w:t>í</w:t>
            </w:r>
            <w:r w:rsidRPr="00E66C6F">
              <w:rPr>
                <w:rFonts w:asciiTheme="majorHAnsi" w:hAnsiTheme="majorHAnsi" w:cstheme="majorHAnsi"/>
                <w:sz w:val="16"/>
                <w:szCs w:val="16"/>
              </w:rPr>
              <w:t>odo</w:t>
            </w:r>
          </w:p>
        </w:tc>
        <w:tc>
          <w:tcPr>
            <w:tcW w:w="1487" w:type="pct"/>
            <w:tcBorders>
              <w:top w:val="nil"/>
              <w:left w:val="nil"/>
              <w:bottom w:val="nil"/>
              <w:right w:val="nil"/>
            </w:tcBorders>
            <w:shd w:val="clear" w:color="000000" w:fill="FFFFFF"/>
            <w:noWrap/>
            <w:vAlign w:val="bottom"/>
            <w:hideMark/>
          </w:tcPr>
          <w:p w14:paraId="094E91B9"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26391DCE"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4.990.093 </w:t>
            </w:r>
          </w:p>
        </w:tc>
        <w:tc>
          <w:tcPr>
            <w:tcW w:w="980" w:type="pct"/>
            <w:tcBorders>
              <w:top w:val="nil"/>
              <w:left w:val="nil"/>
              <w:bottom w:val="nil"/>
              <w:right w:val="nil"/>
            </w:tcBorders>
            <w:shd w:val="clear" w:color="000000" w:fill="FFFFFF"/>
            <w:noWrap/>
            <w:vAlign w:val="bottom"/>
            <w:hideMark/>
          </w:tcPr>
          <w:p w14:paraId="78393921" w14:textId="77777777" w:rsidR="00E66C6F" w:rsidRPr="00E66C6F" w:rsidRDefault="00E66C6F" w:rsidP="00E66C6F">
            <w:pPr>
              <w:jc w:val="right"/>
              <w:rPr>
                <w:rFonts w:asciiTheme="majorHAnsi" w:hAnsiTheme="majorHAnsi" w:cstheme="majorHAnsi"/>
                <w:sz w:val="16"/>
                <w:szCs w:val="16"/>
              </w:rPr>
            </w:pPr>
            <w:r w:rsidRPr="00E66C6F">
              <w:rPr>
                <w:rFonts w:asciiTheme="majorHAnsi" w:hAnsiTheme="majorHAnsi" w:cstheme="majorHAnsi"/>
                <w:sz w:val="16"/>
                <w:szCs w:val="16"/>
              </w:rPr>
              <w:t xml:space="preserve">                       (101.934.258)</w:t>
            </w:r>
          </w:p>
        </w:tc>
      </w:tr>
      <w:tr w:rsidR="00E66C6F" w:rsidRPr="00E66C6F" w14:paraId="006BF25E"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45FDAF2C"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1" w:type="pct"/>
            <w:tcBorders>
              <w:top w:val="nil"/>
              <w:left w:val="nil"/>
              <w:bottom w:val="nil"/>
              <w:right w:val="nil"/>
            </w:tcBorders>
            <w:shd w:val="clear" w:color="000000" w:fill="FFFFFF"/>
            <w:noWrap/>
            <w:vAlign w:val="bottom"/>
            <w:hideMark/>
          </w:tcPr>
          <w:p w14:paraId="3035F4DD"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000000" w:fill="FFFFFF"/>
            <w:noWrap/>
            <w:vAlign w:val="bottom"/>
            <w:hideMark/>
          </w:tcPr>
          <w:p w14:paraId="20FF9FDF"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30" w:type="pct"/>
            <w:tcBorders>
              <w:top w:val="nil"/>
              <w:left w:val="nil"/>
              <w:bottom w:val="nil"/>
              <w:right w:val="nil"/>
            </w:tcBorders>
            <w:shd w:val="clear" w:color="000000" w:fill="FFFFFF"/>
            <w:noWrap/>
            <w:vAlign w:val="bottom"/>
            <w:hideMark/>
          </w:tcPr>
          <w:p w14:paraId="09A502D6" w14:textId="77777777" w:rsidR="00E66C6F" w:rsidRPr="00E66C6F" w:rsidRDefault="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c>
          <w:tcPr>
            <w:tcW w:w="980" w:type="pct"/>
            <w:tcBorders>
              <w:top w:val="nil"/>
              <w:left w:val="nil"/>
              <w:bottom w:val="nil"/>
              <w:right w:val="nil"/>
            </w:tcBorders>
            <w:shd w:val="clear" w:color="000000" w:fill="FFFFFF"/>
            <w:noWrap/>
            <w:vAlign w:val="bottom"/>
            <w:hideMark/>
          </w:tcPr>
          <w:p w14:paraId="1A6A7089" w14:textId="77777777" w:rsidR="00E66C6F" w:rsidRPr="00E66C6F" w:rsidRDefault="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r>
      <w:tr w:rsidR="00E66C6F" w:rsidRPr="00E66C6F" w14:paraId="79FCE763" w14:textId="77777777" w:rsidTr="00E66C6F">
        <w:trPr>
          <w:trHeight w:hRule="exact" w:val="227"/>
        </w:trPr>
        <w:tc>
          <w:tcPr>
            <w:tcW w:w="1622" w:type="pct"/>
            <w:tcBorders>
              <w:top w:val="nil"/>
              <w:left w:val="nil"/>
              <w:bottom w:val="nil"/>
              <w:right w:val="nil"/>
            </w:tcBorders>
            <w:shd w:val="clear" w:color="000000" w:fill="FFFFFF"/>
            <w:noWrap/>
            <w:vAlign w:val="bottom"/>
            <w:hideMark/>
          </w:tcPr>
          <w:p w14:paraId="483DB546"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81" w:type="pct"/>
            <w:tcBorders>
              <w:top w:val="nil"/>
              <w:left w:val="nil"/>
              <w:bottom w:val="nil"/>
              <w:right w:val="nil"/>
            </w:tcBorders>
            <w:shd w:val="clear" w:color="000000" w:fill="FFFFFF"/>
            <w:noWrap/>
            <w:vAlign w:val="bottom"/>
            <w:hideMark/>
          </w:tcPr>
          <w:p w14:paraId="02600FF5" w14:textId="77777777" w:rsidR="00E66C6F" w:rsidRPr="00E66C6F" w:rsidRDefault="00E66C6F">
            <w:pPr>
              <w:rPr>
                <w:rFonts w:asciiTheme="majorHAnsi" w:hAnsiTheme="majorHAnsi" w:cstheme="majorHAnsi"/>
                <w:sz w:val="16"/>
                <w:szCs w:val="16"/>
              </w:rPr>
            </w:pPr>
            <w:r w:rsidRPr="00E66C6F">
              <w:rPr>
                <w:rFonts w:asciiTheme="majorHAnsi" w:hAnsiTheme="majorHAnsi" w:cstheme="majorHAnsi"/>
                <w:sz w:val="16"/>
                <w:szCs w:val="16"/>
              </w:rPr>
              <w:t> </w:t>
            </w:r>
          </w:p>
        </w:tc>
        <w:tc>
          <w:tcPr>
            <w:tcW w:w="1487" w:type="pct"/>
            <w:tcBorders>
              <w:top w:val="nil"/>
              <w:left w:val="nil"/>
              <w:bottom w:val="nil"/>
              <w:right w:val="nil"/>
            </w:tcBorders>
            <w:shd w:val="clear" w:color="auto" w:fill="auto"/>
            <w:noWrap/>
            <w:vAlign w:val="bottom"/>
            <w:hideMark/>
          </w:tcPr>
          <w:p w14:paraId="3A50DA8F" w14:textId="77777777" w:rsidR="00E66C6F" w:rsidRPr="00E66C6F" w:rsidRDefault="00E66C6F">
            <w:pPr>
              <w:rPr>
                <w:rFonts w:asciiTheme="majorHAnsi" w:hAnsiTheme="majorHAnsi" w:cstheme="majorHAnsi"/>
                <w:sz w:val="16"/>
                <w:szCs w:val="16"/>
              </w:rPr>
            </w:pPr>
          </w:p>
        </w:tc>
        <w:tc>
          <w:tcPr>
            <w:tcW w:w="830" w:type="pct"/>
            <w:tcBorders>
              <w:top w:val="nil"/>
              <w:left w:val="nil"/>
              <w:bottom w:val="nil"/>
              <w:right w:val="nil"/>
            </w:tcBorders>
            <w:shd w:val="clear" w:color="000000" w:fill="FFFFFF"/>
            <w:noWrap/>
            <w:vAlign w:val="bottom"/>
            <w:hideMark/>
          </w:tcPr>
          <w:p w14:paraId="4ADD6E67" w14:textId="77777777" w:rsidR="00E66C6F" w:rsidRPr="00E66C6F" w:rsidRDefault="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c>
          <w:tcPr>
            <w:tcW w:w="980" w:type="pct"/>
            <w:tcBorders>
              <w:top w:val="nil"/>
              <w:left w:val="nil"/>
              <w:bottom w:val="nil"/>
              <w:right w:val="nil"/>
            </w:tcBorders>
            <w:shd w:val="clear" w:color="000000" w:fill="FFFFFF"/>
            <w:noWrap/>
            <w:vAlign w:val="bottom"/>
            <w:hideMark/>
          </w:tcPr>
          <w:p w14:paraId="2BE136B7" w14:textId="77777777" w:rsidR="00E66C6F" w:rsidRPr="00E66C6F" w:rsidRDefault="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r>
      <w:tr w:rsidR="00E66C6F" w:rsidRPr="00E66C6F" w14:paraId="34284C0D" w14:textId="77777777" w:rsidTr="00E66C6F">
        <w:trPr>
          <w:trHeight w:hRule="exact" w:val="227"/>
        </w:trPr>
        <w:tc>
          <w:tcPr>
            <w:tcW w:w="5000" w:type="pct"/>
            <w:gridSpan w:val="5"/>
            <w:tcBorders>
              <w:top w:val="nil"/>
              <w:left w:val="nil"/>
              <w:bottom w:val="nil"/>
            </w:tcBorders>
            <w:shd w:val="clear" w:color="000000" w:fill="FFFFFF"/>
            <w:noWrap/>
            <w:vAlign w:val="bottom"/>
            <w:hideMark/>
          </w:tcPr>
          <w:p w14:paraId="5824A84F" w14:textId="02825F13" w:rsidR="00E66C6F" w:rsidRPr="00E66C6F" w:rsidRDefault="00E66C6F" w:rsidP="00E66C6F">
            <w:pPr>
              <w:jc w:val="center"/>
              <w:rPr>
                <w:rFonts w:asciiTheme="majorHAnsi" w:hAnsiTheme="majorHAnsi" w:cstheme="majorHAnsi"/>
                <w:sz w:val="16"/>
                <w:szCs w:val="16"/>
              </w:rPr>
            </w:pPr>
            <w:r w:rsidRPr="00E66C6F">
              <w:rPr>
                <w:rFonts w:asciiTheme="majorHAnsi" w:hAnsiTheme="majorHAnsi" w:cstheme="majorHAnsi"/>
                <w:sz w:val="16"/>
                <w:szCs w:val="16"/>
              </w:rPr>
              <w:t>(As Notas Explicativas são parte integrante das demonstrações contábeis intermediárias)</w:t>
            </w:r>
          </w:p>
          <w:p w14:paraId="166D0709" w14:textId="6FB399EA" w:rsidR="00E66C6F" w:rsidRPr="00E66C6F" w:rsidRDefault="00E66C6F">
            <w:pPr>
              <w:jc w:val="right"/>
              <w:rPr>
                <w:rFonts w:asciiTheme="majorHAnsi" w:hAnsiTheme="majorHAnsi" w:cstheme="majorHAnsi"/>
                <w:sz w:val="16"/>
                <w:szCs w:val="16"/>
              </w:rPr>
            </w:pPr>
            <w:r w:rsidRPr="00E66C6F">
              <w:rPr>
                <w:rFonts w:asciiTheme="majorHAnsi" w:hAnsiTheme="majorHAnsi" w:cstheme="majorHAnsi"/>
                <w:sz w:val="16"/>
                <w:szCs w:val="16"/>
              </w:rPr>
              <w:t> </w:t>
            </w:r>
          </w:p>
          <w:p w14:paraId="0FD9DE0D" w14:textId="29BB6DB8" w:rsidR="00E66C6F" w:rsidRPr="00E66C6F" w:rsidRDefault="00E66C6F">
            <w:pPr>
              <w:jc w:val="right"/>
              <w:rPr>
                <w:rFonts w:asciiTheme="majorHAnsi" w:hAnsiTheme="majorHAnsi" w:cstheme="majorHAnsi"/>
                <w:sz w:val="16"/>
                <w:szCs w:val="16"/>
              </w:rPr>
            </w:pPr>
            <w:r w:rsidRPr="00E66C6F">
              <w:rPr>
                <w:rFonts w:asciiTheme="majorHAnsi" w:hAnsiTheme="majorHAnsi" w:cstheme="majorHAnsi"/>
                <w:sz w:val="16"/>
                <w:szCs w:val="16"/>
              </w:rPr>
              <w:t> </w:t>
            </w:r>
          </w:p>
        </w:tc>
      </w:tr>
    </w:tbl>
    <w:p w14:paraId="3D55F4BC" w14:textId="259A9755" w:rsidR="00E66C6F" w:rsidRDefault="00E66C6F" w:rsidP="00AF45DE"/>
    <w:p w14:paraId="36AC52D9" w14:textId="0BF326CD" w:rsidR="00E66C6F" w:rsidRDefault="00E66C6F" w:rsidP="00AF45DE"/>
    <w:p w14:paraId="0A244365" w14:textId="2C3A20A8" w:rsidR="00E66C6F" w:rsidRDefault="00E66C6F" w:rsidP="00AF45DE"/>
    <w:p w14:paraId="4D0391E4" w14:textId="1D00AEE6" w:rsidR="00E66C6F" w:rsidRDefault="00E66C6F" w:rsidP="00AF45DE"/>
    <w:p w14:paraId="3E426394" w14:textId="13F2FD2F" w:rsidR="00E66C6F" w:rsidRDefault="00E66C6F" w:rsidP="00AF45DE"/>
    <w:p w14:paraId="6BE7B46F" w14:textId="330207A7" w:rsidR="00E66C6F" w:rsidRDefault="00E66C6F" w:rsidP="00AF45DE"/>
    <w:p w14:paraId="62E2C4F6" w14:textId="49A9B62D" w:rsidR="00670EF5" w:rsidRPr="002E2B5B" w:rsidRDefault="00BE5E3D" w:rsidP="00917E9B">
      <w:pPr>
        <w:pStyle w:val="Ttulo1"/>
        <w:rPr>
          <w:rFonts w:ascii="Calibri" w:hAnsi="Calibri" w:cs="Calibri"/>
          <w:szCs w:val="22"/>
        </w:rPr>
      </w:pPr>
      <w:r w:rsidRPr="002E2B5B">
        <w:rPr>
          <w:rFonts w:ascii="Calibri" w:hAnsi="Calibri" w:cs="Calibri"/>
          <w:szCs w:val="22"/>
        </w:rPr>
        <w:t xml:space="preserve">NOTAS EXPLICATIVAS </w:t>
      </w:r>
      <w:r w:rsidR="003172EB" w:rsidRPr="002E2B5B">
        <w:rPr>
          <w:rFonts w:ascii="Calibri" w:hAnsi="Calibri" w:cs="Calibri"/>
          <w:szCs w:val="22"/>
        </w:rPr>
        <w:t xml:space="preserve">ÀS </w:t>
      </w:r>
      <w:r w:rsidR="00C80DB7" w:rsidRPr="002E2B5B">
        <w:rPr>
          <w:rFonts w:ascii="Calibri" w:hAnsi="Calibri" w:cs="Calibri"/>
          <w:szCs w:val="22"/>
        </w:rPr>
        <w:t xml:space="preserve">DEMONSTRAÇÕES </w:t>
      </w:r>
      <w:r w:rsidR="007C284D" w:rsidRPr="002E2B5B">
        <w:rPr>
          <w:rFonts w:ascii="Calibri" w:hAnsi="Calibri" w:cs="Calibri"/>
          <w:szCs w:val="22"/>
        </w:rPr>
        <w:t>CONTÁBEIS</w:t>
      </w:r>
      <w:r w:rsidR="000069AD" w:rsidRPr="002E2B5B">
        <w:rPr>
          <w:rFonts w:ascii="Calibri" w:hAnsi="Calibri" w:cs="Calibri"/>
          <w:szCs w:val="22"/>
        </w:rPr>
        <w:t xml:space="preserve"> </w:t>
      </w:r>
      <w:r w:rsidR="00AC2662">
        <w:rPr>
          <w:rFonts w:ascii="Calibri" w:hAnsi="Calibri" w:cs="Calibri"/>
          <w:szCs w:val="22"/>
        </w:rPr>
        <w:t xml:space="preserve">INTERMEDIÁRIAS </w:t>
      </w:r>
      <w:r w:rsidR="00A419B2" w:rsidRPr="002E2B5B">
        <w:rPr>
          <w:rFonts w:ascii="Calibri" w:hAnsi="Calibri" w:cs="Calibri"/>
          <w:szCs w:val="22"/>
        </w:rPr>
        <w:t xml:space="preserve">PARA O </w:t>
      </w:r>
      <w:r w:rsidR="00670EF5">
        <w:rPr>
          <w:rFonts w:ascii="Calibri" w:hAnsi="Calibri" w:cs="Calibri"/>
          <w:szCs w:val="22"/>
        </w:rPr>
        <w:t>PERÍODO</w:t>
      </w:r>
      <w:r w:rsidR="00670EF5" w:rsidRPr="002E2B5B">
        <w:rPr>
          <w:rFonts w:ascii="Calibri" w:hAnsi="Calibri" w:cs="Calibri"/>
          <w:szCs w:val="22"/>
        </w:rPr>
        <w:t xml:space="preserve"> FINDO</w:t>
      </w:r>
    </w:p>
    <w:p w14:paraId="17B80F84" w14:textId="2A733CBC" w:rsidR="00A419B2" w:rsidRPr="002E2B5B" w:rsidRDefault="00670EF5" w:rsidP="00670EF5">
      <w:pPr>
        <w:pStyle w:val="Ttulo1"/>
        <w:tabs>
          <w:tab w:val="left" w:pos="1701"/>
        </w:tabs>
        <w:spacing w:after="120"/>
        <w:ind w:right="-142"/>
        <w:rPr>
          <w:rFonts w:ascii="Calibri" w:hAnsi="Calibri" w:cs="Calibri"/>
          <w:szCs w:val="22"/>
        </w:rPr>
      </w:pPr>
      <w:r w:rsidRPr="002E2B5B">
        <w:rPr>
          <w:rFonts w:ascii="Calibri" w:hAnsi="Calibri" w:cs="Calibri"/>
          <w:szCs w:val="22"/>
        </w:rPr>
        <w:t xml:space="preserve">EM </w:t>
      </w:r>
      <w:r w:rsidR="001200FD">
        <w:rPr>
          <w:rFonts w:ascii="Calibri" w:hAnsi="Calibri" w:cs="Calibri"/>
          <w:szCs w:val="22"/>
        </w:rPr>
        <w:t>30</w:t>
      </w:r>
      <w:r w:rsidRPr="002E2B5B">
        <w:rPr>
          <w:rFonts w:ascii="Calibri" w:hAnsi="Calibri" w:cs="Calibri"/>
          <w:szCs w:val="22"/>
        </w:rPr>
        <w:t xml:space="preserve"> DE </w:t>
      </w:r>
      <w:r w:rsidR="00D26048">
        <w:rPr>
          <w:rFonts w:ascii="Calibri" w:hAnsi="Calibri" w:cs="Calibri"/>
          <w:szCs w:val="22"/>
        </w:rPr>
        <w:t>SETEMBR</w:t>
      </w:r>
      <w:r w:rsidR="001200FD">
        <w:rPr>
          <w:rFonts w:ascii="Calibri" w:hAnsi="Calibri" w:cs="Calibri"/>
          <w:szCs w:val="22"/>
        </w:rPr>
        <w:t>O</w:t>
      </w:r>
      <w:r>
        <w:rPr>
          <w:rFonts w:ascii="Calibri" w:hAnsi="Calibri" w:cs="Calibri"/>
          <w:szCs w:val="22"/>
        </w:rPr>
        <w:t xml:space="preserve"> DE 2022</w:t>
      </w:r>
    </w:p>
    <w:p w14:paraId="0B380762" w14:textId="6A957E55" w:rsidR="00BE5E3D" w:rsidRPr="002E2B5B" w:rsidRDefault="00BE5E3D" w:rsidP="00937ED9">
      <w:pPr>
        <w:pStyle w:val="Ttulo1"/>
        <w:tabs>
          <w:tab w:val="left" w:pos="1701"/>
        </w:tabs>
        <w:spacing w:after="120"/>
        <w:ind w:right="-142"/>
        <w:rPr>
          <w:rFonts w:ascii="Calibri" w:hAnsi="Calibri" w:cs="Calibri"/>
          <w:b w:val="0"/>
          <w:szCs w:val="22"/>
        </w:rPr>
      </w:pPr>
      <w:r w:rsidRPr="00486CAC">
        <w:rPr>
          <w:rFonts w:ascii="Calibri" w:hAnsi="Calibri" w:cs="Calibri"/>
          <w:b w:val="0"/>
          <w:szCs w:val="22"/>
        </w:rPr>
        <w:t>- Em R$ 1</w:t>
      </w:r>
      <w:r w:rsidR="00D20248" w:rsidRPr="00486CAC">
        <w:rPr>
          <w:rFonts w:ascii="Calibri" w:hAnsi="Calibri" w:cs="Calibri"/>
          <w:b w:val="0"/>
          <w:szCs w:val="22"/>
        </w:rPr>
        <w:t>, exceto quando</w:t>
      </w:r>
      <w:r w:rsidR="00486CAC" w:rsidRPr="00486CAC">
        <w:rPr>
          <w:rFonts w:ascii="Calibri" w:hAnsi="Calibri" w:cs="Calibri"/>
          <w:b w:val="0"/>
          <w:szCs w:val="22"/>
        </w:rPr>
        <w:t xml:space="preserve"> indicado</w:t>
      </w:r>
      <w:r w:rsidRPr="002E2B5B">
        <w:rPr>
          <w:rFonts w:ascii="Calibri" w:hAnsi="Calibri" w:cs="Calibri"/>
          <w:b w:val="0"/>
          <w:szCs w:val="22"/>
        </w:rPr>
        <w:t xml:space="preserve"> </w:t>
      </w:r>
      <w:r w:rsidR="00F404DC" w:rsidRPr="002E2B5B">
        <w:rPr>
          <w:rFonts w:ascii="Calibri" w:hAnsi="Calibri" w:cs="Calibri"/>
          <w:b w:val="0"/>
          <w:szCs w:val="22"/>
        </w:rPr>
        <w:t>–</w:t>
      </w:r>
    </w:p>
    <w:p w14:paraId="6B6FB4D4" w14:textId="444FA63A" w:rsidR="00F658CA" w:rsidRPr="002E2B5B" w:rsidRDefault="00F658CA" w:rsidP="000631B6">
      <w:pPr>
        <w:pStyle w:val="NormalWeb"/>
        <w:spacing w:before="0" w:beforeAutospacing="0" w:after="120" w:afterAutospacing="0"/>
        <w:jc w:val="both"/>
        <w:rPr>
          <w:rFonts w:ascii="Calibri" w:hAnsi="Calibri" w:cs="Calibri"/>
          <w:b/>
          <w:sz w:val="22"/>
          <w:szCs w:val="22"/>
        </w:rPr>
      </w:pPr>
      <w:r w:rsidRPr="002E2B5B">
        <w:rPr>
          <w:rFonts w:ascii="Calibri" w:hAnsi="Calibri" w:cs="Calibri"/>
          <w:b/>
          <w:sz w:val="22"/>
          <w:szCs w:val="22"/>
        </w:rPr>
        <w:t>NOTA 1 – CONTEXTO OPERACIONAL</w:t>
      </w:r>
    </w:p>
    <w:p w14:paraId="3779276C" w14:textId="77777777" w:rsidR="004966BC" w:rsidRPr="00E83D94" w:rsidRDefault="00DA0C1E" w:rsidP="000631B6">
      <w:pPr>
        <w:pStyle w:val="NormalWeb"/>
        <w:spacing w:before="0" w:beforeAutospacing="0" w:after="120" w:afterAutospacing="0"/>
        <w:jc w:val="both"/>
        <w:rPr>
          <w:rFonts w:ascii="Calibri" w:hAnsi="Calibri" w:cs="Calibri"/>
          <w:b/>
          <w:sz w:val="22"/>
          <w:szCs w:val="22"/>
          <w:u w:val="single"/>
        </w:rPr>
      </w:pPr>
      <w:r w:rsidRPr="00E83D94">
        <w:rPr>
          <w:rFonts w:ascii="Calibri" w:hAnsi="Calibri" w:cs="Calibri"/>
          <w:b/>
          <w:sz w:val="22"/>
          <w:szCs w:val="22"/>
          <w:u w:val="single"/>
        </w:rPr>
        <w:t>A</w:t>
      </w:r>
      <w:r w:rsidR="004966BC" w:rsidRPr="00E83D94">
        <w:rPr>
          <w:rFonts w:ascii="Calibri" w:hAnsi="Calibri" w:cs="Calibri"/>
          <w:b/>
          <w:sz w:val="22"/>
          <w:szCs w:val="22"/>
          <w:u w:val="single"/>
        </w:rPr>
        <w:t xml:space="preserve"> Empresa</w:t>
      </w:r>
    </w:p>
    <w:p w14:paraId="64E064A0" w14:textId="399AA3BA" w:rsidR="009165D8" w:rsidRPr="006A2031" w:rsidRDefault="00F658CA" w:rsidP="000631B6">
      <w:pPr>
        <w:pStyle w:val="NormalWeb"/>
        <w:spacing w:before="0" w:beforeAutospacing="0" w:after="120" w:afterAutospacing="0"/>
        <w:jc w:val="both"/>
        <w:rPr>
          <w:rFonts w:ascii="Calibri" w:hAnsi="Calibri" w:cs="Calibri"/>
          <w:sz w:val="22"/>
          <w:szCs w:val="22"/>
        </w:rPr>
      </w:pPr>
      <w:r w:rsidRPr="00F81FD5">
        <w:rPr>
          <w:rFonts w:ascii="Calibri" w:hAnsi="Calibri" w:cs="Calibri"/>
          <w:sz w:val="22"/>
          <w:szCs w:val="22"/>
        </w:rPr>
        <w:t xml:space="preserve">A </w:t>
      </w:r>
      <w:r w:rsidR="006A2031" w:rsidRPr="00F81FD5">
        <w:rPr>
          <w:rFonts w:ascii="Calibri" w:hAnsi="Calibri" w:cs="Calibri"/>
          <w:sz w:val="22"/>
          <w:szCs w:val="22"/>
          <w:shd w:val="clear" w:color="auto" w:fill="FFFFFF"/>
        </w:rPr>
        <w:t xml:space="preserve">Valec Engenharia, Construções e Ferrovias S.A., doravante </w:t>
      </w:r>
      <w:r w:rsidR="00F96614" w:rsidRPr="00F81FD5">
        <w:rPr>
          <w:rFonts w:ascii="Calibri" w:hAnsi="Calibri" w:cs="Calibri"/>
          <w:sz w:val="22"/>
          <w:szCs w:val="22"/>
          <w:shd w:val="clear" w:color="auto" w:fill="FFFFFF"/>
        </w:rPr>
        <w:t>intitulada</w:t>
      </w:r>
      <w:r w:rsidR="006A2031" w:rsidRPr="00F81FD5">
        <w:rPr>
          <w:rFonts w:ascii="Calibri" w:hAnsi="Calibri" w:cs="Calibri"/>
          <w:sz w:val="22"/>
          <w:szCs w:val="22"/>
          <w:shd w:val="clear" w:color="auto" w:fill="FFFFFF"/>
        </w:rPr>
        <w:t xml:space="preserve"> pelo seu nome fantasia</w:t>
      </w:r>
      <w:r w:rsidR="00F96614" w:rsidRPr="00F81FD5">
        <w:rPr>
          <w:rFonts w:ascii="Calibri" w:hAnsi="Calibri" w:cs="Calibri"/>
          <w:sz w:val="22"/>
          <w:szCs w:val="22"/>
          <w:shd w:val="clear" w:color="auto" w:fill="FFFFFF"/>
        </w:rPr>
        <w:t xml:space="preserve"> </w:t>
      </w:r>
      <w:r w:rsidR="00E11BEF" w:rsidRPr="00F81FD5">
        <w:rPr>
          <w:rFonts w:ascii="Calibri" w:hAnsi="Calibri" w:cs="Calibri"/>
          <w:sz w:val="22"/>
          <w:szCs w:val="22"/>
        </w:rPr>
        <w:t>Infra</w:t>
      </w:r>
      <w:r w:rsidR="00F96614" w:rsidRPr="00F81FD5">
        <w:rPr>
          <w:rFonts w:ascii="Calibri" w:hAnsi="Calibri" w:cs="Calibri"/>
          <w:sz w:val="22"/>
          <w:szCs w:val="22"/>
        </w:rPr>
        <w:t xml:space="preserve"> </w:t>
      </w:r>
      <w:r w:rsidRPr="00F81FD5">
        <w:rPr>
          <w:rFonts w:ascii="Calibri" w:hAnsi="Calibri" w:cs="Calibri"/>
          <w:sz w:val="22"/>
          <w:szCs w:val="22"/>
        </w:rPr>
        <w:t>S</w:t>
      </w:r>
      <w:r w:rsidRPr="006A2031">
        <w:rPr>
          <w:rFonts w:ascii="Calibri" w:hAnsi="Calibri" w:cs="Calibri"/>
          <w:sz w:val="22"/>
          <w:szCs w:val="22"/>
        </w:rPr>
        <w:t>.A.</w:t>
      </w:r>
      <w:r w:rsidR="006A2031" w:rsidRPr="006A2031">
        <w:rPr>
          <w:rFonts w:ascii="Calibri" w:hAnsi="Calibri" w:cs="Calibri"/>
          <w:sz w:val="22"/>
          <w:szCs w:val="22"/>
        </w:rPr>
        <w:t>,</w:t>
      </w:r>
      <w:r w:rsidRPr="006A2031">
        <w:rPr>
          <w:rFonts w:ascii="Calibri" w:hAnsi="Calibri" w:cs="Calibri"/>
          <w:sz w:val="22"/>
          <w:szCs w:val="22"/>
        </w:rPr>
        <w:t xml:space="preserve"> é uma empresa pública federal dependente vinculada ao Ministério da </w:t>
      </w:r>
      <w:r w:rsidR="00E11BEF" w:rsidRPr="006A2031">
        <w:rPr>
          <w:rFonts w:ascii="Calibri" w:hAnsi="Calibri" w:cs="Calibri"/>
          <w:sz w:val="22"/>
          <w:szCs w:val="22"/>
        </w:rPr>
        <w:t>Infra</w:t>
      </w:r>
      <w:r w:rsidRPr="006A2031">
        <w:rPr>
          <w:rFonts w:ascii="Calibri" w:hAnsi="Calibri" w:cs="Calibri"/>
          <w:sz w:val="22"/>
          <w:szCs w:val="22"/>
        </w:rPr>
        <w:t>estrutura, com sede em Brasília-DF, organizada sob a forma de sociedade anônima de capital fechado, com 8.090.009 ações ordinárias nominativas, sem valor nominal, sendo a União detentora de 100% das ações.</w:t>
      </w:r>
    </w:p>
    <w:p w14:paraId="506A4723" w14:textId="7662553C" w:rsidR="00E83D94" w:rsidRPr="006A2031" w:rsidRDefault="00965453" w:rsidP="000631B6">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Após a incorporação da Empresa de Planejamento e Logística (EPL) pela Valec Engenharia, Construções e Ferrovias (VALEC), autorizada pelo Decreto 11.081/2022, a</w:t>
      </w:r>
      <w:r w:rsidR="00E83D94" w:rsidRPr="006A2031">
        <w:rPr>
          <w:rFonts w:ascii="Calibri" w:hAnsi="Calibri" w:cs="Calibri"/>
          <w:sz w:val="22"/>
          <w:szCs w:val="22"/>
        </w:rPr>
        <w:t xml:space="preserve"> </w:t>
      </w:r>
      <w:r w:rsidR="00E11BEF" w:rsidRPr="006A2031">
        <w:rPr>
          <w:rFonts w:ascii="Calibri" w:hAnsi="Calibri" w:cs="Calibri"/>
          <w:sz w:val="22"/>
          <w:szCs w:val="22"/>
        </w:rPr>
        <w:t>Infra</w:t>
      </w:r>
      <w:r w:rsidR="00E83D94" w:rsidRPr="006A2031">
        <w:rPr>
          <w:rFonts w:ascii="Calibri" w:hAnsi="Calibri" w:cs="Calibri"/>
          <w:sz w:val="22"/>
          <w:szCs w:val="22"/>
        </w:rPr>
        <w:t xml:space="preserve"> S.A.</w:t>
      </w:r>
      <w:r>
        <w:rPr>
          <w:rFonts w:ascii="Calibri" w:hAnsi="Calibri" w:cs="Calibri"/>
          <w:sz w:val="22"/>
          <w:szCs w:val="22"/>
        </w:rPr>
        <w:t>, que tinha</w:t>
      </w:r>
      <w:r w:rsidR="00E83D94" w:rsidRPr="006A2031">
        <w:rPr>
          <w:rFonts w:ascii="Calibri" w:hAnsi="Calibri" w:cs="Calibri"/>
          <w:sz w:val="22"/>
          <w:szCs w:val="22"/>
        </w:rPr>
        <w:t xml:space="preserve"> </w:t>
      </w:r>
      <w:r w:rsidR="00F81FD5">
        <w:rPr>
          <w:rFonts w:ascii="Calibri" w:hAnsi="Calibri" w:cs="Calibri"/>
          <w:sz w:val="22"/>
          <w:szCs w:val="22"/>
        </w:rPr>
        <w:t>seu</w:t>
      </w:r>
      <w:r w:rsidR="00E83D94" w:rsidRPr="006A2031">
        <w:rPr>
          <w:rFonts w:ascii="Calibri" w:hAnsi="Calibri" w:cs="Calibri"/>
          <w:sz w:val="22"/>
          <w:szCs w:val="22"/>
        </w:rPr>
        <w:t xml:space="preserve"> objeto </w:t>
      </w:r>
      <w:r w:rsidR="00F81FD5">
        <w:rPr>
          <w:rFonts w:ascii="Calibri" w:hAnsi="Calibri" w:cs="Calibri"/>
          <w:sz w:val="22"/>
          <w:szCs w:val="22"/>
        </w:rPr>
        <w:t xml:space="preserve">definido </w:t>
      </w:r>
      <w:r>
        <w:rPr>
          <w:rFonts w:ascii="Calibri" w:hAnsi="Calibri" w:cs="Calibri"/>
          <w:sz w:val="22"/>
          <w:szCs w:val="22"/>
        </w:rPr>
        <w:t>pela</w:t>
      </w:r>
      <w:r w:rsidR="00F81FD5">
        <w:rPr>
          <w:rFonts w:ascii="Calibri" w:hAnsi="Calibri" w:cs="Calibri"/>
          <w:sz w:val="22"/>
          <w:szCs w:val="22"/>
        </w:rPr>
        <w:t xml:space="preserve"> Lei 11.772/2008, </w:t>
      </w:r>
      <w:r>
        <w:rPr>
          <w:rFonts w:ascii="Calibri" w:hAnsi="Calibri" w:cs="Calibri"/>
          <w:sz w:val="22"/>
          <w:szCs w:val="22"/>
        </w:rPr>
        <w:t>somou</w:t>
      </w:r>
      <w:r w:rsidR="00F81FD5">
        <w:rPr>
          <w:rFonts w:ascii="Calibri" w:hAnsi="Calibri" w:cs="Calibri"/>
          <w:sz w:val="22"/>
          <w:szCs w:val="22"/>
        </w:rPr>
        <w:t xml:space="preserve"> as competências</w:t>
      </w:r>
      <w:r>
        <w:rPr>
          <w:rFonts w:ascii="Calibri" w:hAnsi="Calibri" w:cs="Calibri"/>
          <w:sz w:val="22"/>
          <w:szCs w:val="22"/>
        </w:rPr>
        <w:t xml:space="preserve"> advindas da EPL constantes na Lei 12.743/2012:</w:t>
      </w:r>
      <w:r w:rsidRPr="006A2031">
        <w:rPr>
          <w:rFonts w:ascii="Calibri" w:hAnsi="Calibri" w:cs="Calibri"/>
          <w:sz w:val="22"/>
          <w:szCs w:val="22"/>
        </w:rPr>
        <w:t xml:space="preserve"> </w:t>
      </w:r>
    </w:p>
    <w:p w14:paraId="48E14986" w14:textId="7830389D" w:rsidR="00E83D94" w:rsidRPr="006A2031" w:rsidRDefault="00E83D94" w:rsidP="000631B6">
      <w:pPr>
        <w:pStyle w:val="NormalWeb"/>
        <w:spacing w:before="0" w:beforeAutospacing="0" w:after="120" w:afterAutospacing="0"/>
        <w:jc w:val="both"/>
        <w:rPr>
          <w:rFonts w:ascii="Calibri" w:hAnsi="Calibri" w:cs="Calibri"/>
          <w:sz w:val="22"/>
          <w:szCs w:val="22"/>
        </w:rPr>
      </w:pPr>
      <w:r w:rsidRPr="006A2031">
        <w:rPr>
          <w:rFonts w:ascii="Calibri" w:hAnsi="Calibri" w:cs="Calibri"/>
          <w:sz w:val="22"/>
          <w:szCs w:val="22"/>
        </w:rPr>
        <w:t xml:space="preserve">I - planejar e promover o desenvolvimento do serviço de transporte ferroviário de alta velocidade de forma integrada com as demais modalidades de transporte, por meio de estudos, pesquisas, construção da </w:t>
      </w:r>
      <w:r w:rsidR="00E11BEF" w:rsidRPr="006A2031">
        <w:rPr>
          <w:rFonts w:ascii="Calibri" w:hAnsi="Calibri" w:cs="Calibri"/>
          <w:sz w:val="22"/>
          <w:szCs w:val="22"/>
        </w:rPr>
        <w:t>Infra</w:t>
      </w:r>
      <w:r w:rsidRPr="006A2031">
        <w:rPr>
          <w:rFonts w:ascii="Calibri" w:hAnsi="Calibri" w:cs="Calibri"/>
          <w:sz w:val="22"/>
          <w:szCs w:val="22"/>
        </w:rPr>
        <w:t>estrutura, operação e exploração do serviço, administração e gestão de patrimônio, desenvolvimento tecnológico e atividades destinadas à absorção e transferência de tecnologias;</w:t>
      </w:r>
    </w:p>
    <w:p w14:paraId="08F283AA" w14:textId="214E67B5" w:rsidR="00E83D94" w:rsidRPr="006A2031" w:rsidRDefault="00E83D94" w:rsidP="000631B6">
      <w:pPr>
        <w:pStyle w:val="NormalWeb"/>
        <w:spacing w:before="0" w:beforeAutospacing="0" w:after="120" w:afterAutospacing="0"/>
        <w:jc w:val="both"/>
        <w:rPr>
          <w:rFonts w:ascii="Calibri" w:hAnsi="Calibri" w:cs="Calibri"/>
          <w:sz w:val="22"/>
          <w:szCs w:val="22"/>
        </w:rPr>
      </w:pPr>
      <w:r w:rsidRPr="006A2031">
        <w:rPr>
          <w:rFonts w:ascii="Calibri" w:hAnsi="Calibri" w:cs="Calibri"/>
          <w:sz w:val="22"/>
          <w:szCs w:val="22"/>
        </w:rPr>
        <w:t xml:space="preserve">II - prestar serviços na área de projetos, estudos e pesquisas destinados a subsidiar o planejamento da logística e dos transportes no País, consideradas as </w:t>
      </w:r>
      <w:r w:rsidR="00E11BEF" w:rsidRPr="006A2031">
        <w:rPr>
          <w:rFonts w:ascii="Calibri" w:hAnsi="Calibri" w:cs="Calibri"/>
          <w:sz w:val="22"/>
          <w:szCs w:val="22"/>
        </w:rPr>
        <w:t>Infra</w:t>
      </w:r>
      <w:r w:rsidRPr="006A2031">
        <w:rPr>
          <w:rFonts w:ascii="Calibri" w:hAnsi="Calibri" w:cs="Calibri"/>
          <w:sz w:val="22"/>
          <w:szCs w:val="22"/>
        </w:rPr>
        <w:t>estruturas, plataformas e os serviços pertinentes aos modos rodoviário, ferroviário, dutoviário, aquaviário e aeroviário; e</w:t>
      </w:r>
    </w:p>
    <w:p w14:paraId="4E9B89E1" w14:textId="45731858" w:rsidR="00E83D94" w:rsidRPr="00E83D94" w:rsidRDefault="00E83D94" w:rsidP="000631B6">
      <w:pPr>
        <w:pStyle w:val="NormalWeb"/>
        <w:spacing w:before="0" w:beforeAutospacing="0" w:after="120" w:afterAutospacing="0"/>
        <w:jc w:val="both"/>
        <w:rPr>
          <w:rFonts w:ascii="Calibri" w:hAnsi="Calibri" w:cs="Calibri"/>
          <w:sz w:val="22"/>
          <w:szCs w:val="22"/>
        </w:rPr>
      </w:pPr>
      <w:r w:rsidRPr="006A2031">
        <w:rPr>
          <w:rFonts w:ascii="Calibri" w:hAnsi="Calibri" w:cs="Calibri"/>
          <w:sz w:val="22"/>
          <w:szCs w:val="22"/>
        </w:rPr>
        <w:t xml:space="preserve">III - a construção e exploração de </w:t>
      </w:r>
      <w:r w:rsidR="00E11BEF" w:rsidRPr="006A2031">
        <w:rPr>
          <w:rFonts w:ascii="Calibri" w:hAnsi="Calibri" w:cs="Calibri"/>
          <w:sz w:val="22"/>
          <w:szCs w:val="22"/>
        </w:rPr>
        <w:t>Infra</w:t>
      </w:r>
      <w:r w:rsidR="00DA39D0" w:rsidRPr="006A2031">
        <w:rPr>
          <w:rFonts w:ascii="Calibri" w:hAnsi="Calibri" w:cs="Calibri"/>
          <w:sz w:val="22"/>
          <w:szCs w:val="22"/>
        </w:rPr>
        <w:t>estrutura</w:t>
      </w:r>
      <w:r w:rsidRPr="006A2031">
        <w:rPr>
          <w:rFonts w:ascii="Calibri" w:hAnsi="Calibri" w:cs="Calibri"/>
          <w:sz w:val="22"/>
          <w:szCs w:val="22"/>
        </w:rPr>
        <w:t xml:space="preserve"> ferroviária.</w:t>
      </w:r>
    </w:p>
    <w:p w14:paraId="0E96907D" w14:textId="27D6AE3A" w:rsidR="000631B6" w:rsidRDefault="00F658CA" w:rsidP="000631B6">
      <w:pPr>
        <w:pStyle w:val="NormalWeb"/>
        <w:spacing w:before="0" w:beforeAutospacing="0" w:after="120" w:afterAutospacing="0"/>
        <w:jc w:val="both"/>
        <w:rPr>
          <w:rFonts w:ascii="Calibri" w:hAnsi="Calibri" w:cs="Calibri"/>
          <w:sz w:val="22"/>
          <w:szCs w:val="22"/>
          <w:shd w:val="clear" w:color="auto" w:fill="FFFFFF"/>
        </w:rPr>
      </w:pPr>
      <w:r w:rsidRPr="000631B6">
        <w:rPr>
          <w:rFonts w:ascii="Calibri" w:hAnsi="Calibri" w:cs="Calibri"/>
          <w:sz w:val="22"/>
          <w:szCs w:val="22"/>
        </w:rPr>
        <w:t xml:space="preserve">Como empresa pública federal dependente, a </w:t>
      </w:r>
      <w:r w:rsidR="00E11BEF">
        <w:rPr>
          <w:rFonts w:ascii="Calibri" w:hAnsi="Calibri" w:cs="Calibri"/>
          <w:sz w:val="22"/>
          <w:szCs w:val="22"/>
        </w:rPr>
        <w:t>Infra</w:t>
      </w:r>
      <w:r w:rsidR="00DA39D0" w:rsidRPr="000631B6">
        <w:rPr>
          <w:rFonts w:ascii="Calibri" w:hAnsi="Calibri" w:cs="Calibri"/>
          <w:sz w:val="22"/>
          <w:szCs w:val="22"/>
        </w:rPr>
        <w:t xml:space="preserve"> S.A.</w:t>
      </w:r>
      <w:r w:rsidRPr="000631B6">
        <w:rPr>
          <w:rFonts w:ascii="Calibri" w:hAnsi="Calibri" w:cs="Calibri"/>
          <w:sz w:val="22"/>
          <w:szCs w:val="22"/>
        </w:rPr>
        <w:t xml:space="preserve"> recebe recursos financeiros da União</w:t>
      </w:r>
      <w:r w:rsidR="000631B6">
        <w:rPr>
          <w:rFonts w:ascii="Calibri" w:hAnsi="Calibri" w:cs="Calibri"/>
          <w:sz w:val="22"/>
          <w:szCs w:val="22"/>
        </w:rPr>
        <w:t xml:space="preserve">, </w:t>
      </w:r>
      <w:r w:rsidR="000631B6" w:rsidRPr="002E2B5B">
        <w:rPr>
          <w:rFonts w:ascii="Calibri" w:hAnsi="Calibri" w:cs="Calibri"/>
          <w:sz w:val="22"/>
          <w:szCs w:val="22"/>
        </w:rPr>
        <w:t>por meio de subvenções do Tesouro Nacional</w:t>
      </w:r>
      <w:r w:rsidR="000631B6">
        <w:rPr>
          <w:rFonts w:ascii="Calibri" w:hAnsi="Calibri" w:cs="Calibri"/>
          <w:sz w:val="22"/>
          <w:szCs w:val="22"/>
        </w:rPr>
        <w:t>,</w:t>
      </w:r>
      <w:r w:rsidRPr="000631B6">
        <w:rPr>
          <w:rFonts w:ascii="Calibri" w:hAnsi="Calibri" w:cs="Calibri"/>
          <w:sz w:val="22"/>
          <w:szCs w:val="22"/>
        </w:rPr>
        <w:t xml:space="preserve"> para pagamentos de despesas com pessoal</w:t>
      </w:r>
      <w:r w:rsidR="000631B6" w:rsidRPr="000631B6">
        <w:rPr>
          <w:rFonts w:ascii="Calibri" w:hAnsi="Calibri" w:cs="Calibri"/>
          <w:sz w:val="22"/>
          <w:szCs w:val="22"/>
        </w:rPr>
        <w:t>,</w:t>
      </w:r>
      <w:r w:rsidRPr="000631B6">
        <w:rPr>
          <w:rFonts w:ascii="Calibri" w:hAnsi="Calibri" w:cs="Calibri"/>
          <w:sz w:val="22"/>
          <w:szCs w:val="22"/>
        </w:rPr>
        <w:t xml:space="preserve"> custeio </w:t>
      </w:r>
      <w:r w:rsidR="000631B6" w:rsidRPr="000631B6">
        <w:rPr>
          <w:rFonts w:ascii="Calibri" w:hAnsi="Calibri" w:cs="Calibri"/>
          <w:sz w:val="22"/>
          <w:szCs w:val="22"/>
        </w:rPr>
        <w:t>e desenvolvimento d</w:t>
      </w:r>
      <w:r w:rsidR="000631B6" w:rsidRPr="000631B6">
        <w:rPr>
          <w:rFonts w:ascii="Calibri" w:hAnsi="Calibri" w:cs="Calibri"/>
          <w:sz w:val="22"/>
          <w:szCs w:val="22"/>
          <w:shd w:val="clear" w:color="auto" w:fill="FFFFFF"/>
        </w:rPr>
        <w:t xml:space="preserve">o Planejamento Integrado </w:t>
      </w:r>
      <w:r w:rsidR="000631B6">
        <w:rPr>
          <w:rFonts w:ascii="Calibri" w:hAnsi="Calibri" w:cs="Calibri"/>
          <w:sz w:val="22"/>
          <w:szCs w:val="22"/>
          <w:shd w:val="clear" w:color="auto" w:fill="FFFFFF"/>
        </w:rPr>
        <w:t>d</w:t>
      </w:r>
      <w:r w:rsidR="000631B6" w:rsidRPr="000631B6">
        <w:rPr>
          <w:rFonts w:ascii="Calibri" w:hAnsi="Calibri" w:cs="Calibri"/>
          <w:sz w:val="22"/>
          <w:szCs w:val="22"/>
          <w:shd w:val="clear" w:color="auto" w:fill="FFFFFF"/>
        </w:rPr>
        <w:t xml:space="preserve">a </w:t>
      </w:r>
      <w:r w:rsidR="00E11BEF">
        <w:rPr>
          <w:rFonts w:ascii="Calibri" w:hAnsi="Calibri" w:cs="Calibri"/>
          <w:sz w:val="22"/>
          <w:szCs w:val="22"/>
          <w:shd w:val="clear" w:color="auto" w:fill="FFFFFF"/>
        </w:rPr>
        <w:t>Infra</w:t>
      </w:r>
      <w:r w:rsidR="000631B6" w:rsidRPr="000631B6">
        <w:rPr>
          <w:rFonts w:ascii="Calibri" w:hAnsi="Calibri" w:cs="Calibri"/>
          <w:sz w:val="22"/>
          <w:szCs w:val="22"/>
          <w:shd w:val="clear" w:color="auto" w:fill="FFFFFF"/>
        </w:rPr>
        <w:t xml:space="preserve">estrutura Nacional </w:t>
      </w:r>
      <w:r w:rsidR="000631B6">
        <w:rPr>
          <w:rFonts w:ascii="Calibri" w:hAnsi="Calibri" w:cs="Calibri"/>
          <w:sz w:val="22"/>
          <w:szCs w:val="22"/>
          <w:shd w:val="clear" w:color="auto" w:fill="FFFFFF"/>
        </w:rPr>
        <w:t>d</w:t>
      </w:r>
      <w:r w:rsidR="000631B6" w:rsidRPr="000631B6">
        <w:rPr>
          <w:rFonts w:ascii="Calibri" w:hAnsi="Calibri" w:cs="Calibri"/>
          <w:sz w:val="22"/>
          <w:szCs w:val="22"/>
          <w:shd w:val="clear" w:color="auto" w:fill="FFFFFF"/>
        </w:rPr>
        <w:t xml:space="preserve">e Transportes e Logística, o qual tem como </w:t>
      </w:r>
      <w:r w:rsidR="000631B6">
        <w:rPr>
          <w:rFonts w:ascii="Calibri" w:hAnsi="Calibri" w:cs="Calibri"/>
          <w:sz w:val="22"/>
          <w:szCs w:val="22"/>
          <w:shd w:val="clear" w:color="auto" w:fill="FFFFFF"/>
        </w:rPr>
        <w:t xml:space="preserve">destaque </w:t>
      </w:r>
      <w:r w:rsidR="000631B6" w:rsidRPr="000631B6">
        <w:rPr>
          <w:rFonts w:ascii="Calibri" w:hAnsi="Calibri" w:cs="Calibri"/>
          <w:sz w:val="22"/>
          <w:szCs w:val="22"/>
          <w:shd w:val="clear" w:color="auto" w:fill="FFFFFF"/>
        </w:rPr>
        <w:t xml:space="preserve">o Plano Nacional de Logística (PNL), que indica empreendimentos e investimentos necessários para otimizar a </w:t>
      </w:r>
      <w:r w:rsidR="00E11BEF">
        <w:rPr>
          <w:rFonts w:ascii="Calibri" w:hAnsi="Calibri" w:cs="Calibri"/>
          <w:sz w:val="22"/>
          <w:szCs w:val="22"/>
          <w:shd w:val="clear" w:color="auto" w:fill="FFFFFF"/>
        </w:rPr>
        <w:t>Infra</w:t>
      </w:r>
      <w:r w:rsidR="000631B6" w:rsidRPr="000631B6">
        <w:rPr>
          <w:rFonts w:ascii="Calibri" w:hAnsi="Calibri" w:cs="Calibri"/>
          <w:sz w:val="22"/>
          <w:szCs w:val="22"/>
          <w:shd w:val="clear" w:color="auto" w:fill="FFFFFF"/>
        </w:rPr>
        <w:t xml:space="preserve">estrutura nacional durante determinado período. </w:t>
      </w:r>
    </w:p>
    <w:p w14:paraId="6CB06AF5" w14:textId="4131BCF0" w:rsidR="00DA39D0" w:rsidRDefault="000631B6" w:rsidP="000631B6">
      <w:pPr>
        <w:pStyle w:val="NormalWeb"/>
        <w:spacing w:before="0" w:beforeAutospacing="0" w:after="120" w:afterAutospacing="0"/>
        <w:jc w:val="both"/>
        <w:rPr>
          <w:rFonts w:ascii="Calibri" w:hAnsi="Calibri" w:cs="Calibri"/>
          <w:sz w:val="22"/>
          <w:szCs w:val="22"/>
        </w:rPr>
      </w:pPr>
      <w:r w:rsidRPr="000631B6">
        <w:rPr>
          <w:rFonts w:ascii="Calibri" w:hAnsi="Calibri" w:cs="Calibri"/>
          <w:sz w:val="22"/>
          <w:szCs w:val="22"/>
        </w:rPr>
        <w:t>Para</w:t>
      </w:r>
      <w:r w:rsidR="00F658CA" w:rsidRPr="000631B6">
        <w:rPr>
          <w:rFonts w:ascii="Calibri" w:hAnsi="Calibri" w:cs="Calibri"/>
          <w:sz w:val="22"/>
          <w:szCs w:val="22"/>
        </w:rPr>
        <w:t xml:space="preserve"> fomentar os gastos com investimentos nas construções das </w:t>
      </w:r>
      <w:r w:rsidRPr="000631B6">
        <w:rPr>
          <w:rFonts w:ascii="Calibri" w:hAnsi="Calibri" w:cs="Calibri"/>
          <w:sz w:val="22"/>
          <w:szCs w:val="22"/>
        </w:rPr>
        <w:t>ferrovias e nos</w:t>
      </w:r>
      <w:r w:rsidRPr="000631B6">
        <w:rPr>
          <w:rFonts w:ascii="Calibri" w:hAnsi="Calibri" w:cs="Calibri"/>
          <w:sz w:val="22"/>
          <w:szCs w:val="22"/>
          <w:shd w:val="clear" w:color="auto" w:fill="FFFFFF"/>
        </w:rPr>
        <w:t xml:space="preserve"> estudos e projetos de longo prazo, </w:t>
      </w:r>
      <w:r w:rsidR="00F658CA" w:rsidRPr="000631B6">
        <w:rPr>
          <w:rFonts w:ascii="Calibri" w:hAnsi="Calibri" w:cs="Calibri"/>
          <w:sz w:val="22"/>
          <w:szCs w:val="22"/>
        </w:rPr>
        <w:t>recebe recursos por meio de Adiantamentos para Futuro Aumento de Capital – AFAC que</w:t>
      </w:r>
      <w:r w:rsidR="00AE4C46" w:rsidRPr="000631B6">
        <w:rPr>
          <w:rFonts w:ascii="Calibri" w:hAnsi="Calibri" w:cs="Calibri"/>
          <w:sz w:val="22"/>
          <w:szCs w:val="22"/>
        </w:rPr>
        <w:t>,</w:t>
      </w:r>
      <w:r w:rsidR="00F658CA" w:rsidRPr="000631B6">
        <w:rPr>
          <w:rFonts w:ascii="Calibri" w:hAnsi="Calibri" w:cs="Calibri"/>
          <w:sz w:val="22"/>
          <w:szCs w:val="22"/>
        </w:rPr>
        <w:t xml:space="preserve"> posteriormente</w:t>
      </w:r>
      <w:r w:rsidR="00AE4C46" w:rsidRPr="000631B6">
        <w:rPr>
          <w:rFonts w:ascii="Calibri" w:hAnsi="Calibri" w:cs="Calibri"/>
          <w:sz w:val="22"/>
          <w:szCs w:val="22"/>
        </w:rPr>
        <w:t>,</w:t>
      </w:r>
      <w:r w:rsidR="00F658CA" w:rsidRPr="000631B6">
        <w:rPr>
          <w:rFonts w:ascii="Calibri" w:hAnsi="Calibri" w:cs="Calibri"/>
          <w:sz w:val="22"/>
          <w:szCs w:val="22"/>
        </w:rPr>
        <w:t xml:space="preserve"> são integralizados ao Capital Social</w:t>
      </w:r>
      <w:r w:rsidRPr="000631B6">
        <w:rPr>
          <w:rFonts w:ascii="Calibri" w:hAnsi="Calibri" w:cs="Calibri"/>
          <w:sz w:val="22"/>
          <w:szCs w:val="22"/>
        </w:rPr>
        <w:t>.</w:t>
      </w:r>
      <w:r w:rsidR="00DA39D0" w:rsidRPr="00DA39D0">
        <w:rPr>
          <w:rFonts w:ascii="Calibri" w:hAnsi="Calibri" w:cs="Calibri"/>
          <w:sz w:val="22"/>
          <w:szCs w:val="22"/>
        </w:rPr>
        <w:t xml:space="preserve"> </w:t>
      </w:r>
    </w:p>
    <w:p w14:paraId="13DBF5D2" w14:textId="38FCE4ED" w:rsidR="00DA39D0" w:rsidRDefault="00DA39D0" w:rsidP="000631B6">
      <w:pPr>
        <w:pStyle w:val="NormalWeb"/>
        <w:spacing w:before="0" w:beforeAutospacing="0" w:after="120" w:afterAutospacing="0"/>
        <w:jc w:val="both"/>
        <w:rPr>
          <w:rFonts w:ascii="Calibri" w:hAnsi="Calibri" w:cs="Calibri"/>
          <w:sz w:val="22"/>
          <w:szCs w:val="22"/>
          <w:shd w:val="clear" w:color="auto" w:fill="FFFFFF"/>
        </w:rPr>
      </w:pPr>
      <w:r w:rsidRPr="00E83D94">
        <w:rPr>
          <w:rFonts w:ascii="Calibri" w:hAnsi="Calibri" w:cs="Calibri"/>
          <w:sz w:val="22"/>
          <w:szCs w:val="22"/>
        </w:rPr>
        <w:t xml:space="preserve">Os atos de gestão da </w:t>
      </w:r>
      <w:r w:rsidR="00E11BEF">
        <w:rPr>
          <w:rFonts w:ascii="Calibri" w:hAnsi="Calibri" w:cs="Calibri"/>
          <w:sz w:val="22"/>
          <w:szCs w:val="22"/>
        </w:rPr>
        <w:t>Infra</w:t>
      </w:r>
      <w:r w:rsidR="00AB5166">
        <w:rPr>
          <w:rFonts w:ascii="Calibri" w:hAnsi="Calibri" w:cs="Calibri"/>
          <w:sz w:val="22"/>
          <w:szCs w:val="22"/>
        </w:rPr>
        <w:t xml:space="preserve"> S.A.</w:t>
      </w:r>
      <w:r w:rsidRPr="00E83D94">
        <w:rPr>
          <w:rFonts w:ascii="Calibri" w:hAnsi="Calibri" w:cs="Calibri"/>
          <w:sz w:val="22"/>
          <w:szCs w:val="22"/>
        </w:rPr>
        <w:t xml:space="preserve"> são acompanhados pelos órgãos de governança do poder executivo – Secretaria de Coordenação e Governança das Empresas Estatais - S</w:t>
      </w:r>
      <w:r w:rsidR="000631B6">
        <w:rPr>
          <w:rFonts w:ascii="Calibri" w:hAnsi="Calibri" w:cs="Calibri"/>
          <w:sz w:val="22"/>
          <w:szCs w:val="22"/>
        </w:rPr>
        <w:t>est</w:t>
      </w:r>
      <w:r w:rsidRPr="00E83D94">
        <w:rPr>
          <w:rFonts w:ascii="Calibri" w:hAnsi="Calibri" w:cs="Calibri"/>
          <w:sz w:val="22"/>
          <w:szCs w:val="22"/>
        </w:rPr>
        <w:t xml:space="preserve"> e Secretaria do Tesouro Nacional - STN e fiscalizados</w:t>
      </w:r>
      <w:r w:rsidRPr="00E83D94">
        <w:rPr>
          <w:rFonts w:ascii="Calibri" w:hAnsi="Calibri" w:cs="Calibri"/>
          <w:sz w:val="22"/>
          <w:szCs w:val="22"/>
          <w:shd w:val="clear" w:color="auto" w:fill="FFFFFF"/>
        </w:rPr>
        <w:t xml:space="preserve"> pelos Órgãos de controle interno </w:t>
      </w:r>
      <w:r w:rsidRPr="00E83D94">
        <w:rPr>
          <w:rFonts w:ascii="Calibri" w:hAnsi="Calibri" w:cs="Calibri"/>
          <w:sz w:val="22"/>
          <w:szCs w:val="22"/>
        </w:rPr>
        <w:t xml:space="preserve">– </w:t>
      </w:r>
      <w:r w:rsidRPr="00E83D94">
        <w:rPr>
          <w:rFonts w:ascii="Calibri" w:hAnsi="Calibri" w:cs="Calibri"/>
          <w:sz w:val="22"/>
          <w:szCs w:val="22"/>
          <w:shd w:val="clear" w:color="auto" w:fill="FFFFFF"/>
        </w:rPr>
        <w:t xml:space="preserve">Controladoria-Geral da União - CGU e externo </w:t>
      </w:r>
      <w:r w:rsidRPr="00E83D94">
        <w:rPr>
          <w:rFonts w:ascii="Calibri" w:hAnsi="Calibri" w:cs="Calibri"/>
          <w:sz w:val="22"/>
          <w:szCs w:val="22"/>
        </w:rPr>
        <w:t xml:space="preserve">– </w:t>
      </w:r>
      <w:r w:rsidRPr="00E83D94">
        <w:rPr>
          <w:rFonts w:ascii="Calibri" w:hAnsi="Calibri" w:cs="Calibri"/>
          <w:sz w:val="22"/>
          <w:szCs w:val="22"/>
          <w:shd w:val="clear" w:color="auto" w:fill="FFFFFF"/>
        </w:rPr>
        <w:t>Tribunal de Contas da União - TCU.</w:t>
      </w:r>
    </w:p>
    <w:p w14:paraId="67E4F7EA" w14:textId="5685825B" w:rsidR="00AB5166" w:rsidRDefault="00AB5166" w:rsidP="00DA39D0">
      <w:pPr>
        <w:pStyle w:val="NormalWeb"/>
        <w:spacing w:after="120"/>
        <w:jc w:val="both"/>
        <w:rPr>
          <w:rFonts w:ascii="Calibri" w:hAnsi="Calibri" w:cs="Calibri"/>
          <w:b/>
          <w:bCs/>
          <w:sz w:val="22"/>
          <w:szCs w:val="22"/>
          <w:u w:val="single"/>
          <w:shd w:val="clear" w:color="auto" w:fill="FFFFFF"/>
        </w:rPr>
      </w:pPr>
      <w:r w:rsidRPr="00AB5166">
        <w:rPr>
          <w:rFonts w:ascii="Calibri" w:hAnsi="Calibri" w:cs="Calibri"/>
          <w:b/>
          <w:bCs/>
          <w:sz w:val="22"/>
          <w:szCs w:val="22"/>
          <w:u w:val="single"/>
          <w:shd w:val="clear" w:color="auto" w:fill="FFFFFF"/>
        </w:rPr>
        <w:t>Incorporação da Empresa de Planejamento e Logística S.A. (EPL)</w:t>
      </w:r>
    </w:p>
    <w:p w14:paraId="24806A02" w14:textId="041D1C2D" w:rsidR="006A2031" w:rsidRDefault="008B1B72" w:rsidP="008B1B72">
      <w:pPr>
        <w:jc w:val="both"/>
        <w:rPr>
          <w:rFonts w:ascii="Calibri" w:hAnsi="Calibri" w:cs="Calibri"/>
          <w:sz w:val="22"/>
          <w:szCs w:val="22"/>
          <w:shd w:val="clear" w:color="auto" w:fill="FFFFFF"/>
        </w:rPr>
      </w:pPr>
      <w:r w:rsidRPr="008B1B72">
        <w:rPr>
          <w:rFonts w:ascii="Calibri" w:hAnsi="Calibri" w:cs="Calibri"/>
          <w:sz w:val="22"/>
          <w:szCs w:val="22"/>
          <w:shd w:val="clear" w:color="auto" w:fill="FFFFFF"/>
        </w:rPr>
        <w:t xml:space="preserve">Em 24 de maio de 2022, foi autorizada, por meio do Decreto 11.081/2022, a incorporação da Empresa de Planejamento e Logística S.A. pela Valec Engenharia, Construções e Ferrovias S.A. Em 30 de setembro de 2022, por meio de Assembleia Geral Extraordinária, a União votou pela aprovação da referida operação. A VALEC passa a utilizar nome fantasia Infra S.A., após o processo de incorporação da EPL. </w:t>
      </w:r>
    </w:p>
    <w:p w14:paraId="0A17E56D" w14:textId="41C7AE8F" w:rsidR="008B1B72" w:rsidRDefault="008B1B72" w:rsidP="008B1B72">
      <w:pPr>
        <w:jc w:val="both"/>
        <w:rPr>
          <w:rFonts w:ascii="Calibri" w:hAnsi="Calibri" w:cs="Calibri"/>
          <w:sz w:val="22"/>
          <w:szCs w:val="22"/>
          <w:shd w:val="clear" w:color="auto" w:fill="FFFFFF"/>
        </w:rPr>
      </w:pPr>
      <w:r w:rsidRPr="008B1B72">
        <w:rPr>
          <w:rFonts w:ascii="Calibri" w:hAnsi="Calibri" w:cs="Calibri"/>
          <w:sz w:val="22"/>
          <w:szCs w:val="22"/>
          <w:shd w:val="clear" w:color="auto" w:fill="FFFFFF"/>
        </w:rPr>
        <w:t>O Protocolo e Justificação aprovados determinaram que o valor a ser considerado para incorporação é o equivalente ao Patrimônio Líquido avaliado pelos peritos nomeados, com a data-base de 30/06/2022, a saber: R$ 161.225.514. As variações patrimoniais sobre ativos e passivos, entre a data-base da incorporação que não estivessem refletidas no referido laudo patrimonial, deveriam ser registrados integralmente nos livros contábeis da EPL e transferidas à VALEC para registro na conta de Prejuízos Acumulados.</w:t>
      </w:r>
    </w:p>
    <w:p w14:paraId="0B23A53D" w14:textId="1E825C33" w:rsidR="008B1B72" w:rsidRDefault="008B1B72" w:rsidP="008B1B72">
      <w:pPr>
        <w:spacing w:before="120" w:after="120"/>
        <w:jc w:val="both"/>
        <w:rPr>
          <w:rFonts w:ascii="Calibri" w:hAnsi="Calibri" w:cs="Calibri"/>
          <w:sz w:val="22"/>
          <w:szCs w:val="22"/>
          <w:shd w:val="clear" w:color="auto" w:fill="FFFFFF"/>
        </w:rPr>
      </w:pPr>
      <w:r w:rsidRPr="008B1B72">
        <w:rPr>
          <w:rFonts w:ascii="Calibri" w:hAnsi="Calibri" w:cs="Calibri"/>
          <w:sz w:val="22"/>
          <w:szCs w:val="22"/>
          <w:shd w:val="clear" w:color="auto" w:fill="FFFFFF"/>
        </w:rPr>
        <w:lastRenderedPageBreak/>
        <w:t>Sendo assim, apresenta-se as variações do período entre 30/06/2022 e 30/09/2022 da incorporada:</w:t>
      </w:r>
    </w:p>
    <w:p w14:paraId="3EDCA9DA" w14:textId="5D9D157E" w:rsidR="00281AF1" w:rsidRDefault="00281AF1" w:rsidP="00AB5166">
      <w:pPr>
        <w:jc w:val="both"/>
        <w:rPr>
          <w:rFonts w:ascii="Calibri" w:hAnsi="Calibri" w:cs="Calibri"/>
          <w:sz w:val="22"/>
          <w:szCs w:val="22"/>
          <w:shd w:val="clear" w:color="auto" w:fill="FFFFFF"/>
        </w:rPr>
      </w:pPr>
    </w:p>
    <w:tbl>
      <w:tblPr>
        <w:tblW w:w="5000" w:type="pct"/>
        <w:jc w:val="center"/>
        <w:tblCellMar>
          <w:left w:w="70" w:type="dxa"/>
          <w:right w:w="70" w:type="dxa"/>
        </w:tblCellMar>
        <w:tblLook w:val="04A0" w:firstRow="1" w:lastRow="0" w:firstColumn="1" w:lastColumn="0" w:noHBand="0" w:noVBand="1"/>
      </w:tblPr>
      <w:tblGrid>
        <w:gridCol w:w="2224"/>
        <w:gridCol w:w="3737"/>
        <w:gridCol w:w="1539"/>
        <w:gridCol w:w="1428"/>
        <w:gridCol w:w="1539"/>
      </w:tblGrid>
      <w:tr w:rsidR="000E693F" w:rsidRPr="000E693F" w14:paraId="5D48D376"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04F0ACA1" w14:textId="7C18B8EE" w:rsidR="008B1B72" w:rsidRPr="000E693F" w:rsidRDefault="008B1B72" w:rsidP="007D40EC">
            <w:pPr>
              <w:rPr>
                <w:sz w:val="18"/>
                <w:szCs w:val="18"/>
                <w:u w:val="single"/>
              </w:rPr>
            </w:pPr>
            <w:r w:rsidRPr="000E693F">
              <w:rPr>
                <w:rFonts w:ascii="Calibri" w:hAnsi="Calibri" w:cs="Calibri"/>
                <w:b/>
                <w:bCs/>
                <w:sz w:val="18"/>
                <w:szCs w:val="18"/>
                <w:u w:val="single"/>
              </w:rPr>
              <w:t>ATIVO</w:t>
            </w:r>
          </w:p>
        </w:tc>
        <w:tc>
          <w:tcPr>
            <w:tcW w:w="1785" w:type="pct"/>
            <w:tcBorders>
              <w:top w:val="nil"/>
              <w:left w:val="nil"/>
              <w:bottom w:val="nil"/>
              <w:right w:val="nil"/>
            </w:tcBorders>
            <w:shd w:val="clear" w:color="auto" w:fill="auto"/>
            <w:noWrap/>
            <w:vAlign w:val="center"/>
            <w:hideMark/>
          </w:tcPr>
          <w:p w14:paraId="201B49E6" w14:textId="77777777" w:rsidR="008B1B72" w:rsidRPr="000E693F" w:rsidRDefault="008B1B72" w:rsidP="007D40EC">
            <w:pPr>
              <w:rPr>
                <w:sz w:val="16"/>
                <w:szCs w:val="16"/>
              </w:rPr>
            </w:pPr>
          </w:p>
        </w:tc>
        <w:tc>
          <w:tcPr>
            <w:tcW w:w="735" w:type="pct"/>
            <w:tcBorders>
              <w:top w:val="nil"/>
              <w:left w:val="nil"/>
              <w:bottom w:val="single" w:sz="4" w:space="0" w:color="auto"/>
              <w:right w:val="nil"/>
            </w:tcBorders>
            <w:shd w:val="clear" w:color="auto" w:fill="auto"/>
            <w:vAlign w:val="center"/>
            <w:hideMark/>
          </w:tcPr>
          <w:p w14:paraId="51EEB2E0"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30/06/2022</w:t>
            </w:r>
          </w:p>
        </w:tc>
        <w:tc>
          <w:tcPr>
            <w:tcW w:w="682" w:type="pct"/>
            <w:tcBorders>
              <w:top w:val="nil"/>
              <w:left w:val="nil"/>
              <w:bottom w:val="single" w:sz="4" w:space="0" w:color="auto"/>
              <w:right w:val="nil"/>
            </w:tcBorders>
            <w:shd w:val="clear" w:color="auto" w:fill="auto"/>
            <w:noWrap/>
            <w:vAlign w:val="center"/>
            <w:hideMark/>
          </w:tcPr>
          <w:p w14:paraId="4D512FAA"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VARIAÇÃO</w:t>
            </w:r>
          </w:p>
        </w:tc>
        <w:tc>
          <w:tcPr>
            <w:tcW w:w="735" w:type="pct"/>
            <w:tcBorders>
              <w:top w:val="nil"/>
              <w:left w:val="nil"/>
              <w:bottom w:val="single" w:sz="4" w:space="0" w:color="auto"/>
              <w:right w:val="nil"/>
            </w:tcBorders>
            <w:shd w:val="clear" w:color="auto" w:fill="auto"/>
            <w:vAlign w:val="center"/>
            <w:hideMark/>
          </w:tcPr>
          <w:p w14:paraId="3E9E6300"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30/09/2022</w:t>
            </w:r>
          </w:p>
        </w:tc>
      </w:tr>
      <w:tr w:rsidR="000E693F" w:rsidRPr="000E693F" w14:paraId="01ED3EEF" w14:textId="77777777" w:rsidTr="00881862">
        <w:trPr>
          <w:trHeight w:hRule="exact" w:val="113"/>
          <w:jc w:val="center"/>
        </w:trPr>
        <w:tc>
          <w:tcPr>
            <w:tcW w:w="1062" w:type="pct"/>
            <w:tcBorders>
              <w:top w:val="nil"/>
              <w:left w:val="nil"/>
              <w:bottom w:val="nil"/>
              <w:right w:val="nil"/>
            </w:tcBorders>
            <w:shd w:val="clear" w:color="auto" w:fill="auto"/>
            <w:noWrap/>
            <w:vAlign w:val="center"/>
            <w:hideMark/>
          </w:tcPr>
          <w:p w14:paraId="05E00C46" w14:textId="77777777" w:rsidR="008B1B72" w:rsidRPr="000E693F" w:rsidRDefault="008B1B72" w:rsidP="007D40EC">
            <w:pPr>
              <w:rPr>
                <w:sz w:val="16"/>
                <w:szCs w:val="16"/>
              </w:rPr>
            </w:pPr>
          </w:p>
        </w:tc>
        <w:tc>
          <w:tcPr>
            <w:tcW w:w="1785" w:type="pct"/>
            <w:tcBorders>
              <w:top w:val="nil"/>
              <w:left w:val="nil"/>
              <w:bottom w:val="nil"/>
              <w:right w:val="nil"/>
            </w:tcBorders>
            <w:shd w:val="clear" w:color="auto" w:fill="auto"/>
            <w:noWrap/>
            <w:vAlign w:val="center"/>
            <w:hideMark/>
          </w:tcPr>
          <w:p w14:paraId="7F439871" w14:textId="77777777" w:rsidR="008B1B72" w:rsidRPr="000E693F" w:rsidRDefault="008B1B72" w:rsidP="007D40EC">
            <w:pPr>
              <w:rPr>
                <w:sz w:val="16"/>
                <w:szCs w:val="16"/>
              </w:rPr>
            </w:pPr>
          </w:p>
        </w:tc>
        <w:tc>
          <w:tcPr>
            <w:tcW w:w="735" w:type="pct"/>
            <w:tcBorders>
              <w:top w:val="nil"/>
              <w:left w:val="nil"/>
              <w:bottom w:val="nil"/>
              <w:right w:val="nil"/>
            </w:tcBorders>
            <w:shd w:val="clear" w:color="auto" w:fill="auto"/>
            <w:noWrap/>
            <w:vAlign w:val="center"/>
            <w:hideMark/>
          </w:tcPr>
          <w:p w14:paraId="5F3C1E09" w14:textId="77777777" w:rsidR="008B1B72" w:rsidRPr="000E693F" w:rsidRDefault="008B1B72" w:rsidP="00881862">
            <w:pPr>
              <w:jc w:val="right"/>
              <w:rPr>
                <w:sz w:val="16"/>
                <w:szCs w:val="16"/>
              </w:rPr>
            </w:pPr>
          </w:p>
        </w:tc>
        <w:tc>
          <w:tcPr>
            <w:tcW w:w="682" w:type="pct"/>
            <w:tcBorders>
              <w:top w:val="nil"/>
              <w:left w:val="nil"/>
              <w:bottom w:val="nil"/>
              <w:right w:val="nil"/>
            </w:tcBorders>
            <w:shd w:val="clear" w:color="auto" w:fill="auto"/>
            <w:noWrap/>
            <w:vAlign w:val="center"/>
            <w:hideMark/>
          </w:tcPr>
          <w:p w14:paraId="20592A32" w14:textId="77777777" w:rsidR="008B1B72" w:rsidRPr="000E693F" w:rsidRDefault="008B1B72" w:rsidP="00881862">
            <w:pPr>
              <w:jc w:val="right"/>
              <w:rPr>
                <w:sz w:val="16"/>
                <w:szCs w:val="16"/>
              </w:rPr>
            </w:pPr>
          </w:p>
        </w:tc>
        <w:tc>
          <w:tcPr>
            <w:tcW w:w="735" w:type="pct"/>
            <w:tcBorders>
              <w:top w:val="nil"/>
              <w:left w:val="nil"/>
              <w:bottom w:val="nil"/>
              <w:right w:val="nil"/>
            </w:tcBorders>
            <w:shd w:val="clear" w:color="auto" w:fill="auto"/>
            <w:noWrap/>
            <w:vAlign w:val="center"/>
            <w:hideMark/>
          </w:tcPr>
          <w:p w14:paraId="17B47B5C" w14:textId="77777777" w:rsidR="008B1B72" w:rsidRPr="000E693F" w:rsidRDefault="008B1B72" w:rsidP="00881862">
            <w:pPr>
              <w:jc w:val="right"/>
              <w:rPr>
                <w:sz w:val="16"/>
                <w:szCs w:val="16"/>
              </w:rPr>
            </w:pPr>
          </w:p>
        </w:tc>
      </w:tr>
      <w:tr w:rsidR="000E693F" w:rsidRPr="000E693F" w14:paraId="76A0BA55"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05940762" w14:textId="77777777" w:rsidR="008B1B72" w:rsidRPr="000E693F" w:rsidRDefault="008B1B72" w:rsidP="007D40EC">
            <w:pPr>
              <w:rPr>
                <w:rFonts w:ascii="Calibri" w:hAnsi="Calibri" w:cs="Calibri"/>
                <w:b/>
                <w:bCs/>
                <w:sz w:val="16"/>
                <w:szCs w:val="16"/>
              </w:rPr>
            </w:pPr>
            <w:r w:rsidRPr="000E693F">
              <w:rPr>
                <w:rFonts w:ascii="Calibri" w:hAnsi="Calibri" w:cs="Calibri"/>
                <w:b/>
                <w:bCs/>
                <w:sz w:val="16"/>
                <w:szCs w:val="16"/>
              </w:rPr>
              <w:t>Circulante</w:t>
            </w:r>
          </w:p>
        </w:tc>
        <w:tc>
          <w:tcPr>
            <w:tcW w:w="1785" w:type="pct"/>
            <w:tcBorders>
              <w:top w:val="nil"/>
              <w:left w:val="nil"/>
              <w:bottom w:val="nil"/>
              <w:right w:val="nil"/>
            </w:tcBorders>
            <w:shd w:val="clear" w:color="auto" w:fill="auto"/>
            <w:noWrap/>
            <w:vAlign w:val="center"/>
            <w:hideMark/>
          </w:tcPr>
          <w:p w14:paraId="1AEBE2B1" w14:textId="77777777" w:rsidR="008B1B72" w:rsidRPr="000E693F" w:rsidRDefault="008B1B72" w:rsidP="007D40EC">
            <w:pPr>
              <w:rPr>
                <w:rFonts w:ascii="Calibri" w:hAnsi="Calibri" w:cs="Calibri"/>
                <w:b/>
                <w:bCs/>
                <w:sz w:val="16"/>
                <w:szCs w:val="16"/>
              </w:rPr>
            </w:pPr>
          </w:p>
        </w:tc>
        <w:tc>
          <w:tcPr>
            <w:tcW w:w="735" w:type="pct"/>
            <w:tcBorders>
              <w:top w:val="nil"/>
              <w:left w:val="nil"/>
              <w:bottom w:val="nil"/>
              <w:right w:val="nil"/>
            </w:tcBorders>
            <w:shd w:val="clear" w:color="auto" w:fill="auto"/>
            <w:noWrap/>
            <w:vAlign w:val="center"/>
            <w:hideMark/>
          </w:tcPr>
          <w:p w14:paraId="66647196" w14:textId="77777777" w:rsidR="008B1B72" w:rsidRPr="000E693F" w:rsidRDefault="008B1B72" w:rsidP="00881862">
            <w:pPr>
              <w:jc w:val="right"/>
              <w:rPr>
                <w:sz w:val="16"/>
                <w:szCs w:val="16"/>
              </w:rPr>
            </w:pPr>
          </w:p>
        </w:tc>
        <w:tc>
          <w:tcPr>
            <w:tcW w:w="682" w:type="pct"/>
            <w:tcBorders>
              <w:top w:val="nil"/>
              <w:left w:val="nil"/>
              <w:bottom w:val="nil"/>
              <w:right w:val="nil"/>
            </w:tcBorders>
            <w:shd w:val="clear" w:color="auto" w:fill="auto"/>
            <w:noWrap/>
            <w:vAlign w:val="center"/>
            <w:hideMark/>
          </w:tcPr>
          <w:p w14:paraId="36667B85" w14:textId="77777777" w:rsidR="008B1B72" w:rsidRPr="000E693F" w:rsidRDefault="008B1B72" w:rsidP="00881862">
            <w:pPr>
              <w:jc w:val="right"/>
              <w:rPr>
                <w:sz w:val="16"/>
                <w:szCs w:val="16"/>
              </w:rPr>
            </w:pPr>
          </w:p>
        </w:tc>
        <w:tc>
          <w:tcPr>
            <w:tcW w:w="735" w:type="pct"/>
            <w:tcBorders>
              <w:top w:val="nil"/>
              <w:left w:val="nil"/>
              <w:bottom w:val="nil"/>
              <w:right w:val="nil"/>
            </w:tcBorders>
            <w:shd w:val="clear" w:color="auto" w:fill="auto"/>
            <w:noWrap/>
            <w:vAlign w:val="center"/>
            <w:hideMark/>
          </w:tcPr>
          <w:p w14:paraId="149D6E64" w14:textId="77777777" w:rsidR="008B1B72" w:rsidRPr="000E693F" w:rsidRDefault="008B1B72" w:rsidP="00881862">
            <w:pPr>
              <w:jc w:val="right"/>
              <w:rPr>
                <w:sz w:val="16"/>
                <w:szCs w:val="16"/>
              </w:rPr>
            </w:pPr>
          </w:p>
        </w:tc>
      </w:tr>
      <w:tr w:rsidR="000E693F" w:rsidRPr="000E693F" w14:paraId="45D37177"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65C8AA62" w14:textId="77777777" w:rsidR="008B1B72" w:rsidRPr="000E693F" w:rsidRDefault="008B1B72" w:rsidP="007D40EC">
            <w:pPr>
              <w:rPr>
                <w:sz w:val="16"/>
                <w:szCs w:val="16"/>
              </w:rPr>
            </w:pPr>
          </w:p>
        </w:tc>
        <w:tc>
          <w:tcPr>
            <w:tcW w:w="1785" w:type="pct"/>
            <w:tcBorders>
              <w:top w:val="nil"/>
              <w:left w:val="nil"/>
              <w:bottom w:val="nil"/>
              <w:right w:val="nil"/>
            </w:tcBorders>
            <w:shd w:val="clear" w:color="auto" w:fill="auto"/>
            <w:noWrap/>
            <w:vAlign w:val="center"/>
            <w:hideMark/>
          </w:tcPr>
          <w:p w14:paraId="5E3D4DC3"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Caixa e equivalentes de caixa</w:t>
            </w:r>
          </w:p>
        </w:tc>
        <w:tc>
          <w:tcPr>
            <w:tcW w:w="735" w:type="pct"/>
            <w:tcBorders>
              <w:top w:val="nil"/>
              <w:left w:val="nil"/>
              <w:bottom w:val="nil"/>
              <w:right w:val="nil"/>
            </w:tcBorders>
            <w:shd w:val="clear" w:color="auto" w:fill="auto"/>
            <w:noWrap/>
            <w:vAlign w:val="center"/>
            <w:hideMark/>
          </w:tcPr>
          <w:p w14:paraId="70DD1BB6"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53.841.126 </w:t>
            </w:r>
          </w:p>
        </w:tc>
        <w:tc>
          <w:tcPr>
            <w:tcW w:w="682" w:type="pct"/>
            <w:tcBorders>
              <w:top w:val="nil"/>
              <w:left w:val="nil"/>
              <w:bottom w:val="nil"/>
              <w:right w:val="nil"/>
            </w:tcBorders>
            <w:shd w:val="clear" w:color="auto" w:fill="auto"/>
            <w:noWrap/>
            <w:vAlign w:val="center"/>
            <w:hideMark/>
          </w:tcPr>
          <w:p w14:paraId="6D7D0834"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22.795.969 </w:t>
            </w:r>
          </w:p>
        </w:tc>
        <w:tc>
          <w:tcPr>
            <w:tcW w:w="735" w:type="pct"/>
            <w:tcBorders>
              <w:top w:val="nil"/>
              <w:left w:val="nil"/>
              <w:bottom w:val="nil"/>
              <w:right w:val="nil"/>
            </w:tcBorders>
            <w:shd w:val="clear" w:color="auto" w:fill="auto"/>
            <w:noWrap/>
            <w:vAlign w:val="center"/>
            <w:hideMark/>
          </w:tcPr>
          <w:p w14:paraId="70B0B317"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76.637.095 </w:t>
            </w:r>
          </w:p>
        </w:tc>
      </w:tr>
      <w:tr w:rsidR="000E693F" w:rsidRPr="000E693F" w14:paraId="472E496F"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5BB4C2A9" w14:textId="77777777" w:rsidR="008B1B72" w:rsidRPr="000E693F" w:rsidRDefault="008B1B72" w:rsidP="007D40EC">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409CC4D5"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Créditos a receber</w:t>
            </w:r>
          </w:p>
        </w:tc>
        <w:tc>
          <w:tcPr>
            <w:tcW w:w="735" w:type="pct"/>
            <w:tcBorders>
              <w:top w:val="nil"/>
              <w:left w:val="nil"/>
              <w:bottom w:val="nil"/>
              <w:right w:val="nil"/>
            </w:tcBorders>
            <w:shd w:val="clear" w:color="auto" w:fill="auto"/>
            <w:noWrap/>
            <w:vAlign w:val="center"/>
            <w:hideMark/>
          </w:tcPr>
          <w:p w14:paraId="5937E762"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   </w:t>
            </w:r>
          </w:p>
        </w:tc>
        <w:tc>
          <w:tcPr>
            <w:tcW w:w="682" w:type="pct"/>
            <w:tcBorders>
              <w:top w:val="nil"/>
              <w:left w:val="nil"/>
              <w:bottom w:val="nil"/>
              <w:right w:val="nil"/>
            </w:tcBorders>
            <w:shd w:val="clear" w:color="auto" w:fill="auto"/>
            <w:noWrap/>
            <w:vAlign w:val="center"/>
            <w:hideMark/>
          </w:tcPr>
          <w:p w14:paraId="50B489CB"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   </w:t>
            </w:r>
          </w:p>
        </w:tc>
        <w:tc>
          <w:tcPr>
            <w:tcW w:w="735" w:type="pct"/>
            <w:tcBorders>
              <w:top w:val="nil"/>
              <w:left w:val="nil"/>
              <w:bottom w:val="nil"/>
              <w:right w:val="nil"/>
            </w:tcBorders>
            <w:shd w:val="clear" w:color="auto" w:fill="auto"/>
            <w:noWrap/>
            <w:vAlign w:val="center"/>
            <w:hideMark/>
          </w:tcPr>
          <w:p w14:paraId="39171FDE"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   </w:t>
            </w:r>
          </w:p>
        </w:tc>
      </w:tr>
      <w:tr w:rsidR="000E693F" w:rsidRPr="000E693F" w14:paraId="3B7C2BDF"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55C41398" w14:textId="77777777" w:rsidR="008B1B72" w:rsidRPr="000E693F" w:rsidRDefault="008B1B72" w:rsidP="007D40EC">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5E309A1D"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Acordo de Parceria</w:t>
            </w:r>
          </w:p>
        </w:tc>
        <w:tc>
          <w:tcPr>
            <w:tcW w:w="735" w:type="pct"/>
            <w:tcBorders>
              <w:top w:val="nil"/>
              <w:left w:val="nil"/>
              <w:bottom w:val="nil"/>
              <w:right w:val="nil"/>
            </w:tcBorders>
            <w:shd w:val="clear" w:color="auto" w:fill="auto"/>
            <w:noWrap/>
            <w:vAlign w:val="center"/>
            <w:hideMark/>
          </w:tcPr>
          <w:p w14:paraId="099539F5"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15.201.462 </w:t>
            </w:r>
          </w:p>
        </w:tc>
        <w:tc>
          <w:tcPr>
            <w:tcW w:w="682" w:type="pct"/>
            <w:tcBorders>
              <w:top w:val="nil"/>
              <w:left w:val="nil"/>
              <w:bottom w:val="nil"/>
              <w:right w:val="nil"/>
            </w:tcBorders>
            <w:shd w:val="clear" w:color="auto" w:fill="auto"/>
            <w:noWrap/>
            <w:vAlign w:val="center"/>
            <w:hideMark/>
          </w:tcPr>
          <w:p w14:paraId="3CDD234D"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(2.208.170)</w:t>
            </w:r>
          </w:p>
        </w:tc>
        <w:tc>
          <w:tcPr>
            <w:tcW w:w="735" w:type="pct"/>
            <w:tcBorders>
              <w:top w:val="nil"/>
              <w:left w:val="nil"/>
              <w:bottom w:val="nil"/>
              <w:right w:val="nil"/>
            </w:tcBorders>
            <w:shd w:val="clear" w:color="auto" w:fill="auto"/>
            <w:noWrap/>
            <w:vAlign w:val="center"/>
            <w:hideMark/>
          </w:tcPr>
          <w:p w14:paraId="0AA01CC3"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12.993.292 </w:t>
            </w:r>
          </w:p>
        </w:tc>
      </w:tr>
      <w:tr w:rsidR="000E693F" w:rsidRPr="000E693F" w14:paraId="78F02077"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25ABEB58" w14:textId="77777777" w:rsidR="008B1B72" w:rsidRPr="000E693F" w:rsidRDefault="008B1B72" w:rsidP="007D40EC">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4F7066EF"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Tributos a recuperar</w:t>
            </w:r>
          </w:p>
        </w:tc>
        <w:tc>
          <w:tcPr>
            <w:tcW w:w="735" w:type="pct"/>
            <w:tcBorders>
              <w:top w:val="nil"/>
              <w:left w:val="nil"/>
              <w:bottom w:val="nil"/>
              <w:right w:val="nil"/>
            </w:tcBorders>
            <w:shd w:val="clear" w:color="auto" w:fill="auto"/>
            <w:noWrap/>
            <w:vAlign w:val="center"/>
            <w:hideMark/>
          </w:tcPr>
          <w:p w14:paraId="2629C21B"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1.237.635 </w:t>
            </w:r>
          </w:p>
        </w:tc>
        <w:tc>
          <w:tcPr>
            <w:tcW w:w="682" w:type="pct"/>
            <w:tcBorders>
              <w:top w:val="nil"/>
              <w:left w:val="nil"/>
              <w:bottom w:val="nil"/>
              <w:right w:val="nil"/>
            </w:tcBorders>
            <w:shd w:val="clear" w:color="auto" w:fill="auto"/>
            <w:noWrap/>
            <w:vAlign w:val="center"/>
            <w:hideMark/>
          </w:tcPr>
          <w:p w14:paraId="2B085323"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(1.236.819)</w:t>
            </w:r>
          </w:p>
        </w:tc>
        <w:tc>
          <w:tcPr>
            <w:tcW w:w="735" w:type="pct"/>
            <w:tcBorders>
              <w:top w:val="nil"/>
              <w:left w:val="nil"/>
              <w:bottom w:val="nil"/>
              <w:right w:val="nil"/>
            </w:tcBorders>
            <w:shd w:val="clear" w:color="auto" w:fill="auto"/>
            <w:noWrap/>
            <w:vAlign w:val="center"/>
            <w:hideMark/>
          </w:tcPr>
          <w:p w14:paraId="796A2A92"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816 </w:t>
            </w:r>
          </w:p>
        </w:tc>
      </w:tr>
      <w:tr w:rsidR="000E693F" w:rsidRPr="000E693F" w14:paraId="1C8C70C5"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2F1A7822" w14:textId="77777777" w:rsidR="008B1B72" w:rsidRPr="000E693F" w:rsidRDefault="008B1B72" w:rsidP="007D40EC">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257F706B"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Adiantamento a empregados</w:t>
            </w:r>
          </w:p>
        </w:tc>
        <w:tc>
          <w:tcPr>
            <w:tcW w:w="735" w:type="pct"/>
            <w:tcBorders>
              <w:top w:val="nil"/>
              <w:left w:val="nil"/>
              <w:bottom w:val="nil"/>
              <w:right w:val="nil"/>
            </w:tcBorders>
            <w:shd w:val="clear" w:color="auto" w:fill="auto"/>
            <w:noWrap/>
            <w:vAlign w:val="center"/>
            <w:hideMark/>
          </w:tcPr>
          <w:p w14:paraId="250877F6"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1.041.990 </w:t>
            </w:r>
          </w:p>
        </w:tc>
        <w:tc>
          <w:tcPr>
            <w:tcW w:w="682" w:type="pct"/>
            <w:tcBorders>
              <w:top w:val="nil"/>
              <w:left w:val="nil"/>
              <w:bottom w:val="nil"/>
              <w:right w:val="nil"/>
            </w:tcBorders>
            <w:shd w:val="clear" w:color="auto" w:fill="auto"/>
            <w:noWrap/>
            <w:vAlign w:val="center"/>
            <w:hideMark/>
          </w:tcPr>
          <w:p w14:paraId="50EEEFF5"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(192.559)</w:t>
            </w:r>
          </w:p>
        </w:tc>
        <w:tc>
          <w:tcPr>
            <w:tcW w:w="735" w:type="pct"/>
            <w:tcBorders>
              <w:top w:val="nil"/>
              <w:left w:val="nil"/>
              <w:bottom w:val="nil"/>
              <w:right w:val="nil"/>
            </w:tcBorders>
            <w:shd w:val="clear" w:color="auto" w:fill="auto"/>
            <w:noWrap/>
            <w:vAlign w:val="center"/>
            <w:hideMark/>
          </w:tcPr>
          <w:p w14:paraId="797870CD"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849.431 </w:t>
            </w:r>
          </w:p>
        </w:tc>
      </w:tr>
      <w:tr w:rsidR="000E693F" w:rsidRPr="000E693F" w14:paraId="7D9E24B9"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52CEF8A0" w14:textId="77777777" w:rsidR="008B1B72" w:rsidRPr="000E693F" w:rsidRDefault="008B1B72" w:rsidP="007D40EC">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692501C4"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Adiantamento a fornecedores</w:t>
            </w:r>
          </w:p>
        </w:tc>
        <w:tc>
          <w:tcPr>
            <w:tcW w:w="735" w:type="pct"/>
            <w:tcBorders>
              <w:top w:val="nil"/>
              <w:left w:val="nil"/>
              <w:bottom w:val="nil"/>
              <w:right w:val="nil"/>
            </w:tcBorders>
            <w:shd w:val="clear" w:color="auto" w:fill="auto"/>
            <w:noWrap/>
            <w:vAlign w:val="center"/>
            <w:hideMark/>
          </w:tcPr>
          <w:p w14:paraId="4BC1AEC5"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14.811 </w:t>
            </w:r>
          </w:p>
        </w:tc>
        <w:tc>
          <w:tcPr>
            <w:tcW w:w="682" w:type="pct"/>
            <w:tcBorders>
              <w:top w:val="nil"/>
              <w:left w:val="nil"/>
              <w:bottom w:val="nil"/>
              <w:right w:val="nil"/>
            </w:tcBorders>
            <w:shd w:val="clear" w:color="auto" w:fill="auto"/>
            <w:noWrap/>
            <w:vAlign w:val="center"/>
            <w:hideMark/>
          </w:tcPr>
          <w:p w14:paraId="605A8AFD"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(14.811)</w:t>
            </w:r>
          </w:p>
        </w:tc>
        <w:tc>
          <w:tcPr>
            <w:tcW w:w="735" w:type="pct"/>
            <w:tcBorders>
              <w:top w:val="nil"/>
              <w:left w:val="nil"/>
              <w:bottom w:val="nil"/>
              <w:right w:val="nil"/>
            </w:tcBorders>
            <w:shd w:val="clear" w:color="auto" w:fill="auto"/>
            <w:noWrap/>
            <w:vAlign w:val="center"/>
            <w:hideMark/>
          </w:tcPr>
          <w:p w14:paraId="0C92FA6F"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   </w:t>
            </w:r>
          </w:p>
        </w:tc>
      </w:tr>
      <w:tr w:rsidR="000E693F" w:rsidRPr="000E693F" w14:paraId="4A6A8C4D"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36F3DA73" w14:textId="77777777" w:rsidR="008B1B72" w:rsidRPr="000E693F" w:rsidRDefault="008B1B72" w:rsidP="007D40EC">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44103064"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Estoques</w:t>
            </w:r>
          </w:p>
        </w:tc>
        <w:tc>
          <w:tcPr>
            <w:tcW w:w="735" w:type="pct"/>
            <w:tcBorders>
              <w:top w:val="nil"/>
              <w:left w:val="nil"/>
              <w:bottom w:val="nil"/>
              <w:right w:val="nil"/>
            </w:tcBorders>
            <w:shd w:val="clear" w:color="auto" w:fill="auto"/>
            <w:noWrap/>
            <w:vAlign w:val="center"/>
            <w:hideMark/>
          </w:tcPr>
          <w:p w14:paraId="3C1D3229"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485.615 </w:t>
            </w:r>
          </w:p>
        </w:tc>
        <w:tc>
          <w:tcPr>
            <w:tcW w:w="682" w:type="pct"/>
            <w:tcBorders>
              <w:top w:val="nil"/>
              <w:left w:val="nil"/>
              <w:bottom w:val="nil"/>
              <w:right w:val="nil"/>
            </w:tcBorders>
            <w:shd w:val="clear" w:color="auto" w:fill="auto"/>
            <w:noWrap/>
            <w:vAlign w:val="center"/>
            <w:hideMark/>
          </w:tcPr>
          <w:p w14:paraId="471A33D3"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(209.662)</w:t>
            </w:r>
          </w:p>
        </w:tc>
        <w:tc>
          <w:tcPr>
            <w:tcW w:w="735" w:type="pct"/>
            <w:tcBorders>
              <w:top w:val="nil"/>
              <w:left w:val="nil"/>
              <w:bottom w:val="nil"/>
              <w:right w:val="nil"/>
            </w:tcBorders>
            <w:shd w:val="clear" w:color="auto" w:fill="auto"/>
            <w:noWrap/>
            <w:vAlign w:val="center"/>
            <w:hideMark/>
          </w:tcPr>
          <w:p w14:paraId="5342F2D4"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275.953 </w:t>
            </w:r>
          </w:p>
        </w:tc>
      </w:tr>
      <w:tr w:rsidR="000E693F" w:rsidRPr="000E693F" w14:paraId="3E3A2CF1"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74954547" w14:textId="77777777" w:rsidR="008B1B72" w:rsidRPr="000E693F" w:rsidRDefault="008B1B72" w:rsidP="007D40EC">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1D8FB6CC"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Despesas antecipadas</w:t>
            </w:r>
          </w:p>
        </w:tc>
        <w:tc>
          <w:tcPr>
            <w:tcW w:w="735" w:type="pct"/>
            <w:tcBorders>
              <w:top w:val="nil"/>
              <w:left w:val="nil"/>
              <w:bottom w:val="nil"/>
              <w:right w:val="nil"/>
            </w:tcBorders>
            <w:shd w:val="clear" w:color="auto" w:fill="auto"/>
            <w:noWrap/>
            <w:vAlign w:val="center"/>
            <w:hideMark/>
          </w:tcPr>
          <w:p w14:paraId="2D646948"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921.736 </w:t>
            </w:r>
          </w:p>
        </w:tc>
        <w:tc>
          <w:tcPr>
            <w:tcW w:w="682" w:type="pct"/>
            <w:tcBorders>
              <w:top w:val="nil"/>
              <w:left w:val="nil"/>
              <w:bottom w:val="nil"/>
              <w:right w:val="nil"/>
            </w:tcBorders>
            <w:shd w:val="clear" w:color="auto" w:fill="auto"/>
            <w:noWrap/>
            <w:vAlign w:val="center"/>
            <w:hideMark/>
          </w:tcPr>
          <w:p w14:paraId="0027B957"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(121.405)</w:t>
            </w:r>
          </w:p>
        </w:tc>
        <w:tc>
          <w:tcPr>
            <w:tcW w:w="735" w:type="pct"/>
            <w:tcBorders>
              <w:top w:val="nil"/>
              <w:left w:val="nil"/>
              <w:bottom w:val="nil"/>
              <w:right w:val="nil"/>
            </w:tcBorders>
            <w:shd w:val="clear" w:color="auto" w:fill="auto"/>
            <w:noWrap/>
            <w:vAlign w:val="center"/>
            <w:hideMark/>
          </w:tcPr>
          <w:p w14:paraId="0EFDEB57"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800.331 </w:t>
            </w:r>
          </w:p>
        </w:tc>
      </w:tr>
      <w:tr w:rsidR="000E693F" w:rsidRPr="000E693F" w14:paraId="32B78C34"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58DAF492" w14:textId="77777777" w:rsidR="008B1B72" w:rsidRPr="000E693F" w:rsidRDefault="008B1B72" w:rsidP="007D40EC">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62E55AFB" w14:textId="77777777" w:rsidR="008B1B72" w:rsidRPr="000E693F" w:rsidRDefault="008B1B72" w:rsidP="007D40EC">
            <w:pPr>
              <w:rPr>
                <w:sz w:val="16"/>
                <w:szCs w:val="16"/>
              </w:rPr>
            </w:pPr>
          </w:p>
        </w:tc>
        <w:tc>
          <w:tcPr>
            <w:tcW w:w="735" w:type="pct"/>
            <w:tcBorders>
              <w:top w:val="nil"/>
              <w:left w:val="nil"/>
              <w:bottom w:val="nil"/>
              <w:right w:val="nil"/>
            </w:tcBorders>
            <w:shd w:val="clear" w:color="auto" w:fill="auto"/>
            <w:noWrap/>
            <w:vAlign w:val="center"/>
            <w:hideMark/>
          </w:tcPr>
          <w:p w14:paraId="13E03623" w14:textId="77777777" w:rsidR="008B1B72" w:rsidRPr="000E693F" w:rsidRDefault="008B1B72" w:rsidP="00881862">
            <w:pPr>
              <w:jc w:val="right"/>
              <w:rPr>
                <w:sz w:val="16"/>
                <w:szCs w:val="16"/>
              </w:rPr>
            </w:pPr>
          </w:p>
        </w:tc>
        <w:tc>
          <w:tcPr>
            <w:tcW w:w="682" w:type="pct"/>
            <w:tcBorders>
              <w:top w:val="nil"/>
              <w:left w:val="nil"/>
              <w:bottom w:val="nil"/>
              <w:right w:val="nil"/>
            </w:tcBorders>
            <w:shd w:val="clear" w:color="auto" w:fill="auto"/>
            <w:noWrap/>
            <w:vAlign w:val="center"/>
            <w:hideMark/>
          </w:tcPr>
          <w:p w14:paraId="1B89A639" w14:textId="77777777" w:rsidR="008B1B72" w:rsidRPr="000E693F" w:rsidRDefault="008B1B72" w:rsidP="00881862">
            <w:pPr>
              <w:jc w:val="right"/>
              <w:rPr>
                <w:sz w:val="16"/>
                <w:szCs w:val="16"/>
              </w:rPr>
            </w:pPr>
          </w:p>
        </w:tc>
        <w:tc>
          <w:tcPr>
            <w:tcW w:w="735" w:type="pct"/>
            <w:tcBorders>
              <w:top w:val="nil"/>
              <w:left w:val="nil"/>
              <w:bottom w:val="nil"/>
              <w:right w:val="nil"/>
            </w:tcBorders>
            <w:shd w:val="clear" w:color="auto" w:fill="auto"/>
            <w:noWrap/>
            <w:vAlign w:val="center"/>
            <w:hideMark/>
          </w:tcPr>
          <w:p w14:paraId="0ABA9374" w14:textId="77777777" w:rsidR="008B1B72" w:rsidRPr="000E693F" w:rsidRDefault="008B1B72" w:rsidP="00881862">
            <w:pPr>
              <w:jc w:val="right"/>
              <w:rPr>
                <w:sz w:val="16"/>
                <w:szCs w:val="16"/>
              </w:rPr>
            </w:pPr>
          </w:p>
        </w:tc>
      </w:tr>
      <w:tr w:rsidR="000E693F" w:rsidRPr="000E693F" w14:paraId="6FE5997D"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2A77F223" w14:textId="77777777" w:rsidR="008B1B72" w:rsidRPr="000E693F" w:rsidRDefault="008B1B72" w:rsidP="007D40EC">
            <w:pPr>
              <w:rPr>
                <w:rFonts w:ascii="Calibri" w:hAnsi="Calibri" w:cs="Calibri"/>
                <w:b/>
                <w:bCs/>
                <w:sz w:val="16"/>
                <w:szCs w:val="16"/>
              </w:rPr>
            </w:pPr>
            <w:r w:rsidRPr="000E693F">
              <w:rPr>
                <w:rFonts w:ascii="Calibri" w:hAnsi="Calibri" w:cs="Calibri"/>
                <w:b/>
                <w:bCs/>
                <w:sz w:val="16"/>
                <w:szCs w:val="16"/>
              </w:rPr>
              <w:t>Total Circulante</w:t>
            </w:r>
          </w:p>
        </w:tc>
        <w:tc>
          <w:tcPr>
            <w:tcW w:w="1785" w:type="pct"/>
            <w:tcBorders>
              <w:top w:val="nil"/>
              <w:left w:val="nil"/>
              <w:bottom w:val="nil"/>
              <w:right w:val="nil"/>
            </w:tcBorders>
            <w:shd w:val="clear" w:color="auto" w:fill="auto"/>
            <w:noWrap/>
            <w:vAlign w:val="center"/>
            <w:hideMark/>
          </w:tcPr>
          <w:p w14:paraId="5690E3D5" w14:textId="77777777" w:rsidR="008B1B72" w:rsidRPr="000E693F" w:rsidRDefault="008B1B72" w:rsidP="007D40EC">
            <w:pPr>
              <w:rPr>
                <w:rFonts w:ascii="Calibri" w:hAnsi="Calibri" w:cs="Calibri"/>
                <w:b/>
                <w:bCs/>
                <w:sz w:val="16"/>
                <w:szCs w:val="16"/>
              </w:rPr>
            </w:pPr>
          </w:p>
        </w:tc>
        <w:tc>
          <w:tcPr>
            <w:tcW w:w="735" w:type="pct"/>
            <w:tcBorders>
              <w:top w:val="single" w:sz="4" w:space="0" w:color="AEAAAA"/>
              <w:left w:val="nil"/>
              <w:bottom w:val="single" w:sz="4" w:space="0" w:color="auto"/>
              <w:right w:val="nil"/>
            </w:tcBorders>
            <w:shd w:val="clear" w:color="auto" w:fill="auto"/>
            <w:noWrap/>
            <w:vAlign w:val="center"/>
            <w:hideMark/>
          </w:tcPr>
          <w:p w14:paraId="0F814849"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 xml:space="preserve">    72.744.375 </w:t>
            </w:r>
          </w:p>
        </w:tc>
        <w:tc>
          <w:tcPr>
            <w:tcW w:w="682" w:type="pct"/>
            <w:tcBorders>
              <w:top w:val="nil"/>
              <w:left w:val="nil"/>
              <w:bottom w:val="nil"/>
              <w:right w:val="nil"/>
            </w:tcBorders>
            <w:shd w:val="clear" w:color="auto" w:fill="auto"/>
            <w:noWrap/>
            <w:vAlign w:val="center"/>
            <w:hideMark/>
          </w:tcPr>
          <w:p w14:paraId="6DBECD31" w14:textId="77777777" w:rsidR="008B1B72" w:rsidRPr="000E693F" w:rsidRDefault="008B1B72" w:rsidP="00881862">
            <w:pPr>
              <w:jc w:val="right"/>
              <w:rPr>
                <w:rFonts w:ascii="Calibri" w:hAnsi="Calibri" w:cs="Calibri"/>
                <w:b/>
                <w:bCs/>
                <w:sz w:val="16"/>
                <w:szCs w:val="16"/>
              </w:rPr>
            </w:pPr>
            <w:r w:rsidRPr="000E693F">
              <w:rPr>
                <w:rFonts w:ascii="Calibri" w:hAnsi="Calibri" w:cs="Calibri"/>
                <w:sz w:val="16"/>
                <w:szCs w:val="16"/>
              </w:rPr>
              <w:t xml:space="preserve">  </w:t>
            </w:r>
            <w:r w:rsidRPr="000E693F">
              <w:rPr>
                <w:rFonts w:ascii="Calibri" w:hAnsi="Calibri" w:cs="Calibri"/>
                <w:b/>
                <w:bCs/>
                <w:sz w:val="16"/>
                <w:szCs w:val="16"/>
              </w:rPr>
              <w:t xml:space="preserve">18.812.543 </w:t>
            </w:r>
          </w:p>
        </w:tc>
        <w:tc>
          <w:tcPr>
            <w:tcW w:w="735" w:type="pct"/>
            <w:tcBorders>
              <w:top w:val="single" w:sz="4" w:space="0" w:color="AEAAAA"/>
              <w:left w:val="nil"/>
              <w:bottom w:val="single" w:sz="4" w:space="0" w:color="auto"/>
              <w:right w:val="nil"/>
            </w:tcBorders>
            <w:shd w:val="clear" w:color="auto" w:fill="auto"/>
            <w:noWrap/>
            <w:vAlign w:val="center"/>
            <w:hideMark/>
          </w:tcPr>
          <w:p w14:paraId="4BD2C53D"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 xml:space="preserve">    91.556.918 </w:t>
            </w:r>
          </w:p>
        </w:tc>
      </w:tr>
      <w:tr w:rsidR="000E693F" w:rsidRPr="000E693F" w14:paraId="4508C39C" w14:textId="77777777" w:rsidTr="00881862">
        <w:trPr>
          <w:trHeight w:hRule="exact" w:val="113"/>
          <w:jc w:val="center"/>
        </w:trPr>
        <w:tc>
          <w:tcPr>
            <w:tcW w:w="1062" w:type="pct"/>
            <w:tcBorders>
              <w:top w:val="nil"/>
              <w:left w:val="nil"/>
              <w:bottom w:val="nil"/>
              <w:right w:val="nil"/>
            </w:tcBorders>
            <w:shd w:val="clear" w:color="auto" w:fill="auto"/>
            <w:noWrap/>
            <w:vAlign w:val="center"/>
            <w:hideMark/>
          </w:tcPr>
          <w:p w14:paraId="563E3291" w14:textId="77777777" w:rsidR="008B1B72" w:rsidRPr="000E693F" w:rsidRDefault="008B1B72" w:rsidP="007D40EC">
            <w:pPr>
              <w:rPr>
                <w:rFonts w:ascii="Calibri" w:hAnsi="Calibri" w:cs="Calibri"/>
                <w:b/>
                <w:bCs/>
                <w:sz w:val="16"/>
                <w:szCs w:val="16"/>
              </w:rPr>
            </w:pPr>
          </w:p>
        </w:tc>
        <w:tc>
          <w:tcPr>
            <w:tcW w:w="1785" w:type="pct"/>
            <w:tcBorders>
              <w:top w:val="nil"/>
              <w:left w:val="nil"/>
              <w:bottom w:val="nil"/>
              <w:right w:val="nil"/>
            </w:tcBorders>
            <w:shd w:val="clear" w:color="auto" w:fill="auto"/>
            <w:noWrap/>
            <w:vAlign w:val="center"/>
            <w:hideMark/>
          </w:tcPr>
          <w:p w14:paraId="2B26BCB8" w14:textId="77777777" w:rsidR="008B1B72" w:rsidRPr="000E693F" w:rsidRDefault="008B1B72" w:rsidP="007D40EC">
            <w:pPr>
              <w:rPr>
                <w:sz w:val="16"/>
                <w:szCs w:val="16"/>
              </w:rPr>
            </w:pPr>
          </w:p>
        </w:tc>
        <w:tc>
          <w:tcPr>
            <w:tcW w:w="735" w:type="pct"/>
            <w:tcBorders>
              <w:top w:val="nil"/>
              <w:left w:val="nil"/>
              <w:bottom w:val="nil"/>
              <w:right w:val="nil"/>
            </w:tcBorders>
            <w:shd w:val="clear" w:color="auto" w:fill="auto"/>
            <w:noWrap/>
            <w:vAlign w:val="center"/>
            <w:hideMark/>
          </w:tcPr>
          <w:p w14:paraId="0822A2BC" w14:textId="77777777" w:rsidR="008B1B72" w:rsidRPr="000E693F" w:rsidRDefault="008B1B72" w:rsidP="00881862">
            <w:pPr>
              <w:jc w:val="right"/>
              <w:rPr>
                <w:sz w:val="16"/>
                <w:szCs w:val="16"/>
              </w:rPr>
            </w:pPr>
          </w:p>
        </w:tc>
        <w:tc>
          <w:tcPr>
            <w:tcW w:w="682" w:type="pct"/>
            <w:tcBorders>
              <w:top w:val="nil"/>
              <w:left w:val="nil"/>
              <w:bottom w:val="nil"/>
              <w:right w:val="nil"/>
            </w:tcBorders>
            <w:shd w:val="clear" w:color="auto" w:fill="auto"/>
            <w:noWrap/>
            <w:vAlign w:val="center"/>
            <w:hideMark/>
          </w:tcPr>
          <w:p w14:paraId="33C9A924" w14:textId="77777777" w:rsidR="008B1B72" w:rsidRPr="000E693F" w:rsidRDefault="008B1B72" w:rsidP="00881862">
            <w:pPr>
              <w:jc w:val="right"/>
              <w:rPr>
                <w:sz w:val="16"/>
                <w:szCs w:val="16"/>
              </w:rPr>
            </w:pPr>
          </w:p>
        </w:tc>
        <w:tc>
          <w:tcPr>
            <w:tcW w:w="735" w:type="pct"/>
            <w:tcBorders>
              <w:top w:val="nil"/>
              <w:left w:val="nil"/>
              <w:bottom w:val="nil"/>
              <w:right w:val="nil"/>
            </w:tcBorders>
            <w:shd w:val="clear" w:color="auto" w:fill="auto"/>
            <w:noWrap/>
            <w:vAlign w:val="center"/>
            <w:hideMark/>
          </w:tcPr>
          <w:p w14:paraId="5A6A8F50" w14:textId="77777777" w:rsidR="008B1B72" w:rsidRPr="000E693F" w:rsidRDefault="008B1B72" w:rsidP="00881862">
            <w:pPr>
              <w:jc w:val="right"/>
              <w:rPr>
                <w:sz w:val="16"/>
                <w:szCs w:val="16"/>
              </w:rPr>
            </w:pPr>
          </w:p>
        </w:tc>
      </w:tr>
      <w:tr w:rsidR="000E693F" w:rsidRPr="000E693F" w14:paraId="47C55016"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562C4BD4" w14:textId="77777777" w:rsidR="008B1B72" w:rsidRPr="000E693F" w:rsidRDefault="008B1B72" w:rsidP="007D40EC">
            <w:pPr>
              <w:rPr>
                <w:rFonts w:ascii="Calibri" w:hAnsi="Calibri" w:cs="Calibri"/>
                <w:b/>
                <w:bCs/>
                <w:sz w:val="16"/>
                <w:szCs w:val="16"/>
              </w:rPr>
            </w:pPr>
            <w:r w:rsidRPr="000E693F">
              <w:rPr>
                <w:rFonts w:ascii="Calibri" w:hAnsi="Calibri" w:cs="Calibri"/>
                <w:b/>
                <w:bCs/>
                <w:sz w:val="16"/>
                <w:szCs w:val="16"/>
              </w:rPr>
              <w:t>Não Circulante</w:t>
            </w:r>
          </w:p>
        </w:tc>
        <w:tc>
          <w:tcPr>
            <w:tcW w:w="1785" w:type="pct"/>
            <w:tcBorders>
              <w:top w:val="nil"/>
              <w:left w:val="nil"/>
              <w:bottom w:val="nil"/>
              <w:right w:val="nil"/>
            </w:tcBorders>
            <w:shd w:val="clear" w:color="auto" w:fill="auto"/>
            <w:noWrap/>
            <w:vAlign w:val="center"/>
            <w:hideMark/>
          </w:tcPr>
          <w:p w14:paraId="7C65EB0A" w14:textId="77777777" w:rsidR="008B1B72" w:rsidRPr="000E693F" w:rsidRDefault="008B1B72" w:rsidP="007D40EC">
            <w:pPr>
              <w:rPr>
                <w:rFonts w:ascii="Calibri" w:hAnsi="Calibri" w:cs="Calibri"/>
                <w:b/>
                <w:bCs/>
                <w:sz w:val="16"/>
                <w:szCs w:val="16"/>
              </w:rPr>
            </w:pPr>
          </w:p>
        </w:tc>
        <w:tc>
          <w:tcPr>
            <w:tcW w:w="735" w:type="pct"/>
            <w:tcBorders>
              <w:top w:val="nil"/>
              <w:left w:val="nil"/>
              <w:bottom w:val="nil"/>
              <w:right w:val="nil"/>
            </w:tcBorders>
            <w:shd w:val="clear" w:color="auto" w:fill="auto"/>
            <w:noWrap/>
            <w:vAlign w:val="center"/>
            <w:hideMark/>
          </w:tcPr>
          <w:p w14:paraId="6CF6D577" w14:textId="77777777" w:rsidR="008B1B72" w:rsidRPr="000E693F" w:rsidRDefault="008B1B72" w:rsidP="00881862">
            <w:pPr>
              <w:jc w:val="right"/>
              <w:rPr>
                <w:sz w:val="16"/>
                <w:szCs w:val="16"/>
              </w:rPr>
            </w:pPr>
          </w:p>
        </w:tc>
        <w:tc>
          <w:tcPr>
            <w:tcW w:w="682" w:type="pct"/>
            <w:tcBorders>
              <w:top w:val="nil"/>
              <w:left w:val="nil"/>
              <w:bottom w:val="nil"/>
              <w:right w:val="nil"/>
            </w:tcBorders>
            <w:shd w:val="clear" w:color="auto" w:fill="auto"/>
            <w:noWrap/>
            <w:vAlign w:val="center"/>
            <w:hideMark/>
          </w:tcPr>
          <w:p w14:paraId="546839BB" w14:textId="77777777" w:rsidR="008B1B72" w:rsidRPr="000E693F" w:rsidRDefault="008B1B72" w:rsidP="00881862">
            <w:pPr>
              <w:jc w:val="right"/>
              <w:rPr>
                <w:sz w:val="16"/>
                <w:szCs w:val="16"/>
              </w:rPr>
            </w:pPr>
          </w:p>
        </w:tc>
        <w:tc>
          <w:tcPr>
            <w:tcW w:w="735" w:type="pct"/>
            <w:tcBorders>
              <w:top w:val="nil"/>
              <w:left w:val="nil"/>
              <w:bottom w:val="nil"/>
              <w:right w:val="nil"/>
            </w:tcBorders>
            <w:shd w:val="clear" w:color="auto" w:fill="auto"/>
            <w:noWrap/>
            <w:vAlign w:val="center"/>
            <w:hideMark/>
          </w:tcPr>
          <w:p w14:paraId="3D7B8C62" w14:textId="77777777" w:rsidR="008B1B72" w:rsidRPr="000E693F" w:rsidRDefault="008B1B72" w:rsidP="00881862">
            <w:pPr>
              <w:jc w:val="right"/>
              <w:rPr>
                <w:sz w:val="16"/>
                <w:szCs w:val="16"/>
              </w:rPr>
            </w:pPr>
          </w:p>
        </w:tc>
      </w:tr>
      <w:tr w:rsidR="000E693F" w:rsidRPr="000E693F" w14:paraId="7F023132"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687BDB97" w14:textId="77777777" w:rsidR="008B1B72" w:rsidRPr="000E693F" w:rsidRDefault="008B1B72" w:rsidP="007D40EC">
            <w:pPr>
              <w:rPr>
                <w:sz w:val="16"/>
                <w:szCs w:val="16"/>
              </w:rPr>
            </w:pPr>
          </w:p>
        </w:tc>
        <w:tc>
          <w:tcPr>
            <w:tcW w:w="1785" w:type="pct"/>
            <w:tcBorders>
              <w:top w:val="nil"/>
              <w:left w:val="nil"/>
              <w:bottom w:val="nil"/>
              <w:right w:val="nil"/>
            </w:tcBorders>
            <w:shd w:val="clear" w:color="auto" w:fill="auto"/>
            <w:noWrap/>
            <w:vAlign w:val="center"/>
            <w:hideMark/>
          </w:tcPr>
          <w:p w14:paraId="72A4141B"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Realizável a longo prazo</w:t>
            </w:r>
          </w:p>
        </w:tc>
        <w:tc>
          <w:tcPr>
            <w:tcW w:w="735" w:type="pct"/>
            <w:tcBorders>
              <w:top w:val="nil"/>
              <w:left w:val="nil"/>
              <w:bottom w:val="nil"/>
              <w:right w:val="nil"/>
            </w:tcBorders>
            <w:shd w:val="clear" w:color="auto" w:fill="auto"/>
            <w:noWrap/>
            <w:vAlign w:val="center"/>
            <w:hideMark/>
          </w:tcPr>
          <w:p w14:paraId="1BA4515D" w14:textId="77777777" w:rsidR="008B1B72" w:rsidRPr="000E693F" w:rsidRDefault="008B1B72" w:rsidP="00881862">
            <w:pPr>
              <w:jc w:val="right"/>
              <w:rPr>
                <w:rFonts w:ascii="Calibri" w:hAnsi="Calibri" w:cs="Calibri"/>
                <w:sz w:val="16"/>
                <w:szCs w:val="16"/>
              </w:rPr>
            </w:pPr>
          </w:p>
        </w:tc>
        <w:tc>
          <w:tcPr>
            <w:tcW w:w="682" w:type="pct"/>
            <w:tcBorders>
              <w:top w:val="nil"/>
              <w:left w:val="nil"/>
              <w:bottom w:val="nil"/>
              <w:right w:val="nil"/>
            </w:tcBorders>
            <w:shd w:val="clear" w:color="auto" w:fill="auto"/>
            <w:noWrap/>
            <w:vAlign w:val="center"/>
            <w:hideMark/>
          </w:tcPr>
          <w:p w14:paraId="09D21283" w14:textId="77777777" w:rsidR="008B1B72" w:rsidRPr="000E693F" w:rsidRDefault="008B1B72" w:rsidP="00881862">
            <w:pPr>
              <w:jc w:val="right"/>
              <w:rPr>
                <w:sz w:val="16"/>
                <w:szCs w:val="16"/>
              </w:rPr>
            </w:pPr>
          </w:p>
        </w:tc>
        <w:tc>
          <w:tcPr>
            <w:tcW w:w="735" w:type="pct"/>
            <w:tcBorders>
              <w:top w:val="nil"/>
              <w:left w:val="nil"/>
              <w:bottom w:val="nil"/>
              <w:right w:val="nil"/>
            </w:tcBorders>
            <w:shd w:val="clear" w:color="auto" w:fill="auto"/>
            <w:noWrap/>
            <w:vAlign w:val="center"/>
            <w:hideMark/>
          </w:tcPr>
          <w:p w14:paraId="5B1CE821" w14:textId="77777777" w:rsidR="008B1B72" w:rsidRPr="000E693F" w:rsidRDefault="008B1B72" w:rsidP="00881862">
            <w:pPr>
              <w:jc w:val="right"/>
              <w:rPr>
                <w:sz w:val="16"/>
                <w:szCs w:val="16"/>
              </w:rPr>
            </w:pPr>
          </w:p>
        </w:tc>
      </w:tr>
      <w:tr w:rsidR="000E693F" w:rsidRPr="000E693F" w14:paraId="054F233D"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12264AFF" w14:textId="77777777" w:rsidR="008B1B72" w:rsidRPr="000E693F" w:rsidRDefault="008B1B72" w:rsidP="007D40EC">
            <w:pPr>
              <w:rPr>
                <w:sz w:val="16"/>
                <w:szCs w:val="16"/>
              </w:rPr>
            </w:pPr>
          </w:p>
        </w:tc>
        <w:tc>
          <w:tcPr>
            <w:tcW w:w="1785" w:type="pct"/>
            <w:tcBorders>
              <w:top w:val="nil"/>
              <w:left w:val="nil"/>
              <w:bottom w:val="nil"/>
              <w:right w:val="nil"/>
            </w:tcBorders>
            <w:shd w:val="clear" w:color="auto" w:fill="auto"/>
            <w:noWrap/>
            <w:vAlign w:val="center"/>
            <w:hideMark/>
          </w:tcPr>
          <w:p w14:paraId="6217C79D" w14:textId="77777777" w:rsidR="008B1B72" w:rsidRPr="000E693F" w:rsidRDefault="008B1B72" w:rsidP="00881862">
            <w:pPr>
              <w:rPr>
                <w:rFonts w:ascii="Calibri" w:hAnsi="Calibri" w:cs="Calibri"/>
                <w:sz w:val="16"/>
                <w:szCs w:val="16"/>
              </w:rPr>
            </w:pPr>
            <w:r w:rsidRPr="000E693F">
              <w:rPr>
                <w:rFonts w:ascii="Calibri" w:hAnsi="Calibri" w:cs="Calibri"/>
                <w:sz w:val="16"/>
                <w:szCs w:val="16"/>
              </w:rPr>
              <w:t>Depósitos recursais/judiciais</w:t>
            </w:r>
          </w:p>
        </w:tc>
        <w:tc>
          <w:tcPr>
            <w:tcW w:w="735" w:type="pct"/>
            <w:tcBorders>
              <w:top w:val="nil"/>
              <w:left w:val="nil"/>
              <w:bottom w:val="nil"/>
              <w:right w:val="nil"/>
            </w:tcBorders>
            <w:shd w:val="clear" w:color="auto" w:fill="auto"/>
            <w:noWrap/>
            <w:vAlign w:val="center"/>
            <w:hideMark/>
          </w:tcPr>
          <w:p w14:paraId="4551CDF7"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664.470 </w:t>
            </w:r>
          </w:p>
        </w:tc>
        <w:tc>
          <w:tcPr>
            <w:tcW w:w="682" w:type="pct"/>
            <w:tcBorders>
              <w:top w:val="nil"/>
              <w:left w:val="nil"/>
              <w:bottom w:val="nil"/>
              <w:right w:val="nil"/>
            </w:tcBorders>
            <w:shd w:val="clear" w:color="auto" w:fill="auto"/>
            <w:noWrap/>
            <w:vAlign w:val="center"/>
            <w:hideMark/>
          </w:tcPr>
          <w:p w14:paraId="6E576733"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   </w:t>
            </w:r>
          </w:p>
        </w:tc>
        <w:tc>
          <w:tcPr>
            <w:tcW w:w="735" w:type="pct"/>
            <w:tcBorders>
              <w:top w:val="nil"/>
              <w:left w:val="nil"/>
              <w:bottom w:val="nil"/>
              <w:right w:val="nil"/>
            </w:tcBorders>
            <w:shd w:val="clear" w:color="auto" w:fill="auto"/>
            <w:noWrap/>
            <w:vAlign w:val="center"/>
            <w:hideMark/>
          </w:tcPr>
          <w:p w14:paraId="2A1F1401"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664.470 </w:t>
            </w:r>
          </w:p>
        </w:tc>
      </w:tr>
      <w:tr w:rsidR="000E693F" w:rsidRPr="000E693F" w14:paraId="6B54AD83"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48078977" w14:textId="77777777" w:rsidR="008B1B72" w:rsidRPr="000E693F" w:rsidRDefault="008B1B72" w:rsidP="007D40EC">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64317DCF"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Imobilizado</w:t>
            </w:r>
          </w:p>
        </w:tc>
        <w:tc>
          <w:tcPr>
            <w:tcW w:w="735" w:type="pct"/>
            <w:tcBorders>
              <w:top w:val="nil"/>
              <w:left w:val="nil"/>
              <w:bottom w:val="nil"/>
              <w:right w:val="nil"/>
            </w:tcBorders>
            <w:shd w:val="clear" w:color="auto" w:fill="auto"/>
            <w:noWrap/>
            <w:vAlign w:val="center"/>
            <w:hideMark/>
          </w:tcPr>
          <w:p w14:paraId="59B45766"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6.947.288 </w:t>
            </w:r>
          </w:p>
        </w:tc>
        <w:tc>
          <w:tcPr>
            <w:tcW w:w="682" w:type="pct"/>
            <w:tcBorders>
              <w:top w:val="nil"/>
              <w:left w:val="nil"/>
              <w:bottom w:val="nil"/>
              <w:right w:val="nil"/>
            </w:tcBorders>
            <w:shd w:val="clear" w:color="auto" w:fill="auto"/>
            <w:noWrap/>
            <w:vAlign w:val="center"/>
            <w:hideMark/>
          </w:tcPr>
          <w:p w14:paraId="7689BECA"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(823.079)</w:t>
            </w:r>
          </w:p>
        </w:tc>
        <w:tc>
          <w:tcPr>
            <w:tcW w:w="735" w:type="pct"/>
            <w:tcBorders>
              <w:top w:val="nil"/>
              <w:left w:val="nil"/>
              <w:bottom w:val="nil"/>
              <w:right w:val="nil"/>
            </w:tcBorders>
            <w:shd w:val="clear" w:color="auto" w:fill="auto"/>
            <w:noWrap/>
            <w:vAlign w:val="center"/>
            <w:hideMark/>
          </w:tcPr>
          <w:p w14:paraId="1D694A50"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6.124.209 </w:t>
            </w:r>
          </w:p>
        </w:tc>
      </w:tr>
      <w:tr w:rsidR="000E693F" w:rsidRPr="000E693F" w14:paraId="1A475E11"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2A915B40" w14:textId="77777777" w:rsidR="008B1B72" w:rsidRPr="000E693F" w:rsidRDefault="008B1B72" w:rsidP="007D40EC">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25666604"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Intangível</w:t>
            </w:r>
          </w:p>
        </w:tc>
        <w:tc>
          <w:tcPr>
            <w:tcW w:w="735" w:type="pct"/>
            <w:tcBorders>
              <w:top w:val="nil"/>
              <w:left w:val="nil"/>
              <w:bottom w:val="nil"/>
              <w:right w:val="nil"/>
            </w:tcBorders>
            <w:shd w:val="clear" w:color="auto" w:fill="auto"/>
            <w:noWrap/>
            <w:vAlign w:val="center"/>
            <w:hideMark/>
          </w:tcPr>
          <w:p w14:paraId="64647108"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114.733.130 </w:t>
            </w:r>
          </w:p>
        </w:tc>
        <w:tc>
          <w:tcPr>
            <w:tcW w:w="682" w:type="pct"/>
            <w:tcBorders>
              <w:top w:val="nil"/>
              <w:left w:val="nil"/>
              <w:bottom w:val="nil"/>
              <w:right w:val="nil"/>
            </w:tcBorders>
            <w:shd w:val="clear" w:color="auto" w:fill="auto"/>
            <w:noWrap/>
            <w:vAlign w:val="center"/>
            <w:hideMark/>
          </w:tcPr>
          <w:p w14:paraId="7C5127FA"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(4.203.699)</w:t>
            </w:r>
          </w:p>
        </w:tc>
        <w:tc>
          <w:tcPr>
            <w:tcW w:w="735" w:type="pct"/>
            <w:tcBorders>
              <w:top w:val="nil"/>
              <w:left w:val="nil"/>
              <w:bottom w:val="nil"/>
              <w:right w:val="nil"/>
            </w:tcBorders>
            <w:shd w:val="clear" w:color="auto" w:fill="auto"/>
            <w:noWrap/>
            <w:vAlign w:val="center"/>
            <w:hideMark/>
          </w:tcPr>
          <w:p w14:paraId="5077AD7C"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110.529.431 </w:t>
            </w:r>
          </w:p>
        </w:tc>
      </w:tr>
      <w:tr w:rsidR="000E693F" w:rsidRPr="000E693F" w14:paraId="341EAB22"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3EF07ADB" w14:textId="77777777" w:rsidR="008B1B72" w:rsidRPr="000E693F" w:rsidRDefault="008B1B72" w:rsidP="007D40EC">
            <w:pPr>
              <w:rPr>
                <w:rFonts w:ascii="Calibri" w:hAnsi="Calibri" w:cs="Calibri"/>
                <w:sz w:val="16"/>
                <w:szCs w:val="16"/>
              </w:rPr>
            </w:pPr>
          </w:p>
        </w:tc>
        <w:tc>
          <w:tcPr>
            <w:tcW w:w="1785" w:type="pct"/>
            <w:tcBorders>
              <w:top w:val="nil"/>
              <w:left w:val="nil"/>
              <w:bottom w:val="nil"/>
              <w:right w:val="nil"/>
            </w:tcBorders>
            <w:shd w:val="clear" w:color="auto" w:fill="auto"/>
            <w:noWrap/>
            <w:vAlign w:val="center"/>
            <w:hideMark/>
          </w:tcPr>
          <w:p w14:paraId="2AA604BE" w14:textId="77777777" w:rsidR="008B1B72" w:rsidRPr="000E693F" w:rsidRDefault="008B1B72" w:rsidP="007D40EC">
            <w:pPr>
              <w:rPr>
                <w:sz w:val="16"/>
                <w:szCs w:val="16"/>
              </w:rPr>
            </w:pPr>
          </w:p>
        </w:tc>
        <w:tc>
          <w:tcPr>
            <w:tcW w:w="735" w:type="pct"/>
            <w:tcBorders>
              <w:top w:val="nil"/>
              <w:left w:val="nil"/>
              <w:bottom w:val="nil"/>
              <w:right w:val="nil"/>
            </w:tcBorders>
            <w:shd w:val="clear" w:color="auto" w:fill="auto"/>
            <w:noWrap/>
            <w:vAlign w:val="center"/>
            <w:hideMark/>
          </w:tcPr>
          <w:p w14:paraId="3E10B70E" w14:textId="77777777" w:rsidR="008B1B72" w:rsidRPr="000E693F" w:rsidRDefault="008B1B72" w:rsidP="00881862">
            <w:pPr>
              <w:jc w:val="right"/>
              <w:rPr>
                <w:sz w:val="16"/>
                <w:szCs w:val="16"/>
              </w:rPr>
            </w:pPr>
          </w:p>
        </w:tc>
        <w:tc>
          <w:tcPr>
            <w:tcW w:w="682" w:type="pct"/>
            <w:tcBorders>
              <w:top w:val="nil"/>
              <w:left w:val="nil"/>
              <w:bottom w:val="nil"/>
              <w:right w:val="nil"/>
            </w:tcBorders>
            <w:shd w:val="clear" w:color="auto" w:fill="auto"/>
            <w:noWrap/>
            <w:vAlign w:val="center"/>
            <w:hideMark/>
          </w:tcPr>
          <w:p w14:paraId="224B593F" w14:textId="77777777" w:rsidR="008B1B72" w:rsidRPr="000E693F" w:rsidRDefault="008B1B72" w:rsidP="00881862">
            <w:pPr>
              <w:jc w:val="right"/>
              <w:rPr>
                <w:sz w:val="16"/>
                <w:szCs w:val="16"/>
              </w:rPr>
            </w:pPr>
          </w:p>
        </w:tc>
        <w:tc>
          <w:tcPr>
            <w:tcW w:w="735" w:type="pct"/>
            <w:tcBorders>
              <w:top w:val="nil"/>
              <w:left w:val="nil"/>
              <w:bottom w:val="nil"/>
              <w:right w:val="nil"/>
            </w:tcBorders>
            <w:shd w:val="clear" w:color="auto" w:fill="auto"/>
            <w:noWrap/>
            <w:vAlign w:val="center"/>
            <w:hideMark/>
          </w:tcPr>
          <w:p w14:paraId="3FAB9277" w14:textId="77777777" w:rsidR="008B1B72" w:rsidRPr="000E693F" w:rsidRDefault="008B1B72" w:rsidP="00881862">
            <w:pPr>
              <w:jc w:val="right"/>
              <w:rPr>
                <w:sz w:val="16"/>
                <w:szCs w:val="16"/>
              </w:rPr>
            </w:pPr>
          </w:p>
        </w:tc>
      </w:tr>
      <w:tr w:rsidR="000E693F" w:rsidRPr="000E693F" w14:paraId="4A781E46" w14:textId="77777777" w:rsidTr="008B1B72">
        <w:trPr>
          <w:trHeight w:val="240"/>
          <w:jc w:val="center"/>
        </w:trPr>
        <w:tc>
          <w:tcPr>
            <w:tcW w:w="1062" w:type="pct"/>
            <w:tcBorders>
              <w:top w:val="nil"/>
              <w:left w:val="nil"/>
              <w:bottom w:val="nil"/>
              <w:right w:val="nil"/>
            </w:tcBorders>
            <w:shd w:val="clear" w:color="auto" w:fill="auto"/>
            <w:noWrap/>
            <w:vAlign w:val="center"/>
            <w:hideMark/>
          </w:tcPr>
          <w:p w14:paraId="17981145" w14:textId="77777777" w:rsidR="008B1B72" w:rsidRPr="000E693F" w:rsidRDefault="008B1B72" w:rsidP="007D40EC">
            <w:pPr>
              <w:rPr>
                <w:rFonts w:ascii="Calibri" w:hAnsi="Calibri" w:cs="Calibri"/>
                <w:b/>
                <w:bCs/>
                <w:sz w:val="16"/>
                <w:szCs w:val="16"/>
              </w:rPr>
            </w:pPr>
            <w:r w:rsidRPr="000E693F">
              <w:rPr>
                <w:rFonts w:ascii="Calibri" w:hAnsi="Calibri" w:cs="Calibri"/>
                <w:b/>
                <w:bCs/>
                <w:sz w:val="16"/>
                <w:szCs w:val="16"/>
              </w:rPr>
              <w:t>Total Não Circulante</w:t>
            </w:r>
          </w:p>
        </w:tc>
        <w:tc>
          <w:tcPr>
            <w:tcW w:w="1785" w:type="pct"/>
            <w:tcBorders>
              <w:top w:val="nil"/>
              <w:left w:val="nil"/>
              <w:bottom w:val="nil"/>
              <w:right w:val="nil"/>
            </w:tcBorders>
            <w:shd w:val="clear" w:color="auto" w:fill="auto"/>
            <w:noWrap/>
            <w:vAlign w:val="center"/>
            <w:hideMark/>
          </w:tcPr>
          <w:p w14:paraId="3FDB3658" w14:textId="77777777" w:rsidR="008B1B72" w:rsidRPr="000E693F" w:rsidRDefault="008B1B72" w:rsidP="007D40EC">
            <w:pPr>
              <w:rPr>
                <w:rFonts w:ascii="Calibri" w:hAnsi="Calibri" w:cs="Calibri"/>
                <w:b/>
                <w:bCs/>
                <w:sz w:val="16"/>
                <w:szCs w:val="16"/>
              </w:rPr>
            </w:pPr>
          </w:p>
        </w:tc>
        <w:tc>
          <w:tcPr>
            <w:tcW w:w="735" w:type="pct"/>
            <w:tcBorders>
              <w:top w:val="single" w:sz="4" w:space="0" w:color="AEAAAA"/>
              <w:left w:val="nil"/>
              <w:bottom w:val="single" w:sz="4" w:space="0" w:color="auto"/>
              <w:right w:val="nil"/>
            </w:tcBorders>
            <w:shd w:val="clear" w:color="auto" w:fill="auto"/>
            <w:noWrap/>
            <w:vAlign w:val="center"/>
            <w:hideMark/>
          </w:tcPr>
          <w:p w14:paraId="57C0A33C"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 xml:space="preserve">  122.344.888 </w:t>
            </w:r>
          </w:p>
        </w:tc>
        <w:tc>
          <w:tcPr>
            <w:tcW w:w="682" w:type="pct"/>
            <w:tcBorders>
              <w:top w:val="nil"/>
              <w:left w:val="nil"/>
              <w:bottom w:val="nil"/>
              <w:right w:val="nil"/>
            </w:tcBorders>
            <w:shd w:val="clear" w:color="auto" w:fill="auto"/>
            <w:noWrap/>
            <w:vAlign w:val="center"/>
            <w:hideMark/>
          </w:tcPr>
          <w:p w14:paraId="144329C3" w14:textId="77777777" w:rsidR="008B1B72" w:rsidRPr="000E693F" w:rsidRDefault="008B1B72" w:rsidP="00881862">
            <w:pPr>
              <w:jc w:val="right"/>
              <w:rPr>
                <w:rFonts w:ascii="Calibri" w:hAnsi="Calibri" w:cs="Calibri"/>
                <w:b/>
                <w:bCs/>
                <w:sz w:val="16"/>
                <w:szCs w:val="16"/>
              </w:rPr>
            </w:pPr>
            <w:r w:rsidRPr="000E693F">
              <w:rPr>
                <w:rFonts w:ascii="Calibri" w:hAnsi="Calibri" w:cs="Calibri"/>
                <w:sz w:val="16"/>
                <w:szCs w:val="16"/>
              </w:rPr>
              <w:t xml:space="preserve">  </w:t>
            </w:r>
            <w:r w:rsidRPr="000E693F">
              <w:rPr>
                <w:rFonts w:ascii="Calibri" w:hAnsi="Calibri" w:cs="Calibri"/>
                <w:b/>
                <w:bCs/>
                <w:sz w:val="16"/>
                <w:szCs w:val="16"/>
              </w:rPr>
              <w:t>(5.026.778)</w:t>
            </w:r>
          </w:p>
        </w:tc>
        <w:tc>
          <w:tcPr>
            <w:tcW w:w="735" w:type="pct"/>
            <w:tcBorders>
              <w:top w:val="single" w:sz="4" w:space="0" w:color="AEAAAA"/>
              <w:left w:val="nil"/>
              <w:bottom w:val="single" w:sz="4" w:space="0" w:color="auto"/>
              <w:right w:val="nil"/>
            </w:tcBorders>
            <w:shd w:val="clear" w:color="auto" w:fill="auto"/>
            <w:noWrap/>
            <w:vAlign w:val="center"/>
            <w:hideMark/>
          </w:tcPr>
          <w:p w14:paraId="6FA5E611"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 xml:space="preserve">  117.318.110 </w:t>
            </w:r>
          </w:p>
        </w:tc>
      </w:tr>
      <w:tr w:rsidR="000E693F" w:rsidRPr="000E693F" w14:paraId="50A8970F" w14:textId="77777777" w:rsidTr="00881862">
        <w:trPr>
          <w:trHeight w:hRule="exact" w:val="113"/>
          <w:jc w:val="center"/>
        </w:trPr>
        <w:tc>
          <w:tcPr>
            <w:tcW w:w="1062" w:type="pct"/>
            <w:tcBorders>
              <w:top w:val="nil"/>
              <w:left w:val="nil"/>
              <w:bottom w:val="nil"/>
              <w:right w:val="nil"/>
            </w:tcBorders>
            <w:shd w:val="clear" w:color="auto" w:fill="auto"/>
            <w:noWrap/>
            <w:vAlign w:val="center"/>
          </w:tcPr>
          <w:p w14:paraId="2B5FC90E" w14:textId="77777777" w:rsidR="00881862" w:rsidRPr="000E693F" w:rsidRDefault="00881862" w:rsidP="007D40EC">
            <w:pPr>
              <w:rPr>
                <w:rFonts w:ascii="Calibri" w:hAnsi="Calibri" w:cs="Calibri"/>
                <w:b/>
                <w:bCs/>
                <w:sz w:val="16"/>
                <w:szCs w:val="16"/>
              </w:rPr>
            </w:pPr>
          </w:p>
        </w:tc>
        <w:tc>
          <w:tcPr>
            <w:tcW w:w="1785" w:type="pct"/>
            <w:tcBorders>
              <w:top w:val="nil"/>
              <w:left w:val="nil"/>
              <w:bottom w:val="nil"/>
              <w:right w:val="nil"/>
            </w:tcBorders>
            <w:shd w:val="clear" w:color="auto" w:fill="auto"/>
            <w:noWrap/>
            <w:vAlign w:val="center"/>
          </w:tcPr>
          <w:p w14:paraId="14B0E08D" w14:textId="77777777" w:rsidR="00881862" w:rsidRPr="000E693F" w:rsidRDefault="00881862" w:rsidP="007D40EC">
            <w:pPr>
              <w:rPr>
                <w:rFonts w:ascii="Calibri" w:hAnsi="Calibri" w:cs="Calibri"/>
                <w:b/>
                <w:bCs/>
                <w:sz w:val="16"/>
                <w:szCs w:val="16"/>
              </w:rPr>
            </w:pPr>
          </w:p>
        </w:tc>
        <w:tc>
          <w:tcPr>
            <w:tcW w:w="735" w:type="pct"/>
            <w:tcBorders>
              <w:top w:val="single" w:sz="4" w:space="0" w:color="auto"/>
              <w:left w:val="nil"/>
              <w:bottom w:val="double" w:sz="6" w:space="0" w:color="auto"/>
              <w:right w:val="nil"/>
            </w:tcBorders>
            <w:shd w:val="clear" w:color="auto" w:fill="auto"/>
            <w:noWrap/>
            <w:vAlign w:val="center"/>
          </w:tcPr>
          <w:p w14:paraId="60A3391E" w14:textId="77777777" w:rsidR="00881862" w:rsidRPr="000E693F" w:rsidRDefault="00881862" w:rsidP="00881862">
            <w:pPr>
              <w:jc w:val="right"/>
              <w:rPr>
                <w:rFonts w:ascii="Calibri" w:hAnsi="Calibri" w:cs="Calibri"/>
                <w:b/>
                <w:bCs/>
                <w:sz w:val="16"/>
                <w:szCs w:val="16"/>
              </w:rPr>
            </w:pPr>
          </w:p>
        </w:tc>
        <w:tc>
          <w:tcPr>
            <w:tcW w:w="682" w:type="pct"/>
            <w:tcBorders>
              <w:top w:val="nil"/>
              <w:left w:val="nil"/>
              <w:bottom w:val="nil"/>
              <w:right w:val="nil"/>
            </w:tcBorders>
            <w:shd w:val="clear" w:color="auto" w:fill="auto"/>
            <w:noWrap/>
            <w:vAlign w:val="center"/>
          </w:tcPr>
          <w:p w14:paraId="70D32111" w14:textId="77777777" w:rsidR="00881862" w:rsidRPr="000E693F" w:rsidRDefault="00881862" w:rsidP="00881862">
            <w:pPr>
              <w:jc w:val="right"/>
              <w:rPr>
                <w:rFonts w:ascii="Calibri" w:hAnsi="Calibri" w:cs="Calibri"/>
                <w:sz w:val="16"/>
                <w:szCs w:val="16"/>
              </w:rPr>
            </w:pPr>
          </w:p>
        </w:tc>
        <w:tc>
          <w:tcPr>
            <w:tcW w:w="735" w:type="pct"/>
            <w:tcBorders>
              <w:top w:val="single" w:sz="4" w:space="0" w:color="auto"/>
              <w:left w:val="nil"/>
              <w:bottom w:val="double" w:sz="6" w:space="0" w:color="auto"/>
              <w:right w:val="nil"/>
            </w:tcBorders>
            <w:shd w:val="clear" w:color="auto" w:fill="auto"/>
            <w:noWrap/>
            <w:vAlign w:val="center"/>
          </w:tcPr>
          <w:p w14:paraId="6EA87BF7" w14:textId="77777777" w:rsidR="00881862" w:rsidRPr="000E693F" w:rsidRDefault="00881862" w:rsidP="00881862">
            <w:pPr>
              <w:jc w:val="right"/>
              <w:rPr>
                <w:rFonts w:ascii="Calibri" w:hAnsi="Calibri" w:cs="Calibri"/>
                <w:b/>
                <w:bCs/>
                <w:sz w:val="16"/>
                <w:szCs w:val="16"/>
              </w:rPr>
            </w:pPr>
          </w:p>
        </w:tc>
      </w:tr>
      <w:tr w:rsidR="008B1B72" w:rsidRPr="000E693F" w14:paraId="56F40B44" w14:textId="77777777" w:rsidTr="008B1B72">
        <w:trPr>
          <w:trHeight w:val="255"/>
          <w:jc w:val="center"/>
        </w:trPr>
        <w:tc>
          <w:tcPr>
            <w:tcW w:w="1062" w:type="pct"/>
            <w:tcBorders>
              <w:top w:val="nil"/>
              <w:left w:val="nil"/>
              <w:bottom w:val="nil"/>
              <w:right w:val="nil"/>
            </w:tcBorders>
            <w:shd w:val="clear" w:color="auto" w:fill="auto"/>
            <w:noWrap/>
            <w:vAlign w:val="center"/>
            <w:hideMark/>
          </w:tcPr>
          <w:p w14:paraId="34C84615" w14:textId="77777777" w:rsidR="008B1B72" w:rsidRPr="000E693F" w:rsidRDefault="008B1B72" w:rsidP="007D40EC">
            <w:pPr>
              <w:rPr>
                <w:rFonts w:ascii="Calibri" w:hAnsi="Calibri" w:cs="Calibri"/>
                <w:b/>
                <w:bCs/>
                <w:sz w:val="16"/>
                <w:szCs w:val="16"/>
              </w:rPr>
            </w:pPr>
            <w:r w:rsidRPr="000E693F">
              <w:rPr>
                <w:rFonts w:ascii="Calibri" w:hAnsi="Calibri" w:cs="Calibri"/>
                <w:b/>
                <w:bCs/>
                <w:sz w:val="16"/>
                <w:szCs w:val="16"/>
              </w:rPr>
              <w:t>TOTAL DO ATIVO</w:t>
            </w:r>
          </w:p>
        </w:tc>
        <w:tc>
          <w:tcPr>
            <w:tcW w:w="1785" w:type="pct"/>
            <w:tcBorders>
              <w:top w:val="nil"/>
              <w:left w:val="nil"/>
              <w:bottom w:val="nil"/>
              <w:right w:val="nil"/>
            </w:tcBorders>
            <w:shd w:val="clear" w:color="auto" w:fill="auto"/>
            <w:noWrap/>
            <w:vAlign w:val="center"/>
            <w:hideMark/>
          </w:tcPr>
          <w:p w14:paraId="023556FE" w14:textId="77777777" w:rsidR="008B1B72" w:rsidRPr="000E693F" w:rsidRDefault="008B1B72" w:rsidP="007D40EC">
            <w:pPr>
              <w:rPr>
                <w:rFonts w:ascii="Calibri" w:hAnsi="Calibri" w:cs="Calibri"/>
                <w:b/>
                <w:bCs/>
                <w:sz w:val="16"/>
                <w:szCs w:val="16"/>
              </w:rPr>
            </w:pPr>
          </w:p>
        </w:tc>
        <w:tc>
          <w:tcPr>
            <w:tcW w:w="735" w:type="pct"/>
            <w:tcBorders>
              <w:top w:val="single" w:sz="4" w:space="0" w:color="auto"/>
              <w:left w:val="nil"/>
              <w:bottom w:val="double" w:sz="6" w:space="0" w:color="auto"/>
              <w:right w:val="nil"/>
            </w:tcBorders>
            <w:shd w:val="clear" w:color="auto" w:fill="auto"/>
            <w:noWrap/>
            <w:vAlign w:val="center"/>
            <w:hideMark/>
          </w:tcPr>
          <w:p w14:paraId="53570D10"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 xml:space="preserve">  195.089.263 </w:t>
            </w:r>
          </w:p>
        </w:tc>
        <w:tc>
          <w:tcPr>
            <w:tcW w:w="682" w:type="pct"/>
            <w:tcBorders>
              <w:top w:val="nil"/>
              <w:left w:val="nil"/>
              <w:bottom w:val="nil"/>
              <w:right w:val="nil"/>
            </w:tcBorders>
            <w:shd w:val="clear" w:color="auto" w:fill="auto"/>
            <w:noWrap/>
            <w:vAlign w:val="center"/>
            <w:hideMark/>
          </w:tcPr>
          <w:p w14:paraId="4D9D00E5" w14:textId="77777777" w:rsidR="008B1B72" w:rsidRPr="000E693F" w:rsidRDefault="008B1B72" w:rsidP="00881862">
            <w:pPr>
              <w:jc w:val="right"/>
              <w:rPr>
                <w:rFonts w:ascii="Calibri" w:hAnsi="Calibri" w:cs="Calibri"/>
                <w:b/>
                <w:bCs/>
                <w:sz w:val="16"/>
                <w:szCs w:val="16"/>
              </w:rPr>
            </w:pPr>
            <w:r w:rsidRPr="000E693F">
              <w:rPr>
                <w:rFonts w:ascii="Calibri" w:hAnsi="Calibri" w:cs="Calibri"/>
                <w:sz w:val="16"/>
                <w:szCs w:val="16"/>
              </w:rPr>
              <w:t xml:space="preserve">  </w:t>
            </w:r>
            <w:r w:rsidRPr="000E693F">
              <w:rPr>
                <w:rFonts w:ascii="Calibri" w:hAnsi="Calibri" w:cs="Calibri"/>
                <w:b/>
                <w:bCs/>
                <w:sz w:val="16"/>
                <w:szCs w:val="16"/>
              </w:rPr>
              <w:t xml:space="preserve">13.785.765 </w:t>
            </w:r>
          </w:p>
        </w:tc>
        <w:tc>
          <w:tcPr>
            <w:tcW w:w="735" w:type="pct"/>
            <w:tcBorders>
              <w:top w:val="single" w:sz="4" w:space="0" w:color="auto"/>
              <w:left w:val="nil"/>
              <w:bottom w:val="double" w:sz="6" w:space="0" w:color="auto"/>
              <w:right w:val="nil"/>
            </w:tcBorders>
            <w:shd w:val="clear" w:color="auto" w:fill="auto"/>
            <w:noWrap/>
            <w:vAlign w:val="center"/>
            <w:hideMark/>
          </w:tcPr>
          <w:p w14:paraId="1B38391F"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 xml:space="preserve">  208.875.028 </w:t>
            </w:r>
          </w:p>
        </w:tc>
      </w:tr>
    </w:tbl>
    <w:p w14:paraId="13EB9485" w14:textId="1D9EDC84" w:rsidR="00281AF1" w:rsidRPr="000E693F" w:rsidRDefault="00281AF1" w:rsidP="00AB5166">
      <w:pPr>
        <w:jc w:val="both"/>
        <w:rPr>
          <w:rFonts w:ascii="Calibri" w:hAnsi="Calibri" w:cs="Calibri"/>
          <w:sz w:val="22"/>
          <w:szCs w:val="22"/>
          <w:shd w:val="clear" w:color="auto" w:fill="FFFFFF"/>
        </w:rPr>
      </w:pPr>
    </w:p>
    <w:tbl>
      <w:tblPr>
        <w:tblW w:w="5038" w:type="pct"/>
        <w:tblLayout w:type="fixed"/>
        <w:tblCellMar>
          <w:left w:w="70" w:type="dxa"/>
          <w:right w:w="70" w:type="dxa"/>
        </w:tblCellMar>
        <w:tblLook w:val="04A0" w:firstRow="1" w:lastRow="0" w:firstColumn="1" w:lastColumn="0" w:noHBand="0" w:noVBand="1"/>
      </w:tblPr>
      <w:tblGrid>
        <w:gridCol w:w="2267"/>
        <w:gridCol w:w="3765"/>
        <w:gridCol w:w="1561"/>
        <w:gridCol w:w="1418"/>
        <w:gridCol w:w="1536"/>
      </w:tblGrid>
      <w:tr w:rsidR="000E693F" w:rsidRPr="000E693F" w14:paraId="0BDA5877" w14:textId="77777777" w:rsidTr="00EE0BAF">
        <w:trPr>
          <w:trHeight w:val="240"/>
        </w:trPr>
        <w:tc>
          <w:tcPr>
            <w:tcW w:w="1075" w:type="pct"/>
            <w:tcBorders>
              <w:top w:val="nil"/>
              <w:left w:val="nil"/>
              <w:bottom w:val="nil"/>
              <w:right w:val="nil"/>
            </w:tcBorders>
            <w:shd w:val="clear" w:color="auto" w:fill="auto"/>
            <w:noWrap/>
            <w:vAlign w:val="center"/>
            <w:hideMark/>
          </w:tcPr>
          <w:p w14:paraId="13C30091" w14:textId="23657E12" w:rsidR="008B1B72" w:rsidRPr="000E693F" w:rsidRDefault="00881862" w:rsidP="007D40EC">
            <w:pPr>
              <w:rPr>
                <w:sz w:val="18"/>
                <w:szCs w:val="18"/>
                <w:u w:val="single"/>
              </w:rPr>
            </w:pPr>
            <w:r w:rsidRPr="000E693F">
              <w:rPr>
                <w:rFonts w:ascii="Calibri" w:hAnsi="Calibri" w:cs="Calibri"/>
                <w:b/>
                <w:bCs/>
                <w:sz w:val="18"/>
                <w:szCs w:val="18"/>
                <w:u w:val="single"/>
              </w:rPr>
              <w:t>PASSIVO E PATRIMÔNIO LÍQUIDO</w:t>
            </w:r>
          </w:p>
        </w:tc>
        <w:tc>
          <w:tcPr>
            <w:tcW w:w="1784" w:type="pct"/>
            <w:tcBorders>
              <w:top w:val="nil"/>
              <w:left w:val="nil"/>
              <w:bottom w:val="nil"/>
              <w:right w:val="nil"/>
            </w:tcBorders>
            <w:shd w:val="clear" w:color="auto" w:fill="auto"/>
            <w:noWrap/>
            <w:vAlign w:val="center"/>
            <w:hideMark/>
          </w:tcPr>
          <w:p w14:paraId="3AF98681" w14:textId="77777777" w:rsidR="008B1B72" w:rsidRPr="000E693F" w:rsidRDefault="008B1B72" w:rsidP="007D40EC">
            <w:pPr>
              <w:rPr>
                <w:sz w:val="16"/>
                <w:szCs w:val="16"/>
              </w:rPr>
            </w:pPr>
          </w:p>
        </w:tc>
        <w:tc>
          <w:tcPr>
            <w:tcW w:w="740" w:type="pct"/>
            <w:tcBorders>
              <w:top w:val="nil"/>
              <w:left w:val="nil"/>
              <w:bottom w:val="single" w:sz="4" w:space="0" w:color="auto"/>
              <w:right w:val="nil"/>
            </w:tcBorders>
            <w:shd w:val="clear" w:color="auto" w:fill="auto"/>
            <w:vAlign w:val="center"/>
            <w:hideMark/>
          </w:tcPr>
          <w:p w14:paraId="11A9D5D0"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30/06/2022</w:t>
            </w:r>
          </w:p>
        </w:tc>
        <w:tc>
          <w:tcPr>
            <w:tcW w:w="672" w:type="pct"/>
            <w:tcBorders>
              <w:top w:val="nil"/>
              <w:left w:val="nil"/>
              <w:bottom w:val="single" w:sz="4" w:space="0" w:color="auto"/>
              <w:right w:val="nil"/>
            </w:tcBorders>
            <w:shd w:val="clear" w:color="auto" w:fill="auto"/>
            <w:noWrap/>
            <w:vAlign w:val="center"/>
            <w:hideMark/>
          </w:tcPr>
          <w:p w14:paraId="3B7C42F6"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VARIAÇÃO</w:t>
            </w:r>
          </w:p>
        </w:tc>
        <w:tc>
          <w:tcPr>
            <w:tcW w:w="728" w:type="pct"/>
            <w:tcBorders>
              <w:top w:val="nil"/>
              <w:left w:val="nil"/>
              <w:bottom w:val="single" w:sz="4" w:space="0" w:color="auto"/>
              <w:right w:val="nil"/>
            </w:tcBorders>
            <w:shd w:val="clear" w:color="auto" w:fill="auto"/>
            <w:vAlign w:val="center"/>
            <w:hideMark/>
          </w:tcPr>
          <w:p w14:paraId="2921AC43"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30/09/2022</w:t>
            </w:r>
          </w:p>
        </w:tc>
      </w:tr>
      <w:tr w:rsidR="000E693F" w:rsidRPr="000E693F" w14:paraId="5CD87CE7" w14:textId="77777777" w:rsidTr="00EE0BAF">
        <w:trPr>
          <w:trHeight w:hRule="exact" w:val="113"/>
        </w:trPr>
        <w:tc>
          <w:tcPr>
            <w:tcW w:w="1075" w:type="pct"/>
            <w:tcBorders>
              <w:top w:val="nil"/>
              <w:left w:val="nil"/>
              <w:bottom w:val="nil"/>
              <w:right w:val="nil"/>
            </w:tcBorders>
            <w:shd w:val="clear" w:color="auto" w:fill="auto"/>
            <w:noWrap/>
            <w:vAlign w:val="center"/>
            <w:hideMark/>
          </w:tcPr>
          <w:p w14:paraId="528083B4" w14:textId="77777777" w:rsidR="008B1B72" w:rsidRPr="000E693F" w:rsidRDefault="008B1B72" w:rsidP="007D40EC">
            <w:pPr>
              <w:jc w:val="center"/>
              <w:rPr>
                <w:rFonts w:ascii="Calibri" w:hAnsi="Calibri" w:cs="Calibri"/>
                <w:b/>
                <w:bCs/>
                <w:sz w:val="16"/>
                <w:szCs w:val="16"/>
              </w:rPr>
            </w:pPr>
          </w:p>
        </w:tc>
        <w:tc>
          <w:tcPr>
            <w:tcW w:w="1784" w:type="pct"/>
            <w:tcBorders>
              <w:top w:val="nil"/>
              <w:left w:val="nil"/>
              <w:bottom w:val="nil"/>
              <w:right w:val="nil"/>
            </w:tcBorders>
            <w:shd w:val="clear" w:color="auto" w:fill="auto"/>
            <w:noWrap/>
            <w:vAlign w:val="center"/>
            <w:hideMark/>
          </w:tcPr>
          <w:p w14:paraId="27496C41" w14:textId="77777777" w:rsidR="008B1B72" w:rsidRPr="000E693F" w:rsidRDefault="008B1B72" w:rsidP="007D40EC">
            <w:pPr>
              <w:rPr>
                <w:sz w:val="16"/>
                <w:szCs w:val="16"/>
              </w:rPr>
            </w:pPr>
          </w:p>
        </w:tc>
        <w:tc>
          <w:tcPr>
            <w:tcW w:w="740" w:type="pct"/>
            <w:tcBorders>
              <w:top w:val="nil"/>
              <w:left w:val="nil"/>
              <w:bottom w:val="nil"/>
              <w:right w:val="nil"/>
            </w:tcBorders>
            <w:shd w:val="clear" w:color="auto" w:fill="auto"/>
            <w:noWrap/>
            <w:vAlign w:val="center"/>
            <w:hideMark/>
          </w:tcPr>
          <w:p w14:paraId="46CAC79D" w14:textId="77777777" w:rsidR="008B1B72" w:rsidRPr="000E693F" w:rsidRDefault="008B1B72" w:rsidP="00881862">
            <w:pPr>
              <w:jc w:val="right"/>
              <w:rPr>
                <w:sz w:val="16"/>
                <w:szCs w:val="16"/>
              </w:rPr>
            </w:pPr>
          </w:p>
        </w:tc>
        <w:tc>
          <w:tcPr>
            <w:tcW w:w="672" w:type="pct"/>
            <w:tcBorders>
              <w:top w:val="nil"/>
              <w:left w:val="nil"/>
              <w:bottom w:val="nil"/>
              <w:right w:val="nil"/>
            </w:tcBorders>
            <w:shd w:val="clear" w:color="auto" w:fill="auto"/>
            <w:noWrap/>
            <w:vAlign w:val="center"/>
            <w:hideMark/>
          </w:tcPr>
          <w:p w14:paraId="6C58AF3E" w14:textId="77777777" w:rsidR="008B1B72" w:rsidRPr="000E693F" w:rsidRDefault="008B1B72" w:rsidP="00881862">
            <w:pPr>
              <w:jc w:val="right"/>
              <w:rPr>
                <w:sz w:val="16"/>
                <w:szCs w:val="16"/>
              </w:rPr>
            </w:pPr>
          </w:p>
        </w:tc>
        <w:tc>
          <w:tcPr>
            <w:tcW w:w="728" w:type="pct"/>
            <w:tcBorders>
              <w:top w:val="nil"/>
              <w:left w:val="nil"/>
              <w:bottom w:val="nil"/>
              <w:right w:val="nil"/>
            </w:tcBorders>
            <w:shd w:val="clear" w:color="auto" w:fill="auto"/>
            <w:noWrap/>
            <w:vAlign w:val="center"/>
            <w:hideMark/>
          </w:tcPr>
          <w:p w14:paraId="2147DC3B" w14:textId="77777777" w:rsidR="008B1B72" w:rsidRPr="000E693F" w:rsidRDefault="008B1B72" w:rsidP="00881862">
            <w:pPr>
              <w:jc w:val="right"/>
              <w:rPr>
                <w:sz w:val="16"/>
                <w:szCs w:val="16"/>
              </w:rPr>
            </w:pPr>
          </w:p>
        </w:tc>
      </w:tr>
      <w:tr w:rsidR="000E693F" w:rsidRPr="000E693F" w14:paraId="26FA14CC" w14:textId="77777777" w:rsidTr="00EE0BAF">
        <w:trPr>
          <w:trHeight w:val="240"/>
        </w:trPr>
        <w:tc>
          <w:tcPr>
            <w:tcW w:w="1075" w:type="pct"/>
            <w:tcBorders>
              <w:top w:val="nil"/>
              <w:left w:val="nil"/>
              <w:bottom w:val="nil"/>
              <w:right w:val="nil"/>
            </w:tcBorders>
            <w:shd w:val="clear" w:color="auto" w:fill="auto"/>
            <w:noWrap/>
            <w:vAlign w:val="center"/>
            <w:hideMark/>
          </w:tcPr>
          <w:p w14:paraId="4B3053FD" w14:textId="77777777" w:rsidR="008B1B72" w:rsidRPr="000E693F" w:rsidRDefault="008B1B72" w:rsidP="007D40EC">
            <w:pPr>
              <w:rPr>
                <w:rFonts w:ascii="Calibri" w:hAnsi="Calibri" w:cs="Calibri"/>
                <w:b/>
                <w:bCs/>
                <w:sz w:val="16"/>
                <w:szCs w:val="16"/>
              </w:rPr>
            </w:pPr>
            <w:r w:rsidRPr="000E693F">
              <w:rPr>
                <w:rFonts w:ascii="Calibri" w:hAnsi="Calibri" w:cs="Calibri"/>
                <w:b/>
                <w:bCs/>
                <w:sz w:val="16"/>
                <w:szCs w:val="16"/>
              </w:rPr>
              <w:t>Circulante</w:t>
            </w:r>
          </w:p>
        </w:tc>
        <w:tc>
          <w:tcPr>
            <w:tcW w:w="1784" w:type="pct"/>
            <w:tcBorders>
              <w:top w:val="nil"/>
              <w:left w:val="nil"/>
              <w:bottom w:val="nil"/>
              <w:right w:val="nil"/>
            </w:tcBorders>
            <w:shd w:val="clear" w:color="auto" w:fill="auto"/>
            <w:noWrap/>
            <w:vAlign w:val="center"/>
            <w:hideMark/>
          </w:tcPr>
          <w:p w14:paraId="1812E7FB" w14:textId="77777777" w:rsidR="008B1B72" w:rsidRPr="000E693F" w:rsidRDefault="008B1B72" w:rsidP="007D40EC">
            <w:pPr>
              <w:rPr>
                <w:rFonts w:ascii="Calibri" w:hAnsi="Calibri" w:cs="Calibri"/>
                <w:b/>
                <w:bCs/>
                <w:sz w:val="16"/>
                <w:szCs w:val="16"/>
              </w:rPr>
            </w:pPr>
          </w:p>
        </w:tc>
        <w:tc>
          <w:tcPr>
            <w:tcW w:w="740" w:type="pct"/>
            <w:tcBorders>
              <w:top w:val="nil"/>
              <w:left w:val="nil"/>
              <w:bottom w:val="nil"/>
              <w:right w:val="nil"/>
            </w:tcBorders>
            <w:shd w:val="clear" w:color="auto" w:fill="auto"/>
            <w:noWrap/>
            <w:vAlign w:val="center"/>
            <w:hideMark/>
          </w:tcPr>
          <w:p w14:paraId="285A3E35" w14:textId="77777777" w:rsidR="008B1B72" w:rsidRPr="000E693F" w:rsidRDefault="008B1B72" w:rsidP="00881862">
            <w:pPr>
              <w:jc w:val="right"/>
              <w:rPr>
                <w:sz w:val="16"/>
                <w:szCs w:val="16"/>
              </w:rPr>
            </w:pPr>
          </w:p>
        </w:tc>
        <w:tc>
          <w:tcPr>
            <w:tcW w:w="672" w:type="pct"/>
            <w:tcBorders>
              <w:top w:val="nil"/>
              <w:left w:val="nil"/>
              <w:bottom w:val="nil"/>
              <w:right w:val="nil"/>
            </w:tcBorders>
            <w:shd w:val="clear" w:color="auto" w:fill="auto"/>
            <w:noWrap/>
            <w:vAlign w:val="center"/>
            <w:hideMark/>
          </w:tcPr>
          <w:p w14:paraId="29114FAC" w14:textId="77777777" w:rsidR="008B1B72" w:rsidRPr="000E693F" w:rsidRDefault="008B1B72" w:rsidP="00881862">
            <w:pPr>
              <w:jc w:val="right"/>
              <w:rPr>
                <w:sz w:val="16"/>
                <w:szCs w:val="16"/>
              </w:rPr>
            </w:pPr>
          </w:p>
        </w:tc>
        <w:tc>
          <w:tcPr>
            <w:tcW w:w="728" w:type="pct"/>
            <w:tcBorders>
              <w:top w:val="nil"/>
              <w:left w:val="nil"/>
              <w:bottom w:val="nil"/>
              <w:right w:val="nil"/>
            </w:tcBorders>
            <w:shd w:val="clear" w:color="auto" w:fill="auto"/>
            <w:noWrap/>
            <w:vAlign w:val="center"/>
            <w:hideMark/>
          </w:tcPr>
          <w:p w14:paraId="182A39DA" w14:textId="77777777" w:rsidR="008B1B72" w:rsidRPr="000E693F" w:rsidRDefault="008B1B72" w:rsidP="00881862">
            <w:pPr>
              <w:jc w:val="right"/>
              <w:rPr>
                <w:sz w:val="16"/>
                <w:szCs w:val="16"/>
              </w:rPr>
            </w:pPr>
          </w:p>
        </w:tc>
      </w:tr>
      <w:tr w:rsidR="000E693F" w:rsidRPr="000E693F" w14:paraId="52C58B00" w14:textId="77777777" w:rsidTr="00EE0BAF">
        <w:trPr>
          <w:trHeight w:val="240"/>
        </w:trPr>
        <w:tc>
          <w:tcPr>
            <w:tcW w:w="1075" w:type="pct"/>
            <w:tcBorders>
              <w:top w:val="nil"/>
              <w:left w:val="nil"/>
              <w:bottom w:val="nil"/>
              <w:right w:val="nil"/>
            </w:tcBorders>
            <w:shd w:val="clear" w:color="auto" w:fill="auto"/>
            <w:noWrap/>
            <w:vAlign w:val="center"/>
            <w:hideMark/>
          </w:tcPr>
          <w:p w14:paraId="5CFDD424" w14:textId="77777777" w:rsidR="008B1B72" w:rsidRPr="000E693F" w:rsidRDefault="008B1B72" w:rsidP="007D40EC">
            <w:pPr>
              <w:rPr>
                <w:sz w:val="16"/>
                <w:szCs w:val="16"/>
              </w:rPr>
            </w:pPr>
          </w:p>
        </w:tc>
        <w:tc>
          <w:tcPr>
            <w:tcW w:w="1784" w:type="pct"/>
            <w:tcBorders>
              <w:top w:val="nil"/>
              <w:left w:val="nil"/>
              <w:bottom w:val="nil"/>
              <w:right w:val="nil"/>
            </w:tcBorders>
            <w:shd w:val="clear" w:color="auto" w:fill="auto"/>
            <w:noWrap/>
            <w:vAlign w:val="center"/>
            <w:hideMark/>
          </w:tcPr>
          <w:p w14:paraId="10C05AF9"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Obrigações com pessoal</w:t>
            </w:r>
          </w:p>
        </w:tc>
        <w:tc>
          <w:tcPr>
            <w:tcW w:w="740" w:type="pct"/>
            <w:tcBorders>
              <w:top w:val="nil"/>
              <w:left w:val="nil"/>
              <w:bottom w:val="nil"/>
              <w:right w:val="nil"/>
            </w:tcBorders>
            <w:shd w:val="clear" w:color="auto" w:fill="auto"/>
            <w:noWrap/>
            <w:vAlign w:val="center"/>
            <w:hideMark/>
          </w:tcPr>
          <w:p w14:paraId="3E6EB988"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6.315.129 </w:t>
            </w:r>
          </w:p>
        </w:tc>
        <w:tc>
          <w:tcPr>
            <w:tcW w:w="672" w:type="pct"/>
            <w:tcBorders>
              <w:top w:val="nil"/>
              <w:left w:val="nil"/>
              <w:bottom w:val="nil"/>
              <w:right w:val="nil"/>
            </w:tcBorders>
            <w:shd w:val="clear" w:color="auto" w:fill="auto"/>
            <w:noWrap/>
            <w:vAlign w:val="center"/>
            <w:hideMark/>
          </w:tcPr>
          <w:p w14:paraId="38D05D4A"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(958.197)</w:t>
            </w:r>
          </w:p>
        </w:tc>
        <w:tc>
          <w:tcPr>
            <w:tcW w:w="728" w:type="pct"/>
            <w:tcBorders>
              <w:top w:val="nil"/>
              <w:left w:val="nil"/>
              <w:bottom w:val="nil"/>
              <w:right w:val="nil"/>
            </w:tcBorders>
            <w:shd w:val="clear" w:color="auto" w:fill="auto"/>
            <w:noWrap/>
            <w:vAlign w:val="center"/>
            <w:hideMark/>
          </w:tcPr>
          <w:p w14:paraId="2C97B348"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5.356.932 </w:t>
            </w:r>
          </w:p>
        </w:tc>
      </w:tr>
      <w:tr w:rsidR="000E693F" w:rsidRPr="000E693F" w14:paraId="218709AD" w14:textId="77777777" w:rsidTr="00EE0BAF">
        <w:trPr>
          <w:trHeight w:val="240"/>
        </w:trPr>
        <w:tc>
          <w:tcPr>
            <w:tcW w:w="1075" w:type="pct"/>
            <w:tcBorders>
              <w:top w:val="nil"/>
              <w:left w:val="nil"/>
              <w:bottom w:val="nil"/>
              <w:right w:val="nil"/>
            </w:tcBorders>
            <w:shd w:val="clear" w:color="auto" w:fill="auto"/>
            <w:noWrap/>
            <w:vAlign w:val="center"/>
            <w:hideMark/>
          </w:tcPr>
          <w:p w14:paraId="7F726187" w14:textId="77777777" w:rsidR="008B1B72" w:rsidRPr="000E693F" w:rsidRDefault="008B1B72" w:rsidP="007D40EC">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621472C6"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Tributos Retidos na Fonte</w:t>
            </w:r>
          </w:p>
        </w:tc>
        <w:tc>
          <w:tcPr>
            <w:tcW w:w="740" w:type="pct"/>
            <w:tcBorders>
              <w:top w:val="nil"/>
              <w:left w:val="nil"/>
              <w:bottom w:val="nil"/>
              <w:right w:val="nil"/>
            </w:tcBorders>
            <w:shd w:val="clear" w:color="auto" w:fill="auto"/>
            <w:noWrap/>
            <w:vAlign w:val="center"/>
            <w:hideMark/>
          </w:tcPr>
          <w:p w14:paraId="45840426"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600.587 </w:t>
            </w:r>
          </w:p>
        </w:tc>
        <w:tc>
          <w:tcPr>
            <w:tcW w:w="672" w:type="pct"/>
            <w:tcBorders>
              <w:top w:val="nil"/>
              <w:left w:val="nil"/>
              <w:bottom w:val="nil"/>
              <w:right w:val="nil"/>
            </w:tcBorders>
            <w:shd w:val="clear" w:color="auto" w:fill="auto"/>
            <w:noWrap/>
            <w:vAlign w:val="center"/>
            <w:hideMark/>
          </w:tcPr>
          <w:p w14:paraId="74A0070F"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(598.377)</w:t>
            </w:r>
          </w:p>
        </w:tc>
        <w:tc>
          <w:tcPr>
            <w:tcW w:w="728" w:type="pct"/>
            <w:tcBorders>
              <w:top w:val="nil"/>
              <w:left w:val="nil"/>
              <w:bottom w:val="nil"/>
              <w:right w:val="nil"/>
            </w:tcBorders>
            <w:shd w:val="clear" w:color="auto" w:fill="auto"/>
            <w:noWrap/>
            <w:vAlign w:val="center"/>
            <w:hideMark/>
          </w:tcPr>
          <w:p w14:paraId="3A3BC1D0"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2.210 </w:t>
            </w:r>
          </w:p>
        </w:tc>
      </w:tr>
      <w:tr w:rsidR="000E693F" w:rsidRPr="000E693F" w14:paraId="654C150F" w14:textId="77777777" w:rsidTr="00EE0BAF">
        <w:trPr>
          <w:trHeight w:val="240"/>
        </w:trPr>
        <w:tc>
          <w:tcPr>
            <w:tcW w:w="1075" w:type="pct"/>
            <w:tcBorders>
              <w:top w:val="nil"/>
              <w:left w:val="nil"/>
              <w:bottom w:val="nil"/>
              <w:right w:val="nil"/>
            </w:tcBorders>
            <w:shd w:val="clear" w:color="auto" w:fill="auto"/>
            <w:noWrap/>
            <w:vAlign w:val="center"/>
            <w:hideMark/>
          </w:tcPr>
          <w:p w14:paraId="548B05C4" w14:textId="77777777" w:rsidR="008B1B72" w:rsidRPr="000E693F" w:rsidRDefault="008B1B72" w:rsidP="007D40EC">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74691AD3"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Fornecedores</w:t>
            </w:r>
          </w:p>
        </w:tc>
        <w:tc>
          <w:tcPr>
            <w:tcW w:w="740" w:type="pct"/>
            <w:tcBorders>
              <w:top w:val="nil"/>
              <w:left w:val="nil"/>
              <w:bottom w:val="nil"/>
              <w:right w:val="nil"/>
            </w:tcBorders>
            <w:shd w:val="clear" w:color="auto" w:fill="auto"/>
            <w:noWrap/>
            <w:vAlign w:val="center"/>
            <w:hideMark/>
          </w:tcPr>
          <w:p w14:paraId="7F36FCB2"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1.517.069 </w:t>
            </w:r>
          </w:p>
        </w:tc>
        <w:tc>
          <w:tcPr>
            <w:tcW w:w="672" w:type="pct"/>
            <w:tcBorders>
              <w:top w:val="nil"/>
              <w:left w:val="nil"/>
              <w:bottom w:val="nil"/>
              <w:right w:val="nil"/>
            </w:tcBorders>
            <w:shd w:val="clear" w:color="auto" w:fill="auto"/>
            <w:noWrap/>
            <w:vAlign w:val="center"/>
            <w:hideMark/>
          </w:tcPr>
          <w:p w14:paraId="7B89362A"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(1.506.601)</w:t>
            </w:r>
          </w:p>
        </w:tc>
        <w:tc>
          <w:tcPr>
            <w:tcW w:w="728" w:type="pct"/>
            <w:tcBorders>
              <w:top w:val="nil"/>
              <w:left w:val="nil"/>
              <w:bottom w:val="nil"/>
              <w:right w:val="nil"/>
            </w:tcBorders>
            <w:shd w:val="clear" w:color="auto" w:fill="auto"/>
            <w:noWrap/>
            <w:vAlign w:val="center"/>
            <w:hideMark/>
          </w:tcPr>
          <w:p w14:paraId="59EFF30D"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10.468 </w:t>
            </w:r>
          </w:p>
        </w:tc>
      </w:tr>
      <w:tr w:rsidR="000E693F" w:rsidRPr="000E693F" w14:paraId="6794F465" w14:textId="77777777" w:rsidTr="00EE0BAF">
        <w:trPr>
          <w:trHeight w:val="240"/>
        </w:trPr>
        <w:tc>
          <w:tcPr>
            <w:tcW w:w="1075" w:type="pct"/>
            <w:tcBorders>
              <w:top w:val="nil"/>
              <w:left w:val="nil"/>
              <w:bottom w:val="nil"/>
              <w:right w:val="nil"/>
            </w:tcBorders>
            <w:shd w:val="clear" w:color="auto" w:fill="auto"/>
            <w:noWrap/>
            <w:vAlign w:val="center"/>
            <w:hideMark/>
          </w:tcPr>
          <w:p w14:paraId="32D0CA66" w14:textId="77777777" w:rsidR="008B1B72" w:rsidRPr="000E693F" w:rsidRDefault="008B1B72" w:rsidP="007D40EC">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0EF17EC1"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Tributos a recolher</w:t>
            </w:r>
          </w:p>
        </w:tc>
        <w:tc>
          <w:tcPr>
            <w:tcW w:w="740" w:type="pct"/>
            <w:tcBorders>
              <w:top w:val="nil"/>
              <w:left w:val="nil"/>
              <w:bottom w:val="nil"/>
              <w:right w:val="nil"/>
            </w:tcBorders>
            <w:shd w:val="clear" w:color="auto" w:fill="auto"/>
            <w:noWrap/>
            <w:vAlign w:val="center"/>
            <w:hideMark/>
          </w:tcPr>
          <w:p w14:paraId="61986177"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1.513.038 </w:t>
            </w:r>
          </w:p>
        </w:tc>
        <w:tc>
          <w:tcPr>
            <w:tcW w:w="672" w:type="pct"/>
            <w:tcBorders>
              <w:top w:val="nil"/>
              <w:left w:val="nil"/>
              <w:bottom w:val="nil"/>
              <w:right w:val="nil"/>
            </w:tcBorders>
            <w:shd w:val="clear" w:color="auto" w:fill="auto"/>
            <w:noWrap/>
            <w:vAlign w:val="center"/>
            <w:hideMark/>
          </w:tcPr>
          <w:p w14:paraId="2DE00AA4"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(1.226.666)</w:t>
            </w:r>
          </w:p>
        </w:tc>
        <w:tc>
          <w:tcPr>
            <w:tcW w:w="728" w:type="pct"/>
            <w:tcBorders>
              <w:top w:val="nil"/>
              <w:left w:val="nil"/>
              <w:bottom w:val="nil"/>
              <w:right w:val="nil"/>
            </w:tcBorders>
            <w:shd w:val="clear" w:color="auto" w:fill="auto"/>
            <w:noWrap/>
            <w:vAlign w:val="center"/>
            <w:hideMark/>
          </w:tcPr>
          <w:p w14:paraId="07050B73"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286.372 </w:t>
            </w:r>
          </w:p>
        </w:tc>
      </w:tr>
      <w:tr w:rsidR="000E693F" w:rsidRPr="000E693F" w14:paraId="27EA7D0B" w14:textId="77777777" w:rsidTr="00EE0BAF">
        <w:trPr>
          <w:trHeight w:val="240"/>
        </w:trPr>
        <w:tc>
          <w:tcPr>
            <w:tcW w:w="1075" w:type="pct"/>
            <w:tcBorders>
              <w:top w:val="nil"/>
              <w:left w:val="nil"/>
              <w:bottom w:val="nil"/>
              <w:right w:val="nil"/>
            </w:tcBorders>
            <w:shd w:val="clear" w:color="auto" w:fill="auto"/>
            <w:noWrap/>
            <w:vAlign w:val="center"/>
            <w:hideMark/>
          </w:tcPr>
          <w:p w14:paraId="5870BAAE" w14:textId="77777777" w:rsidR="008B1B72" w:rsidRPr="000E693F" w:rsidRDefault="008B1B72" w:rsidP="007D40EC">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77B685F1"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Termo de Execução Descentralizada</w:t>
            </w:r>
          </w:p>
        </w:tc>
        <w:tc>
          <w:tcPr>
            <w:tcW w:w="740" w:type="pct"/>
            <w:tcBorders>
              <w:top w:val="nil"/>
              <w:left w:val="nil"/>
              <w:bottom w:val="nil"/>
              <w:right w:val="nil"/>
            </w:tcBorders>
            <w:shd w:val="clear" w:color="auto" w:fill="auto"/>
            <w:noWrap/>
            <w:vAlign w:val="center"/>
            <w:hideMark/>
          </w:tcPr>
          <w:p w14:paraId="303D5B7F"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15.201.462 </w:t>
            </w:r>
          </w:p>
        </w:tc>
        <w:tc>
          <w:tcPr>
            <w:tcW w:w="672" w:type="pct"/>
            <w:tcBorders>
              <w:top w:val="nil"/>
              <w:left w:val="nil"/>
              <w:bottom w:val="nil"/>
              <w:right w:val="nil"/>
            </w:tcBorders>
            <w:shd w:val="clear" w:color="auto" w:fill="auto"/>
            <w:noWrap/>
            <w:vAlign w:val="center"/>
            <w:hideMark/>
          </w:tcPr>
          <w:p w14:paraId="3CEBF52C"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1.943.699 </w:t>
            </w:r>
          </w:p>
        </w:tc>
        <w:tc>
          <w:tcPr>
            <w:tcW w:w="728" w:type="pct"/>
            <w:tcBorders>
              <w:top w:val="nil"/>
              <w:left w:val="nil"/>
              <w:bottom w:val="nil"/>
              <w:right w:val="nil"/>
            </w:tcBorders>
            <w:shd w:val="clear" w:color="auto" w:fill="auto"/>
            <w:noWrap/>
            <w:vAlign w:val="center"/>
            <w:hideMark/>
          </w:tcPr>
          <w:p w14:paraId="43297140"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17.145.161 </w:t>
            </w:r>
          </w:p>
        </w:tc>
      </w:tr>
      <w:tr w:rsidR="000E693F" w:rsidRPr="000E693F" w14:paraId="32FC8655" w14:textId="77777777" w:rsidTr="00EE0BAF">
        <w:trPr>
          <w:trHeight w:val="240"/>
        </w:trPr>
        <w:tc>
          <w:tcPr>
            <w:tcW w:w="1075" w:type="pct"/>
            <w:tcBorders>
              <w:top w:val="nil"/>
              <w:left w:val="nil"/>
              <w:bottom w:val="nil"/>
              <w:right w:val="nil"/>
            </w:tcBorders>
            <w:shd w:val="clear" w:color="auto" w:fill="auto"/>
            <w:noWrap/>
            <w:vAlign w:val="center"/>
            <w:hideMark/>
          </w:tcPr>
          <w:p w14:paraId="69CBCBD6" w14:textId="77777777" w:rsidR="008B1B72" w:rsidRPr="000E693F" w:rsidRDefault="008B1B72" w:rsidP="007D40EC">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4A57BD76"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Arrendamento mercantil</w:t>
            </w:r>
          </w:p>
        </w:tc>
        <w:tc>
          <w:tcPr>
            <w:tcW w:w="740" w:type="pct"/>
            <w:tcBorders>
              <w:top w:val="nil"/>
              <w:left w:val="nil"/>
              <w:bottom w:val="nil"/>
              <w:right w:val="nil"/>
            </w:tcBorders>
            <w:shd w:val="clear" w:color="auto" w:fill="auto"/>
            <w:noWrap/>
            <w:vAlign w:val="center"/>
            <w:hideMark/>
          </w:tcPr>
          <w:p w14:paraId="230C4736"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2.595.784 </w:t>
            </w:r>
          </w:p>
        </w:tc>
        <w:tc>
          <w:tcPr>
            <w:tcW w:w="672" w:type="pct"/>
            <w:tcBorders>
              <w:top w:val="nil"/>
              <w:left w:val="nil"/>
              <w:bottom w:val="nil"/>
              <w:right w:val="nil"/>
            </w:tcBorders>
            <w:shd w:val="clear" w:color="auto" w:fill="auto"/>
            <w:noWrap/>
            <w:vAlign w:val="center"/>
            <w:hideMark/>
          </w:tcPr>
          <w:p w14:paraId="2914B950"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76.770 </w:t>
            </w:r>
          </w:p>
        </w:tc>
        <w:tc>
          <w:tcPr>
            <w:tcW w:w="728" w:type="pct"/>
            <w:tcBorders>
              <w:top w:val="nil"/>
              <w:left w:val="nil"/>
              <w:bottom w:val="nil"/>
              <w:right w:val="nil"/>
            </w:tcBorders>
            <w:shd w:val="clear" w:color="auto" w:fill="auto"/>
            <w:noWrap/>
            <w:vAlign w:val="center"/>
            <w:hideMark/>
          </w:tcPr>
          <w:p w14:paraId="1B15EB9C"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2.672.554 </w:t>
            </w:r>
          </w:p>
        </w:tc>
      </w:tr>
      <w:tr w:rsidR="000E693F" w:rsidRPr="000E693F" w14:paraId="3115D0B3" w14:textId="77777777" w:rsidTr="00EE0BAF">
        <w:trPr>
          <w:trHeight w:val="240"/>
        </w:trPr>
        <w:tc>
          <w:tcPr>
            <w:tcW w:w="1075" w:type="pct"/>
            <w:tcBorders>
              <w:top w:val="nil"/>
              <w:left w:val="nil"/>
              <w:bottom w:val="nil"/>
              <w:right w:val="nil"/>
            </w:tcBorders>
            <w:shd w:val="clear" w:color="auto" w:fill="auto"/>
            <w:noWrap/>
            <w:vAlign w:val="center"/>
            <w:hideMark/>
          </w:tcPr>
          <w:p w14:paraId="5599EC19" w14:textId="77777777" w:rsidR="008B1B72" w:rsidRPr="000E693F" w:rsidRDefault="008B1B72" w:rsidP="007D40EC">
            <w:pPr>
              <w:rPr>
                <w:rFonts w:ascii="Calibri" w:hAnsi="Calibri" w:cs="Calibri"/>
                <w:b/>
                <w:bCs/>
                <w:sz w:val="16"/>
                <w:szCs w:val="16"/>
              </w:rPr>
            </w:pPr>
            <w:r w:rsidRPr="000E693F">
              <w:rPr>
                <w:rFonts w:ascii="Calibri" w:hAnsi="Calibri" w:cs="Calibri"/>
                <w:b/>
                <w:bCs/>
                <w:sz w:val="16"/>
                <w:szCs w:val="16"/>
              </w:rPr>
              <w:t>Total Circulante</w:t>
            </w:r>
          </w:p>
        </w:tc>
        <w:tc>
          <w:tcPr>
            <w:tcW w:w="1784" w:type="pct"/>
            <w:tcBorders>
              <w:top w:val="nil"/>
              <w:left w:val="nil"/>
              <w:bottom w:val="nil"/>
              <w:right w:val="nil"/>
            </w:tcBorders>
            <w:shd w:val="clear" w:color="auto" w:fill="auto"/>
            <w:noWrap/>
            <w:vAlign w:val="center"/>
            <w:hideMark/>
          </w:tcPr>
          <w:p w14:paraId="0D035D51" w14:textId="77777777" w:rsidR="008B1B72" w:rsidRPr="000E693F" w:rsidRDefault="008B1B72" w:rsidP="007D40EC">
            <w:pPr>
              <w:rPr>
                <w:rFonts w:ascii="Calibri" w:hAnsi="Calibri" w:cs="Calibri"/>
                <w:b/>
                <w:bCs/>
                <w:sz w:val="16"/>
                <w:szCs w:val="16"/>
              </w:rPr>
            </w:pPr>
          </w:p>
        </w:tc>
        <w:tc>
          <w:tcPr>
            <w:tcW w:w="740" w:type="pct"/>
            <w:tcBorders>
              <w:top w:val="single" w:sz="4" w:space="0" w:color="AEAAAA"/>
              <w:left w:val="nil"/>
              <w:bottom w:val="single" w:sz="4" w:space="0" w:color="auto"/>
              <w:right w:val="nil"/>
            </w:tcBorders>
            <w:shd w:val="clear" w:color="auto" w:fill="auto"/>
            <w:noWrap/>
            <w:vAlign w:val="center"/>
            <w:hideMark/>
          </w:tcPr>
          <w:p w14:paraId="551FA4EC"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 xml:space="preserve">    27.743.069 </w:t>
            </w:r>
          </w:p>
        </w:tc>
        <w:tc>
          <w:tcPr>
            <w:tcW w:w="672" w:type="pct"/>
            <w:tcBorders>
              <w:top w:val="nil"/>
              <w:left w:val="nil"/>
              <w:bottom w:val="nil"/>
              <w:right w:val="nil"/>
            </w:tcBorders>
            <w:shd w:val="clear" w:color="auto" w:fill="auto"/>
            <w:noWrap/>
            <w:vAlign w:val="center"/>
            <w:hideMark/>
          </w:tcPr>
          <w:p w14:paraId="3A06C9ED"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 xml:space="preserve">  (2.269.372)</w:t>
            </w:r>
          </w:p>
        </w:tc>
        <w:tc>
          <w:tcPr>
            <w:tcW w:w="728" w:type="pct"/>
            <w:tcBorders>
              <w:top w:val="single" w:sz="4" w:space="0" w:color="AEAAAA"/>
              <w:left w:val="nil"/>
              <w:bottom w:val="single" w:sz="4" w:space="0" w:color="auto"/>
              <w:right w:val="nil"/>
            </w:tcBorders>
            <w:shd w:val="clear" w:color="auto" w:fill="auto"/>
            <w:noWrap/>
            <w:vAlign w:val="center"/>
            <w:hideMark/>
          </w:tcPr>
          <w:p w14:paraId="317D5AEC"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 xml:space="preserve">    25.473.697 </w:t>
            </w:r>
          </w:p>
        </w:tc>
      </w:tr>
      <w:tr w:rsidR="000E693F" w:rsidRPr="000E693F" w14:paraId="4FC16028" w14:textId="77777777" w:rsidTr="00EE0BAF">
        <w:trPr>
          <w:trHeight w:hRule="exact" w:val="113"/>
        </w:trPr>
        <w:tc>
          <w:tcPr>
            <w:tcW w:w="1075" w:type="pct"/>
            <w:tcBorders>
              <w:top w:val="nil"/>
              <w:left w:val="nil"/>
              <w:bottom w:val="nil"/>
              <w:right w:val="nil"/>
            </w:tcBorders>
            <w:shd w:val="clear" w:color="auto" w:fill="auto"/>
            <w:noWrap/>
            <w:vAlign w:val="center"/>
          </w:tcPr>
          <w:p w14:paraId="0BAE2BF9" w14:textId="77777777" w:rsidR="00881862" w:rsidRPr="000E693F" w:rsidRDefault="00881862" w:rsidP="007D40EC">
            <w:pPr>
              <w:rPr>
                <w:rFonts w:ascii="Calibri" w:hAnsi="Calibri" w:cs="Calibri"/>
                <w:b/>
                <w:bCs/>
                <w:sz w:val="16"/>
                <w:szCs w:val="16"/>
              </w:rPr>
            </w:pPr>
          </w:p>
        </w:tc>
        <w:tc>
          <w:tcPr>
            <w:tcW w:w="1784" w:type="pct"/>
            <w:tcBorders>
              <w:top w:val="nil"/>
              <w:left w:val="nil"/>
              <w:bottom w:val="nil"/>
              <w:right w:val="nil"/>
            </w:tcBorders>
            <w:shd w:val="clear" w:color="auto" w:fill="auto"/>
            <w:noWrap/>
            <w:vAlign w:val="center"/>
          </w:tcPr>
          <w:p w14:paraId="33D99EBD" w14:textId="77777777" w:rsidR="00881862" w:rsidRPr="000E693F" w:rsidRDefault="00881862" w:rsidP="007D40EC">
            <w:pPr>
              <w:rPr>
                <w:rFonts w:ascii="Calibri" w:hAnsi="Calibri" w:cs="Calibri"/>
                <w:b/>
                <w:bCs/>
                <w:sz w:val="16"/>
                <w:szCs w:val="16"/>
              </w:rPr>
            </w:pPr>
          </w:p>
        </w:tc>
        <w:tc>
          <w:tcPr>
            <w:tcW w:w="740" w:type="pct"/>
            <w:tcBorders>
              <w:top w:val="nil"/>
              <w:left w:val="nil"/>
              <w:bottom w:val="nil"/>
              <w:right w:val="nil"/>
            </w:tcBorders>
            <w:shd w:val="clear" w:color="auto" w:fill="auto"/>
            <w:noWrap/>
            <w:vAlign w:val="center"/>
          </w:tcPr>
          <w:p w14:paraId="3EAB83BD" w14:textId="77777777" w:rsidR="00881862" w:rsidRPr="000E693F" w:rsidRDefault="00881862" w:rsidP="00881862">
            <w:pPr>
              <w:jc w:val="right"/>
              <w:rPr>
                <w:sz w:val="16"/>
                <w:szCs w:val="16"/>
              </w:rPr>
            </w:pPr>
          </w:p>
        </w:tc>
        <w:tc>
          <w:tcPr>
            <w:tcW w:w="672" w:type="pct"/>
            <w:tcBorders>
              <w:top w:val="nil"/>
              <w:left w:val="nil"/>
              <w:bottom w:val="nil"/>
              <w:right w:val="nil"/>
            </w:tcBorders>
            <w:shd w:val="clear" w:color="auto" w:fill="auto"/>
            <w:noWrap/>
            <w:vAlign w:val="center"/>
          </w:tcPr>
          <w:p w14:paraId="54E9C3A6" w14:textId="77777777" w:rsidR="00881862" w:rsidRPr="000E693F" w:rsidRDefault="00881862" w:rsidP="00881862">
            <w:pPr>
              <w:jc w:val="right"/>
              <w:rPr>
                <w:sz w:val="16"/>
                <w:szCs w:val="16"/>
              </w:rPr>
            </w:pPr>
          </w:p>
        </w:tc>
        <w:tc>
          <w:tcPr>
            <w:tcW w:w="728" w:type="pct"/>
            <w:tcBorders>
              <w:top w:val="nil"/>
              <w:left w:val="nil"/>
              <w:bottom w:val="nil"/>
              <w:right w:val="nil"/>
            </w:tcBorders>
            <w:shd w:val="clear" w:color="auto" w:fill="auto"/>
            <w:noWrap/>
            <w:vAlign w:val="center"/>
          </w:tcPr>
          <w:p w14:paraId="270396EA" w14:textId="77777777" w:rsidR="00881862" w:rsidRPr="000E693F" w:rsidRDefault="00881862" w:rsidP="00881862">
            <w:pPr>
              <w:jc w:val="right"/>
              <w:rPr>
                <w:sz w:val="16"/>
                <w:szCs w:val="16"/>
              </w:rPr>
            </w:pPr>
          </w:p>
        </w:tc>
      </w:tr>
      <w:tr w:rsidR="000E693F" w:rsidRPr="000E693F" w14:paraId="5A950C35" w14:textId="77777777" w:rsidTr="00EE0BAF">
        <w:trPr>
          <w:trHeight w:val="240"/>
        </w:trPr>
        <w:tc>
          <w:tcPr>
            <w:tcW w:w="1075" w:type="pct"/>
            <w:tcBorders>
              <w:top w:val="nil"/>
              <w:left w:val="nil"/>
              <w:bottom w:val="nil"/>
              <w:right w:val="nil"/>
            </w:tcBorders>
            <w:shd w:val="clear" w:color="auto" w:fill="auto"/>
            <w:noWrap/>
            <w:vAlign w:val="center"/>
            <w:hideMark/>
          </w:tcPr>
          <w:p w14:paraId="1B72CA47" w14:textId="77777777" w:rsidR="008B1B72" w:rsidRPr="000E693F" w:rsidRDefault="008B1B72" w:rsidP="007D40EC">
            <w:pPr>
              <w:rPr>
                <w:rFonts w:ascii="Calibri" w:hAnsi="Calibri" w:cs="Calibri"/>
                <w:b/>
                <w:bCs/>
                <w:sz w:val="16"/>
                <w:szCs w:val="16"/>
              </w:rPr>
            </w:pPr>
            <w:r w:rsidRPr="000E693F">
              <w:rPr>
                <w:rFonts w:ascii="Calibri" w:hAnsi="Calibri" w:cs="Calibri"/>
                <w:b/>
                <w:bCs/>
                <w:sz w:val="16"/>
                <w:szCs w:val="16"/>
              </w:rPr>
              <w:t>Não Circulante</w:t>
            </w:r>
          </w:p>
        </w:tc>
        <w:tc>
          <w:tcPr>
            <w:tcW w:w="1784" w:type="pct"/>
            <w:tcBorders>
              <w:top w:val="nil"/>
              <w:left w:val="nil"/>
              <w:bottom w:val="nil"/>
              <w:right w:val="nil"/>
            </w:tcBorders>
            <w:shd w:val="clear" w:color="auto" w:fill="auto"/>
            <w:noWrap/>
            <w:vAlign w:val="center"/>
            <w:hideMark/>
          </w:tcPr>
          <w:p w14:paraId="1DC6CC01" w14:textId="77777777" w:rsidR="008B1B72" w:rsidRPr="000E693F" w:rsidRDefault="008B1B72" w:rsidP="007D40EC">
            <w:pPr>
              <w:rPr>
                <w:rFonts w:ascii="Calibri" w:hAnsi="Calibri" w:cs="Calibri"/>
                <w:b/>
                <w:bCs/>
                <w:sz w:val="16"/>
                <w:szCs w:val="16"/>
              </w:rPr>
            </w:pPr>
          </w:p>
        </w:tc>
        <w:tc>
          <w:tcPr>
            <w:tcW w:w="740" w:type="pct"/>
            <w:tcBorders>
              <w:top w:val="nil"/>
              <w:left w:val="nil"/>
              <w:bottom w:val="nil"/>
              <w:right w:val="nil"/>
            </w:tcBorders>
            <w:shd w:val="clear" w:color="auto" w:fill="auto"/>
            <w:noWrap/>
            <w:vAlign w:val="center"/>
            <w:hideMark/>
          </w:tcPr>
          <w:p w14:paraId="6E8D08E8" w14:textId="77777777" w:rsidR="008B1B72" w:rsidRPr="000E693F" w:rsidRDefault="008B1B72" w:rsidP="00881862">
            <w:pPr>
              <w:jc w:val="right"/>
              <w:rPr>
                <w:sz w:val="16"/>
                <w:szCs w:val="16"/>
              </w:rPr>
            </w:pPr>
          </w:p>
        </w:tc>
        <w:tc>
          <w:tcPr>
            <w:tcW w:w="672" w:type="pct"/>
            <w:tcBorders>
              <w:top w:val="nil"/>
              <w:left w:val="nil"/>
              <w:bottom w:val="nil"/>
              <w:right w:val="nil"/>
            </w:tcBorders>
            <w:shd w:val="clear" w:color="auto" w:fill="auto"/>
            <w:noWrap/>
            <w:vAlign w:val="center"/>
            <w:hideMark/>
          </w:tcPr>
          <w:p w14:paraId="339B99DD" w14:textId="77777777" w:rsidR="008B1B72" w:rsidRPr="000E693F" w:rsidRDefault="008B1B72" w:rsidP="00881862">
            <w:pPr>
              <w:jc w:val="right"/>
              <w:rPr>
                <w:sz w:val="16"/>
                <w:szCs w:val="16"/>
              </w:rPr>
            </w:pPr>
          </w:p>
        </w:tc>
        <w:tc>
          <w:tcPr>
            <w:tcW w:w="728" w:type="pct"/>
            <w:tcBorders>
              <w:top w:val="nil"/>
              <w:left w:val="nil"/>
              <w:bottom w:val="nil"/>
              <w:right w:val="nil"/>
            </w:tcBorders>
            <w:shd w:val="clear" w:color="auto" w:fill="auto"/>
            <w:noWrap/>
            <w:vAlign w:val="center"/>
            <w:hideMark/>
          </w:tcPr>
          <w:p w14:paraId="736A92F7" w14:textId="77777777" w:rsidR="008B1B72" w:rsidRPr="000E693F" w:rsidRDefault="008B1B72" w:rsidP="00881862">
            <w:pPr>
              <w:jc w:val="right"/>
              <w:rPr>
                <w:sz w:val="16"/>
                <w:szCs w:val="16"/>
              </w:rPr>
            </w:pPr>
          </w:p>
        </w:tc>
      </w:tr>
      <w:tr w:rsidR="000E693F" w:rsidRPr="000E693F" w14:paraId="42015108" w14:textId="77777777" w:rsidTr="00EE0BAF">
        <w:trPr>
          <w:trHeight w:val="240"/>
        </w:trPr>
        <w:tc>
          <w:tcPr>
            <w:tcW w:w="1075" w:type="pct"/>
            <w:tcBorders>
              <w:top w:val="nil"/>
              <w:left w:val="nil"/>
              <w:bottom w:val="nil"/>
              <w:right w:val="nil"/>
            </w:tcBorders>
            <w:shd w:val="clear" w:color="auto" w:fill="auto"/>
            <w:noWrap/>
            <w:vAlign w:val="center"/>
            <w:hideMark/>
          </w:tcPr>
          <w:p w14:paraId="23023E79" w14:textId="77777777" w:rsidR="008B1B72" w:rsidRPr="000E693F" w:rsidRDefault="008B1B72" w:rsidP="007D40EC">
            <w:pPr>
              <w:rPr>
                <w:sz w:val="16"/>
                <w:szCs w:val="16"/>
              </w:rPr>
            </w:pPr>
          </w:p>
        </w:tc>
        <w:tc>
          <w:tcPr>
            <w:tcW w:w="1784" w:type="pct"/>
            <w:tcBorders>
              <w:top w:val="nil"/>
              <w:left w:val="nil"/>
              <w:bottom w:val="nil"/>
              <w:right w:val="nil"/>
            </w:tcBorders>
            <w:shd w:val="clear" w:color="auto" w:fill="auto"/>
            <w:noWrap/>
            <w:vAlign w:val="center"/>
            <w:hideMark/>
          </w:tcPr>
          <w:p w14:paraId="28236D0B"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Provisões para contingências</w:t>
            </w:r>
          </w:p>
        </w:tc>
        <w:tc>
          <w:tcPr>
            <w:tcW w:w="740" w:type="pct"/>
            <w:tcBorders>
              <w:top w:val="nil"/>
              <w:left w:val="nil"/>
              <w:bottom w:val="nil"/>
              <w:right w:val="nil"/>
            </w:tcBorders>
            <w:shd w:val="clear" w:color="auto" w:fill="auto"/>
            <w:noWrap/>
            <w:vAlign w:val="center"/>
            <w:hideMark/>
          </w:tcPr>
          <w:p w14:paraId="721B049A"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2.703.226 </w:t>
            </w:r>
          </w:p>
        </w:tc>
        <w:tc>
          <w:tcPr>
            <w:tcW w:w="672" w:type="pct"/>
            <w:tcBorders>
              <w:top w:val="nil"/>
              <w:left w:val="nil"/>
              <w:bottom w:val="nil"/>
              <w:right w:val="nil"/>
            </w:tcBorders>
            <w:shd w:val="clear" w:color="auto" w:fill="auto"/>
            <w:noWrap/>
            <w:vAlign w:val="center"/>
            <w:hideMark/>
          </w:tcPr>
          <w:p w14:paraId="118C7E56"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25.894 </w:t>
            </w:r>
          </w:p>
        </w:tc>
        <w:tc>
          <w:tcPr>
            <w:tcW w:w="728" w:type="pct"/>
            <w:tcBorders>
              <w:top w:val="nil"/>
              <w:left w:val="nil"/>
              <w:bottom w:val="nil"/>
              <w:right w:val="nil"/>
            </w:tcBorders>
            <w:shd w:val="clear" w:color="auto" w:fill="auto"/>
            <w:noWrap/>
            <w:vAlign w:val="center"/>
            <w:hideMark/>
          </w:tcPr>
          <w:p w14:paraId="55D75C6B"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2.729.120 </w:t>
            </w:r>
          </w:p>
        </w:tc>
      </w:tr>
      <w:tr w:rsidR="000E693F" w:rsidRPr="000E693F" w14:paraId="01FE9C8D" w14:textId="77777777" w:rsidTr="00EE0BAF">
        <w:trPr>
          <w:trHeight w:val="240"/>
        </w:trPr>
        <w:tc>
          <w:tcPr>
            <w:tcW w:w="1075" w:type="pct"/>
            <w:tcBorders>
              <w:top w:val="nil"/>
              <w:left w:val="nil"/>
              <w:bottom w:val="nil"/>
              <w:right w:val="nil"/>
            </w:tcBorders>
            <w:shd w:val="clear" w:color="auto" w:fill="auto"/>
            <w:noWrap/>
            <w:vAlign w:val="center"/>
            <w:hideMark/>
          </w:tcPr>
          <w:p w14:paraId="478E89C8" w14:textId="77777777" w:rsidR="008B1B72" w:rsidRPr="000E693F" w:rsidRDefault="008B1B72" w:rsidP="007D40EC">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42488A62"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Arrendamento mercantil</w:t>
            </w:r>
          </w:p>
        </w:tc>
        <w:tc>
          <w:tcPr>
            <w:tcW w:w="740" w:type="pct"/>
            <w:tcBorders>
              <w:top w:val="nil"/>
              <w:left w:val="nil"/>
              <w:bottom w:val="nil"/>
              <w:right w:val="nil"/>
            </w:tcBorders>
            <w:shd w:val="clear" w:color="auto" w:fill="auto"/>
            <w:noWrap/>
            <w:vAlign w:val="center"/>
            <w:hideMark/>
          </w:tcPr>
          <w:p w14:paraId="73F1AB70"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3.417.454 </w:t>
            </w:r>
          </w:p>
        </w:tc>
        <w:tc>
          <w:tcPr>
            <w:tcW w:w="672" w:type="pct"/>
            <w:tcBorders>
              <w:top w:val="nil"/>
              <w:left w:val="nil"/>
              <w:bottom w:val="nil"/>
              <w:right w:val="nil"/>
            </w:tcBorders>
            <w:shd w:val="clear" w:color="auto" w:fill="auto"/>
            <w:noWrap/>
            <w:vAlign w:val="center"/>
            <w:hideMark/>
          </w:tcPr>
          <w:p w14:paraId="194ADFBA"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(688.871)</w:t>
            </w:r>
          </w:p>
        </w:tc>
        <w:tc>
          <w:tcPr>
            <w:tcW w:w="728" w:type="pct"/>
            <w:tcBorders>
              <w:top w:val="nil"/>
              <w:left w:val="nil"/>
              <w:bottom w:val="nil"/>
              <w:right w:val="nil"/>
            </w:tcBorders>
            <w:shd w:val="clear" w:color="auto" w:fill="auto"/>
            <w:noWrap/>
            <w:vAlign w:val="center"/>
            <w:hideMark/>
          </w:tcPr>
          <w:p w14:paraId="687595BF"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2.728.583 </w:t>
            </w:r>
          </w:p>
        </w:tc>
      </w:tr>
      <w:tr w:rsidR="000E693F" w:rsidRPr="000E693F" w14:paraId="6E81D571" w14:textId="77777777" w:rsidTr="00EE0BAF">
        <w:trPr>
          <w:trHeight w:val="240"/>
        </w:trPr>
        <w:tc>
          <w:tcPr>
            <w:tcW w:w="1075" w:type="pct"/>
            <w:tcBorders>
              <w:top w:val="nil"/>
              <w:left w:val="nil"/>
              <w:bottom w:val="nil"/>
              <w:right w:val="nil"/>
            </w:tcBorders>
            <w:shd w:val="clear" w:color="auto" w:fill="auto"/>
            <w:noWrap/>
            <w:vAlign w:val="center"/>
            <w:hideMark/>
          </w:tcPr>
          <w:p w14:paraId="0CCB9178" w14:textId="77777777" w:rsidR="008B1B72" w:rsidRPr="000E693F" w:rsidRDefault="008B1B72" w:rsidP="007D40EC">
            <w:pPr>
              <w:rPr>
                <w:rFonts w:ascii="Calibri" w:hAnsi="Calibri" w:cs="Calibri"/>
                <w:b/>
                <w:bCs/>
                <w:sz w:val="16"/>
                <w:szCs w:val="16"/>
              </w:rPr>
            </w:pPr>
            <w:r w:rsidRPr="000E693F">
              <w:rPr>
                <w:rFonts w:ascii="Calibri" w:hAnsi="Calibri" w:cs="Calibri"/>
                <w:b/>
                <w:bCs/>
                <w:sz w:val="16"/>
                <w:szCs w:val="16"/>
              </w:rPr>
              <w:t>Total Não Circulante</w:t>
            </w:r>
          </w:p>
        </w:tc>
        <w:tc>
          <w:tcPr>
            <w:tcW w:w="1784" w:type="pct"/>
            <w:tcBorders>
              <w:top w:val="nil"/>
              <w:left w:val="nil"/>
              <w:bottom w:val="nil"/>
              <w:right w:val="nil"/>
            </w:tcBorders>
            <w:shd w:val="clear" w:color="auto" w:fill="auto"/>
            <w:noWrap/>
            <w:vAlign w:val="center"/>
            <w:hideMark/>
          </w:tcPr>
          <w:p w14:paraId="789871A5" w14:textId="77777777" w:rsidR="008B1B72" w:rsidRPr="000E693F" w:rsidRDefault="008B1B72" w:rsidP="007D40EC">
            <w:pPr>
              <w:rPr>
                <w:rFonts w:ascii="Calibri" w:hAnsi="Calibri" w:cs="Calibri"/>
                <w:b/>
                <w:bCs/>
                <w:sz w:val="16"/>
                <w:szCs w:val="16"/>
              </w:rPr>
            </w:pPr>
          </w:p>
        </w:tc>
        <w:tc>
          <w:tcPr>
            <w:tcW w:w="740" w:type="pct"/>
            <w:tcBorders>
              <w:top w:val="single" w:sz="4" w:space="0" w:color="AEAAAA"/>
              <w:left w:val="nil"/>
              <w:bottom w:val="single" w:sz="4" w:space="0" w:color="auto"/>
              <w:right w:val="nil"/>
            </w:tcBorders>
            <w:shd w:val="clear" w:color="auto" w:fill="auto"/>
            <w:noWrap/>
            <w:vAlign w:val="center"/>
            <w:hideMark/>
          </w:tcPr>
          <w:p w14:paraId="0B4CCAF8"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 xml:space="preserve">      6.120.680 </w:t>
            </w:r>
          </w:p>
        </w:tc>
        <w:tc>
          <w:tcPr>
            <w:tcW w:w="672" w:type="pct"/>
            <w:tcBorders>
              <w:top w:val="nil"/>
              <w:left w:val="nil"/>
              <w:bottom w:val="nil"/>
              <w:right w:val="nil"/>
            </w:tcBorders>
            <w:shd w:val="clear" w:color="auto" w:fill="auto"/>
            <w:noWrap/>
            <w:vAlign w:val="center"/>
            <w:hideMark/>
          </w:tcPr>
          <w:p w14:paraId="1C1341AC" w14:textId="77777777" w:rsidR="008B1B72" w:rsidRPr="000E693F" w:rsidRDefault="008B1B72" w:rsidP="00881862">
            <w:pPr>
              <w:jc w:val="right"/>
              <w:rPr>
                <w:rFonts w:ascii="Calibri" w:hAnsi="Calibri" w:cs="Calibri"/>
                <w:b/>
                <w:bCs/>
                <w:sz w:val="16"/>
                <w:szCs w:val="16"/>
              </w:rPr>
            </w:pPr>
            <w:r w:rsidRPr="000E693F">
              <w:rPr>
                <w:rFonts w:ascii="Calibri" w:hAnsi="Calibri" w:cs="Calibri"/>
                <w:sz w:val="16"/>
                <w:szCs w:val="16"/>
              </w:rPr>
              <w:t xml:space="preserve">     </w:t>
            </w:r>
            <w:r w:rsidRPr="000E693F">
              <w:rPr>
                <w:rFonts w:ascii="Calibri" w:hAnsi="Calibri" w:cs="Calibri"/>
                <w:b/>
                <w:bCs/>
                <w:sz w:val="16"/>
                <w:szCs w:val="16"/>
              </w:rPr>
              <w:t>(662.977)</w:t>
            </w:r>
          </w:p>
        </w:tc>
        <w:tc>
          <w:tcPr>
            <w:tcW w:w="728" w:type="pct"/>
            <w:tcBorders>
              <w:top w:val="single" w:sz="4" w:space="0" w:color="AEAAAA"/>
              <w:left w:val="nil"/>
              <w:bottom w:val="single" w:sz="4" w:space="0" w:color="auto"/>
              <w:right w:val="nil"/>
            </w:tcBorders>
            <w:shd w:val="clear" w:color="auto" w:fill="auto"/>
            <w:noWrap/>
            <w:vAlign w:val="center"/>
            <w:hideMark/>
          </w:tcPr>
          <w:p w14:paraId="29CB1217"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 xml:space="preserve">      5.457.703 </w:t>
            </w:r>
          </w:p>
        </w:tc>
      </w:tr>
      <w:tr w:rsidR="000E693F" w:rsidRPr="000E693F" w14:paraId="2240E55E" w14:textId="77777777" w:rsidTr="00EE0BAF">
        <w:trPr>
          <w:trHeight w:hRule="exact" w:val="113"/>
        </w:trPr>
        <w:tc>
          <w:tcPr>
            <w:tcW w:w="1075" w:type="pct"/>
            <w:tcBorders>
              <w:top w:val="nil"/>
              <w:left w:val="nil"/>
              <w:bottom w:val="nil"/>
              <w:right w:val="nil"/>
            </w:tcBorders>
            <w:shd w:val="clear" w:color="auto" w:fill="auto"/>
            <w:noWrap/>
            <w:vAlign w:val="center"/>
            <w:hideMark/>
          </w:tcPr>
          <w:p w14:paraId="05E64F22" w14:textId="77777777" w:rsidR="008B1B72" w:rsidRPr="000E693F" w:rsidRDefault="008B1B72" w:rsidP="007D40EC">
            <w:pPr>
              <w:rPr>
                <w:rFonts w:ascii="Calibri" w:hAnsi="Calibri" w:cs="Calibri"/>
                <w:b/>
                <w:bCs/>
                <w:sz w:val="16"/>
                <w:szCs w:val="16"/>
              </w:rPr>
            </w:pPr>
          </w:p>
        </w:tc>
        <w:tc>
          <w:tcPr>
            <w:tcW w:w="1784" w:type="pct"/>
            <w:tcBorders>
              <w:top w:val="nil"/>
              <w:left w:val="nil"/>
              <w:bottom w:val="nil"/>
              <w:right w:val="nil"/>
            </w:tcBorders>
            <w:shd w:val="clear" w:color="auto" w:fill="auto"/>
            <w:noWrap/>
            <w:vAlign w:val="center"/>
            <w:hideMark/>
          </w:tcPr>
          <w:p w14:paraId="6F768139" w14:textId="77777777" w:rsidR="008B1B72" w:rsidRPr="000E693F" w:rsidRDefault="008B1B72" w:rsidP="007D40EC">
            <w:pPr>
              <w:rPr>
                <w:sz w:val="16"/>
                <w:szCs w:val="16"/>
              </w:rPr>
            </w:pPr>
          </w:p>
        </w:tc>
        <w:tc>
          <w:tcPr>
            <w:tcW w:w="740" w:type="pct"/>
            <w:tcBorders>
              <w:top w:val="nil"/>
              <w:left w:val="nil"/>
              <w:bottom w:val="nil"/>
              <w:right w:val="nil"/>
            </w:tcBorders>
            <w:shd w:val="clear" w:color="auto" w:fill="auto"/>
            <w:noWrap/>
            <w:vAlign w:val="center"/>
            <w:hideMark/>
          </w:tcPr>
          <w:p w14:paraId="3048588D" w14:textId="77777777" w:rsidR="008B1B72" w:rsidRPr="000E693F" w:rsidRDefault="008B1B72" w:rsidP="00881862">
            <w:pPr>
              <w:jc w:val="right"/>
              <w:rPr>
                <w:sz w:val="16"/>
                <w:szCs w:val="16"/>
              </w:rPr>
            </w:pPr>
          </w:p>
        </w:tc>
        <w:tc>
          <w:tcPr>
            <w:tcW w:w="672" w:type="pct"/>
            <w:tcBorders>
              <w:top w:val="nil"/>
              <w:left w:val="nil"/>
              <w:bottom w:val="nil"/>
              <w:right w:val="nil"/>
            </w:tcBorders>
            <w:shd w:val="clear" w:color="auto" w:fill="auto"/>
            <w:noWrap/>
            <w:vAlign w:val="center"/>
            <w:hideMark/>
          </w:tcPr>
          <w:p w14:paraId="6279E1FA" w14:textId="77777777" w:rsidR="008B1B72" w:rsidRPr="000E693F" w:rsidRDefault="008B1B72" w:rsidP="00881862">
            <w:pPr>
              <w:jc w:val="right"/>
              <w:rPr>
                <w:sz w:val="16"/>
                <w:szCs w:val="16"/>
              </w:rPr>
            </w:pPr>
          </w:p>
        </w:tc>
        <w:tc>
          <w:tcPr>
            <w:tcW w:w="728" w:type="pct"/>
            <w:tcBorders>
              <w:top w:val="nil"/>
              <w:left w:val="nil"/>
              <w:bottom w:val="nil"/>
              <w:right w:val="nil"/>
            </w:tcBorders>
            <w:shd w:val="clear" w:color="auto" w:fill="auto"/>
            <w:noWrap/>
            <w:vAlign w:val="center"/>
            <w:hideMark/>
          </w:tcPr>
          <w:p w14:paraId="78DF1BF8" w14:textId="77777777" w:rsidR="008B1B72" w:rsidRPr="000E693F" w:rsidRDefault="008B1B72" w:rsidP="00881862">
            <w:pPr>
              <w:jc w:val="right"/>
              <w:rPr>
                <w:sz w:val="16"/>
                <w:szCs w:val="16"/>
              </w:rPr>
            </w:pPr>
          </w:p>
        </w:tc>
      </w:tr>
      <w:tr w:rsidR="000E693F" w:rsidRPr="000E693F" w14:paraId="0EF94B42" w14:textId="77777777" w:rsidTr="00EE0BAF">
        <w:trPr>
          <w:trHeight w:val="240"/>
        </w:trPr>
        <w:tc>
          <w:tcPr>
            <w:tcW w:w="1075" w:type="pct"/>
            <w:tcBorders>
              <w:top w:val="nil"/>
              <w:left w:val="nil"/>
              <w:bottom w:val="nil"/>
              <w:right w:val="nil"/>
            </w:tcBorders>
            <w:shd w:val="clear" w:color="auto" w:fill="auto"/>
            <w:noWrap/>
            <w:vAlign w:val="center"/>
            <w:hideMark/>
          </w:tcPr>
          <w:p w14:paraId="04FE2741" w14:textId="77777777" w:rsidR="008B1B72" w:rsidRPr="000E693F" w:rsidRDefault="008B1B72" w:rsidP="007D40EC">
            <w:pPr>
              <w:rPr>
                <w:rFonts w:ascii="Calibri" w:hAnsi="Calibri" w:cs="Calibri"/>
                <w:b/>
                <w:bCs/>
                <w:sz w:val="16"/>
                <w:szCs w:val="16"/>
              </w:rPr>
            </w:pPr>
            <w:r w:rsidRPr="000E693F">
              <w:rPr>
                <w:rFonts w:ascii="Calibri" w:hAnsi="Calibri" w:cs="Calibri"/>
                <w:b/>
                <w:bCs/>
                <w:sz w:val="16"/>
                <w:szCs w:val="16"/>
              </w:rPr>
              <w:t>Patrimônio Líquido</w:t>
            </w:r>
          </w:p>
        </w:tc>
        <w:tc>
          <w:tcPr>
            <w:tcW w:w="1784" w:type="pct"/>
            <w:tcBorders>
              <w:top w:val="nil"/>
              <w:left w:val="nil"/>
              <w:bottom w:val="nil"/>
              <w:right w:val="nil"/>
            </w:tcBorders>
            <w:shd w:val="clear" w:color="auto" w:fill="auto"/>
            <w:noWrap/>
            <w:vAlign w:val="center"/>
            <w:hideMark/>
          </w:tcPr>
          <w:p w14:paraId="253493EC" w14:textId="77777777" w:rsidR="008B1B72" w:rsidRPr="000E693F" w:rsidRDefault="008B1B72" w:rsidP="007D40EC">
            <w:pPr>
              <w:rPr>
                <w:rFonts w:ascii="Calibri" w:hAnsi="Calibri" w:cs="Calibri"/>
                <w:b/>
                <w:bCs/>
                <w:sz w:val="16"/>
                <w:szCs w:val="16"/>
              </w:rPr>
            </w:pPr>
          </w:p>
        </w:tc>
        <w:tc>
          <w:tcPr>
            <w:tcW w:w="740" w:type="pct"/>
            <w:tcBorders>
              <w:top w:val="nil"/>
              <w:left w:val="nil"/>
              <w:bottom w:val="nil"/>
              <w:right w:val="nil"/>
            </w:tcBorders>
            <w:shd w:val="clear" w:color="auto" w:fill="auto"/>
            <w:noWrap/>
            <w:vAlign w:val="center"/>
            <w:hideMark/>
          </w:tcPr>
          <w:p w14:paraId="6D1B9E1F" w14:textId="77777777" w:rsidR="008B1B72" w:rsidRPr="000E693F" w:rsidRDefault="008B1B72" w:rsidP="00881862">
            <w:pPr>
              <w:jc w:val="right"/>
              <w:rPr>
                <w:sz w:val="16"/>
                <w:szCs w:val="16"/>
              </w:rPr>
            </w:pPr>
          </w:p>
        </w:tc>
        <w:tc>
          <w:tcPr>
            <w:tcW w:w="672" w:type="pct"/>
            <w:tcBorders>
              <w:top w:val="nil"/>
              <w:left w:val="nil"/>
              <w:bottom w:val="nil"/>
              <w:right w:val="nil"/>
            </w:tcBorders>
            <w:shd w:val="clear" w:color="auto" w:fill="auto"/>
            <w:noWrap/>
            <w:vAlign w:val="center"/>
            <w:hideMark/>
          </w:tcPr>
          <w:p w14:paraId="578DFFD9" w14:textId="77777777" w:rsidR="008B1B72" w:rsidRPr="000E693F" w:rsidRDefault="008B1B72" w:rsidP="00881862">
            <w:pPr>
              <w:jc w:val="right"/>
              <w:rPr>
                <w:sz w:val="16"/>
                <w:szCs w:val="16"/>
              </w:rPr>
            </w:pPr>
          </w:p>
        </w:tc>
        <w:tc>
          <w:tcPr>
            <w:tcW w:w="728" w:type="pct"/>
            <w:tcBorders>
              <w:top w:val="nil"/>
              <w:left w:val="nil"/>
              <w:bottom w:val="nil"/>
              <w:right w:val="nil"/>
            </w:tcBorders>
            <w:shd w:val="clear" w:color="auto" w:fill="auto"/>
            <w:noWrap/>
            <w:vAlign w:val="center"/>
            <w:hideMark/>
          </w:tcPr>
          <w:p w14:paraId="7D9D19F2" w14:textId="77777777" w:rsidR="008B1B72" w:rsidRPr="000E693F" w:rsidRDefault="008B1B72" w:rsidP="00881862">
            <w:pPr>
              <w:jc w:val="right"/>
              <w:rPr>
                <w:sz w:val="16"/>
                <w:szCs w:val="16"/>
              </w:rPr>
            </w:pPr>
          </w:p>
        </w:tc>
      </w:tr>
      <w:tr w:rsidR="000E693F" w:rsidRPr="000E693F" w14:paraId="0DF8C57E" w14:textId="77777777" w:rsidTr="00EE0BAF">
        <w:trPr>
          <w:trHeight w:val="240"/>
        </w:trPr>
        <w:tc>
          <w:tcPr>
            <w:tcW w:w="1075" w:type="pct"/>
            <w:tcBorders>
              <w:top w:val="nil"/>
              <w:left w:val="nil"/>
              <w:bottom w:val="nil"/>
              <w:right w:val="nil"/>
            </w:tcBorders>
            <w:shd w:val="clear" w:color="auto" w:fill="auto"/>
            <w:noWrap/>
            <w:vAlign w:val="center"/>
            <w:hideMark/>
          </w:tcPr>
          <w:p w14:paraId="0CC8DDA6" w14:textId="77777777" w:rsidR="008B1B72" w:rsidRPr="000E693F" w:rsidRDefault="008B1B72" w:rsidP="007D40EC">
            <w:pPr>
              <w:rPr>
                <w:sz w:val="16"/>
                <w:szCs w:val="16"/>
              </w:rPr>
            </w:pPr>
          </w:p>
        </w:tc>
        <w:tc>
          <w:tcPr>
            <w:tcW w:w="1784" w:type="pct"/>
            <w:tcBorders>
              <w:top w:val="nil"/>
              <w:left w:val="nil"/>
              <w:bottom w:val="nil"/>
              <w:right w:val="nil"/>
            </w:tcBorders>
            <w:shd w:val="clear" w:color="auto" w:fill="auto"/>
            <w:noWrap/>
            <w:vAlign w:val="center"/>
            <w:hideMark/>
          </w:tcPr>
          <w:p w14:paraId="10EBE566"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Capital Social</w:t>
            </w:r>
          </w:p>
        </w:tc>
        <w:tc>
          <w:tcPr>
            <w:tcW w:w="740" w:type="pct"/>
            <w:tcBorders>
              <w:top w:val="nil"/>
              <w:left w:val="nil"/>
              <w:bottom w:val="nil"/>
              <w:right w:val="nil"/>
            </w:tcBorders>
            <w:shd w:val="clear" w:color="auto" w:fill="auto"/>
            <w:noWrap/>
            <w:vAlign w:val="center"/>
            <w:hideMark/>
          </w:tcPr>
          <w:p w14:paraId="44CC4775"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169.406.318 </w:t>
            </w:r>
          </w:p>
        </w:tc>
        <w:tc>
          <w:tcPr>
            <w:tcW w:w="672" w:type="pct"/>
            <w:tcBorders>
              <w:top w:val="nil"/>
              <w:left w:val="nil"/>
              <w:bottom w:val="nil"/>
              <w:right w:val="nil"/>
            </w:tcBorders>
            <w:shd w:val="clear" w:color="auto" w:fill="auto"/>
            <w:noWrap/>
            <w:vAlign w:val="center"/>
            <w:hideMark/>
          </w:tcPr>
          <w:p w14:paraId="6BDE1F54"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   </w:t>
            </w:r>
          </w:p>
        </w:tc>
        <w:tc>
          <w:tcPr>
            <w:tcW w:w="728" w:type="pct"/>
            <w:tcBorders>
              <w:top w:val="nil"/>
              <w:left w:val="nil"/>
              <w:bottom w:val="nil"/>
              <w:right w:val="nil"/>
            </w:tcBorders>
            <w:shd w:val="clear" w:color="auto" w:fill="auto"/>
            <w:noWrap/>
            <w:vAlign w:val="center"/>
            <w:hideMark/>
          </w:tcPr>
          <w:p w14:paraId="4364D2D3"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169.406.318 </w:t>
            </w:r>
          </w:p>
        </w:tc>
      </w:tr>
      <w:tr w:rsidR="000E693F" w:rsidRPr="000E693F" w14:paraId="55D86CBA" w14:textId="77777777" w:rsidTr="00EE0BAF">
        <w:trPr>
          <w:trHeight w:val="240"/>
        </w:trPr>
        <w:tc>
          <w:tcPr>
            <w:tcW w:w="1075" w:type="pct"/>
            <w:tcBorders>
              <w:top w:val="nil"/>
              <w:left w:val="nil"/>
              <w:bottom w:val="nil"/>
              <w:right w:val="nil"/>
            </w:tcBorders>
            <w:shd w:val="clear" w:color="auto" w:fill="auto"/>
            <w:noWrap/>
            <w:vAlign w:val="center"/>
            <w:hideMark/>
          </w:tcPr>
          <w:p w14:paraId="1BBD2846" w14:textId="77777777" w:rsidR="008B1B72" w:rsidRPr="000E693F" w:rsidRDefault="008B1B72" w:rsidP="007D40EC">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42BED36E"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Prejuízos Acumulados</w:t>
            </w:r>
          </w:p>
        </w:tc>
        <w:tc>
          <w:tcPr>
            <w:tcW w:w="740" w:type="pct"/>
            <w:tcBorders>
              <w:top w:val="nil"/>
              <w:left w:val="nil"/>
              <w:bottom w:val="nil"/>
              <w:right w:val="nil"/>
            </w:tcBorders>
            <w:shd w:val="clear" w:color="auto" w:fill="auto"/>
            <w:noWrap/>
            <w:vAlign w:val="center"/>
            <w:hideMark/>
          </w:tcPr>
          <w:p w14:paraId="2DC2002C"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(22.693.012)</w:t>
            </w:r>
          </w:p>
        </w:tc>
        <w:tc>
          <w:tcPr>
            <w:tcW w:w="672" w:type="pct"/>
            <w:tcBorders>
              <w:top w:val="nil"/>
              <w:left w:val="nil"/>
              <w:bottom w:val="nil"/>
              <w:right w:val="nil"/>
            </w:tcBorders>
            <w:shd w:val="clear" w:color="auto" w:fill="auto"/>
            <w:noWrap/>
            <w:vAlign w:val="center"/>
            <w:hideMark/>
          </w:tcPr>
          <w:p w14:paraId="068D7054"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7.895.000 </w:t>
            </w:r>
          </w:p>
        </w:tc>
        <w:tc>
          <w:tcPr>
            <w:tcW w:w="728" w:type="pct"/>
            <w:tcBorders>
              <w:top w:val="nil"/>
              <w:left w:val="nil"/>
              <w:bottom w:val="nil"/>
              <w:right w:val="nil"/>
            </w:tcBorders>
            <w:shd w:val="clear" w:color="auto" w:fill="auto"/>
            <w:noWrap/>
            <w:vAlign w:val="center"/>
            <w:hideMark/>
          </w:tcPr>
          <w:p w14:paraId="7B1AFFE8"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(14.798.012)</w:t>
            </w:r>
          </w:p>
        </w:tc>
      </w:tr>
      <w:tr w:rsidR="000E693F" w:rsidRPr="000E693F" w14:paraId="6588B112" w14:textId="77777777" w:rsidTr="00EE0BAF">
        <w:trPr>
          <w:trHeight w:val="240"/>
        </w:trPr>
        <w:tc>
          <w:tcPr>
            <w:tcW w:w="1075" w:type="pct"/>
            <w:tcBorders>
              <w:top w:val="nil"/>
              <w:left w:val="nil"/>
              <w:bottom w:val="nil"/>
              <w:right w:val="nil"/>
            </w:tcBorders>
            <w:shd w:val="clear" w:color="auto" w:fill="auto"/>
            <w:noWrap/>
            <w:vAlign w:val="center"/>
            <w:hideMark/>
          </w:tcPr>
          <w:p w14:paraId="6AD008BD" w14:textId="77777777" w:rsidR="008B1B72" w:rsidRPr="000E693F" w:rsidRDefault="008B1B72" w:rsidP="007D40EC">
            <w:pPr>
              <w:rPr>
                <w:rFonts w:ascii="Calibri" w:hAnsi="Calibri" w:cs="Calibri"/>
                <w:sz w:val="16"/>
                <w:szCs w:val="16"/>
              </w:rPr>
            </w:pPr>
          </w:p>
        </w:tc>
        <w:tc>
          <w:tcPr>
            <w:tcW w:w="1784" w:type="pct"/>
            <w:tcBorders>
              <w:top w:val="nil"/>
              <w:left w:val="nil"/>
              <w:bottom w:val="nil"/>
              <w:right w:val="nil"/>
            </w:tcBorders>
            <w:shd w:val="clear" w:color="auto" w:fill="auto"/>
            <w:noWrap/>
            <w:vAlign w:val="center"/>
            <w:hideMark/>
          </w:tcPr>
          <w:p w14:paraId="49EC2D73" w14:textId="77777777" w:rsidR="008B1B72" w:rsidRPr="000E693F" w:rsidRDefault="008B1B72" w:rsidP="007D40EC">
            <w:pPr>
              <w:rPr>
                <w:rFonts w:ascii="Calibri" w:hAnsi="Calibri" w:cs="Calibri"/>
                <w:sz w:val="16"/>
                <w:szCs w:val="16"/>
              </w:rPr>
            </w:pPr>
            <w:r w:rsidRPr="000E693F">
              <w:rPr>
                <w:rFonts w:ascii="Calibri" w:hAnsi="Calibri" w:cs="Calibri"/>
                <w:sz w:val="16"/>
                <w:szCs w:val="16"/>
              </w:rPr>
              <w:t>Adiantamento para Futuro Aumento de Capital</w:t>
            </w:r>
          </w:p>
        </w:tc>
        <w:tc>
          <w:tcPr>
            <w:tcW w:w="740" w:type="pct"/>
            <w:tcBorders>
              <w:top w:val="nil"/>
              <w:left w:val="nil"/>
              <w:bottom w:val="nil"/>
              <w:right w:val="nil"/>
            </w:tcBorders>
            <w:shd w:val="clear" w:color="auto" w:fill="auto"/>
            <w:noWrap/>
            <w:vAlign w:val="center"/>
            <w:hideMark/>
          </w:tcPr>
          <w:p w14:paraId="0498791C"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14.512.208 </w:t>
            </w:r>
          </w:p>
        </w:tc>
        <w:tc>
          <w:tcPr>
            <w:tcW w:w="672" w:type="pct"/>
            <w:tcBorders>
              <w:top w:val="nil"/>
              <w:left w:val="nil"/>
              <w:bottom w:val="nil"/>
              <w:right w:val="nil"/>
            </w:tcBorders>
            <w:shd w:val="clear" w:color="auto" w:fill="auto"/>
            <w:noWrap/>
            <w:vAlign w:val="center"/>
            <w:hideMark/>
          </w:tcPr>
          <w:p w14:paraId="686AE2F6"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8.823.114 </w:t>
            </w:r>
          </w:p>
        </w:tc>
        <w:tc>
          <w:tcPr>
            <w:tcW w:w="728" w:type="pct"/>
            <w:tcBorders>
              <w:top w:val="nil"/>
              <w:left w:val="nil"/>
              <w:bottom w:val="nil"/>
              <w:right w:val="nil"/>
            </w:tcBorders>
            <w:shd w:val="clear" w:color="auto" w:fill="auto"/>
            <w:noWrap/>
            <w:vAlign w:val="center"/>
            <w:hideMark/>
          </w:tcPr>
          <w:p w14:paraId="6791F59F" w14:textId="77777777" w:rsidR="008B1B72" w:rsidRPr="000E693F" w:rsidRDefault="008B1B72" w:rsidP="00881862">
            <w:pPr>
              <w:jc w:val="right"/>
              <w:rPr>
                <w:rFonts w:ascii="Calibri" w:hAnsi="Calibri" w:cs="Calibri"/>
                <w:sz w:val="16"/>
                <w:szCs w:val="16"/>
              </w:rPr>
            </w:pPr>
            <w:r w:rsidRPr="000E693F">
              <w:rPr>
                <w:rFonts w:ascii="Calibri" w:hAnsi="Calibri" w:cs="Calibri"/>
                <w:sz w:val="16"/>
                <w:szCs w:val="16"/>
              </w:rPr>
              <w:t xml:space="preserve">    23.335.322 </w:t>
            </w:r>
          </w:p>
        </w:tc>
      </w:tr>
      <w:tr w:rsidR="000E693F" w:rsidRPr="000E693F" w14:paraId="5EB95613" w14:textId="77777777" w:rsidTr="00EE0BAF">
        <w:trPr>
          <w:trHeight w:val="240"/>
        </w:trPr>
        <w:tc>
          <w:tcPr>
            <w:tcW w:w="1075" w:type="pct"/>
            <w:tcBorders>
              <w:top w:val="nil"/>
              <w:left w:val="nil"/>
              <w:bottom w:val="nil"/>
              <w:right w:val="nil"/>
            </w:tcBorders>
            <w:shd w:val="clear" w:color="auto" w:fill="auto"/>
            <w:noWrap/>
            <w:vAlign w:val="center"/>
            <w:hideMark/>
          </w:tcPr>
          <w:p w14:paraId="0359A0B5" w14:textId="77777777" w:rsidR="008B1B72" w:rsidRPr="000E693F" w:rsidRDefault="008B1B72" w:rsidP="007D40EC">
            <w:pPr>
              <w:rPr>
                <w:rFonts w:ascii="Calibri" w:hAnsi="Calibri" w:cs="Calibri"/>
                <w:b/>
                <w:bCs/>
                <w:sz w:val="16"/>
                <w:szCs w:val="16"/>
              </w:rPr>
            </w:pPr>
            <w:r w:rsidRPr="000E693F">
              <w:rPr>
                <w:rFonts w:ascii="Calibri" w:hAnsi="Calibri" w:cs="Calibri"/>
                <w:b/>
                <w:bCs/>
                <w:sz w:val="16"/>
                <w:szCs w:val="16"/>
              </w:rPr>
              <w:t>Total do Patrimônio Líquido</w:t>
            </w:r>
          </w:p>
        </w:tc>
        <w:tc>
          <w:tcPr>
            <w:tcW w:w="1784" w:type="pct"/>
            <w:tcBorders>
              <w:top w:val="nil"/>
              <w:left w:val="nil"/>
              <w:bottom w:val="nil"/>
              <w:right w:val="nil"/>
            </w:tcBorders>
            <w:shd w:val="clear" w:color="auto" w:fill="auto"/>
            <w:noWrap/>
            <w:vAlign w:val="center"/>
            <w:hideMark/>
          </w:tcPr>
          <w:p w14:paraId="2076F9FA" w14:textId="77777777" w:rsidR="008B1B72" w:rsidRPr="000E693F" w:rsidRDefault="008B1B72" w:rsidP="007D40EC">
            <w:pPr>
              <w:rPr>
                <w:rFonts w:ascii="Calibri" w:hAnsi="Calibri" w:cs="Calibri"/>
                <w:b/>
                <w:bCs/>
                <w:sz w:val="16"/>
                <w:szCs w:val="16"/>
              </w:rPr>
            </w:pPr>
          </w:p>
        </w:tc>
        <w:tc>
          <w:tcPr>
            <w:tcW w:w="740" w:type="pct"/>
            <w:tcBorders>
              <w:top w:val="single" w:sz="4" w:space="0" w:color="AEAAAA"/>
              <w:left w:val="nil"/>
              <w:bottom w:val="single" w:sz="4" w:space="0" w:color="auto"/>
              <w:right w:val="nil"/>
            </w:tcBorders>
            <w:shd w:val="clear" w:color="auto" w:fill="auto"/>
            <w:noWrap/>
            <w:vAlign w:val="center"/>
            <w:hideMark/>
          </w:tcPr>
          <w:p w14:paraId="0F60A478"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 xml:space="preserve">  161.225.514 </w:t>
            </w:r>
          </w:p>
        </w:tc>
        <w:tc>
          <w:tcPr>
            <w:tcW w:w="672" w:type="pct"/>
            <w:tcBorders>
              <w:top w:val="nil"/>
              <w:left w:val="nil"/>
              <w:bottom w:val="nil"/>
              <w:right w:val="nil"/>
            </w:tcBorders>
            <w:shd w:val="clear" w:color="auto" w:fill="auto"/>
            <w:noWrap/>
            <w:vAlign w:val="center"/>
            <w:hideMark/>
          </w:tcPr>
          <w:p w14:paraId="09924F5D" w14:textId="77777777" w:rsidR="008B1B72" w:rsidRPr="000E693F" w:rsidRDefault="008B1B72" w:rsidP="00881862">
            <w:pPr>
              <w:jc w:val="right"/>
              <w:rPr>
                <w:rFonts w:ascii="Calibri" w:hAnsi="Calibri" w:cs="Calibri"/>
                <w:b/>
                <w:bCs/>
                <w:sz w:val="16"/>
                <w:szCs w:val="16"/>
              </w:rPr>
            </w:pPr>
            <w:r w:rsidRPr="000E693F">
              <w:rPr>
                <w:rFonts w:ascii="Calibri" w:hAnsi="Calibri" w:cs="Calibri"/>
                <w:sz w:val="16"/>
                <w:szCs w:val="16"/>
              </w:rPr>
              <w:t xml:space="preserve">  </w:t>
            </w:r>
            <w:r w:rsidRPr="000E693F">
              <w:rPr>
                <w:rFonts w:ascii="Calibri" w:hAnsi="Calibri" w:cs="Calibri"/>
                <w:b/>
                <w:bCs/>
                <w:sz w:val="16"/>
                <w:szCs w:val="16"/>
              </w:rPr>
              <w:t xml:space="preserve">16.718.114 </w:t>
            </w:r>
          </w:p>
        </w:tc>
        <w:tc>
          <w:tcPr>
            <w:tcW w:w="728" w:type="pct"/>
            <w:tcBorders>
              <w:top w:val="single" w:sz="4" w:space="0" w:color="AEAAAA"/>
              <w:left w:val="nil"/>
              <w:bottom w:val="single" w:sz="4" w:space="0" w:color="auto"/>
              <w:right w:val="nil"/>
            </w:tcBorders>
            <w:shd w:val="clear" w:color="auto" w:fill="auto"/>
            <w:noWrap/>
            <w:vAlign w:val="center"/>
            <w:hideMark/>
          </w:tcPr>
          <w:p w14:paraId="4CFB4600" w14:textId="77777777" w:rsidR="008B1B72" w:rsidRPr="000E693F" w:rsidRDefault="008B1B72" w:rsidP="00881862">
            <w:pPr>
              <w:jc w:val="right"/>
              <w:rPr>
                <w:rFonts w:ascii="Calibri" w:hAnsi="Calibri" w:cs="Calibri"/>
                <w:b/>
                <w:bCs/>
                <w:sz w:val="16"/>
                <w:szCs w:val="16"/>
              </w:rPr>
            </w:pPr>
            <w:r w:rsidRPr="000E693F">
              <w:rPr>
                <w:rFonts w:ascii="Calibri" w:hAnsi="Calibri" w:cs="Calibri"/>
                <w:b/>
                <w:bCs/>
                <w:sz w:val="16"/>
                <w:szCs w:val="16"/>
              </w:rPr>
              <w:t xml:space="preserve">  177.943.628 </w:t>
            </w:r>
          </w:p>
        </w:tc>
      </w:tr>
      <w:tr w:rsidR="000E693F" w:rsidRPr="000E693F" w14:paraId="026934E1" w14:textId="77777777" w:rsidTr="00EE0BAF">
        <w:trPr>
          <w:trHeight w:hRule="exact" w:val="113"/>
        </w:trPr>
        <w:tc>
          <w:tcPr>
            <w:tcW w:w="1075" w:type="pct"/>
            <w:tcBorders>
              <w:top w:val="nil"/>
              <w:left w:val="nil"/>
              <w:bottom w:val="nil"/>
              <w:right w:val="nil"/>
            </w:tcBorders>
            <w:shd w:val="clear" w:color="auto" w:fill="auto"/>
            <w:noWrap/>
            <w:vAlign w:val="center"/>
            <w:hideMark/>
          </w:tcPr>
          <w:p w14:paraId="5C70C26E" w14:textId="77777777" w:rsidR="008B1B72" w:rsidRPr="000E693F" w:rsidRDefault="008B1B72" w:rsidP="007D40EC">
            <w:pPr>
              <w:rPr>
                <w:sz w:val="16"/>
                <w:szCs w:val="16"/>
              </w:rPr>
            </w:pPr>
          </w:p>
        </w:tc>
        <w:tc>
          <w:tcPr>
            <w:tcW w:w="1784" w:type="pct"/>
            <w:tcBorders>
              <w:top w:val="nil"/>
              <w:left w:val="nil"/>
              <w:bottom w:val="nil"/>
              <w:right w:val="nil"/>
            </w:tcBorders>
            <w:shd w:val="clear" w:color="auto" w:fill="auto"/>
            <w:noWrap/>
            <w:vAlign w:val="center"/>
            <w:hideMark/>
          </w:tcPr>
          <w:p w14:paraId="6CDFE860" w14:textId="77777777" w:rsidR="008B1B72" w:rsidRPr="000E693F" w:rsidRDefault="008B1B72" w:rsidP="007D40EC">
            <w:pPr>
              <w:rPr>
                <w:sz w:val="16"/>
                <w:szCs w:val="16"/>
              </w:rPr>
            </w:pPr>
          </w:p>
        </w:tc>
        <w:tc>
          <w:tcPr>
            <w:tcW w:w="740" w:type="pct"/>
            <w:tcBorders>
              <w:top w:val="nil"/>
              <w:left w:val="nil"/>
              <w:bottom w:val="nil"/>
              <w:right w:val="nil"/>
            </w:tcBorders>
            <w:shd w:val="clear" w:color="auto" w:fill="auto"/>
            <w:noWrap/>
            <w:vAlign w:val="center"/>
            <w:hideMark/>
          </w:tcPr>
          <w:p w14:paraId="64E292B9" w14:textId="77777777" w:rsidR="008B1B72" w:rsidRPr="000E693F" w:rsidRDefault="008B1B72" w:rsidP="00881862">
            <w:pPr>
              <w:jc w:val="right"/>
              <w:rPr>
                <w:sz w:val="16"/>
                <w:szCs w:val="16"/>
              </w:rPr>
            </w:pPr>
          </w:p>
        </w:tc>
        <w:tc>
          <w:tcPr>
            <w:tcW w:w="672" w:type="pct"/>
            <w:tcBorders>
              <w:top w:val="nil"/>
              <w:left w:val="nil"/>
              <w:bottom w:val="nil"/>
              <w:right w:val="nil"/>
            </w:tcBorders>
            <w:shd w:val="clear" w:color="auto" w:fill="auto"/>
            <w:noWrap/>
            <w:vAlign w:val="center"/>
            <w:hideMark/>
          </w:tcPr>
          <w:p w14:paraId="6323BA1E" w14:textId="77777777" w:rsidR="008B1B72" w:rsidRPr="000E693F" w:rsidRDefault="008B1B72" w:rsidP="00881862">
            <w:pPr>
              <w:jc w:val="right"/>
              <w:rPr>
                <w:sz w:val="16"/>
                <w:szCs w:val="16"/>
              </w:rPr>
            </w:pPr>
          </w:p>
        </w:tc>
        <w:tc>
          <w:tcPr>
            <w:tcW w:w="728" w:type="pct"/>
            <w:tcBorders>
              <w:top w:val="nil"/>
              <w:left w:val="nil"/>
              <w:bottom w:val="nil"/>
              <w:right w:val="nil"/>
            </w:tcBorders>
            <w:shd w:val="clear" w:color="auto" w:fill="auto"/>
            <w:noWrap/>
            <w:vAlign w:val="center"/>
            <w:hideMark/>
          </w:tcPr>
          <w:p w14:paraId="6CA7F4DA" w14:textId="77777777" w:rsidR="008B1B72" w:rsidRPr="000E693F" w:rsidRDefault="008B1B72" w:rsidP="00881862">
            <w:pPr>
              <w:jc w:val="right"/>
              <w:rPr>
                <w:sz w:val="16"/>
                <w:szCs w:val="16"/>
              </w:rPr>
            </w:pPr>
          </w:p>
        </w:tc>
      </w:tr>
      <w:tr w:rsidR="000E693F" w:rsidRPr="000E693F" w14:paraId="0AD563B1" w14:textId="77777777" w:rsidTr="00EE0BAF">
        <w:trPr>
          <w:trHeight w:val="255"/>
        </w:trPr>
        <w:tc>
          <w:tcPr>
            <w:tcW w:w="2860" w:type="pct"/>
            <w:gridSpan w:val="2"/>
            <w:tcBorders>
              <w:top w:val="nil"/>
              <w:left w:val="nil"/>
              <w:bottom w:val="nil"/>
              <w:right w:val="nil"/>
            </w:tcBorders>
            <w:shd w:val="clear" w:color="auto" w:fill="auto"/>
            <w:noWrap/>
            <w:vAlign w:val="center"/>
            <w:hideMark/>
          </w:tcPr>
          <w:p w14:paraId="37E0A48A" w14:textId="4BBA7DDF" w:rsidR="00EE0BAF" w:rsidRPr="000E693F" w:rsidRDefault="00EE0BAF" w:rsidP="007D40EC">
            <w:pPr>
              <w:rPr>
                <w:rFonts w:ascii="Calibri" w:hAnsi="Calibri" w:cs="Calibri"/>
                <w:b/>
                <w:bCs/>
                <w:sz w:val="16"/>
                <w:szCs w:val="16"/>
              </w:rPr>
            </w:pPr>
            <w:r w:rsidRPr="000E693F">
              <w:rPr>
                <w:rFonts w:ascii="Calibri" w:hAnsi="Calibri" w:cs="Calibri"/>
                <w:b/>
                <w:bCs/>
                <w:sz w:val="16"/>
                <w:szCs w:val="16"/>
              </w:rPr>
              <w:t>TOTAL DO PASSIVO E PATRIMÔNIO LÍQUIDO</w:t>
            </w:r>
          </w:p>
        </w:tc>
        <w:tc>
          <w:tcPr>
            <w:tcW w:w="740" w:type="pct"/>
            <w:tcBorders>
              <w:top w:val="single" w:sz="4" w:space="0" w:color="auto"/>
              <w:left w:val="nil"/>
              <w:bottom w:val="double" w:sz="6" w:space="0" w:color="auto"/>
              <w:right w:val="nil"/>
            </w:tcBorders>
            <w:shd w:val="clear" w:color="auto" w:fill="auto"/>
            <w:noWrap/>
            <w:vAlign w:val="center"/>
            <w:hideMark/>
          </w:tcPr>
          <w:p w14:paraId="401511B5" w14:textId="77777777" w:rsidR="00EE0BAF" w:rsidRPr="000E693F" w:rsidRDefault="00EE0BAF" w:rsidP="00881862">
            <w:pPr>
              <w:jc w:val="right"/>
              <w:rPr>
                <w:rFonts w:ascii="Calibri" w:hAnsi="Calibri" w:cs="Calibri"/>
                <w:b/>
                <w:bCs/>
                <w:sz w:val="16"/>
                <w:szCs w:val="16"/>
              </w:rPr>
            </w:pPr>
            <w:r w:rsidRPr="000E693F">
              <w:rPr>
                <w:rFonts w:ascii="Calibri" w:hAnsi="Calibri" w:cs="Calibri"/>
                <w:b/>
                <w:bCs/>
                <w:sz w:val="16"/>
                <w:szCs w:val="16"/>
              </w:rPr>
              <w:t xml:space="preserve">  195.089.263 </w:t>
            </w:r>
          </w:p>
        </w:tc>
        <w:tc>
          <w:tcPr>
            <w:tcW w:w="672" w:type="pct"/>
            <w:tcBorders>
              <w:top w:val="nil"/>
              <w:left w:val="nil"/>
              <w:bottom w:val="nil"/>
              <w:right w:val="nil"/>
            </w:tcBorders>
            <w:shd w:val="clear" w:color="auto" w:fill="auto"/>
            <w:noWrap/>
            <w:vAlign w:val="center"/>
            <w:hideMark/>
          </w:tcPr>
          <w:p w14:paraId="035522DA" w14:textId="77777777" w:rsidR="00EE0BAF" w:rsidRPr="000E693F" w:rsidRDefault="00EE0BAF" w:rsidP="00881862">
            <w:pPr>
              <w:jc w:val="right"/>
              <w:rPr>
                <w:rFonts w:ascii="Calibri" w:hAnsi="Calibri" w:cs="Calibri"/>
                <w:b/>
                <w:bCs/>
                <w:sz w:val="16"/>
                <w:szCs w:val="16"/>
              </w:rPr>
            </w:pPr>
            <w:r w:rsidRPr="000E693F">
              <w:rPr>
                <w:rFonts w:ascii="Calibri" w:hAnsi="Calibri" w:cs="Calibri"/>
                <w:b/>
                <w:bCs/>
                <w:sz w:val="16"/>
                <w:szCs w:val="16"/>
              </w:rPr>
              <w:t xml:space="preserve">  13.785.765 </w:t>
            </w:r>
          </w:p>
        </w:tc>
        <w:tc>
          <w:tcPr>
            <w:tcW w:w="728" w:type="pct"/>
            <w:tcBorders>
              <w:top w:val="single" w:sz="4" w:space="0" w:color="auto"/>
              <w:left w:val="nil"/>
              <w:bottom w:val="double" w:sz="6" w:space="0" w:color="auto"/>
              <w:right w:val="nil"/>
            </w:tcBorders>
            <w:shd w:val="clear" w:color="auto" w:fill="auto"/>
            <w:noWrap/>
            <w:vAlign w:val="center"/>
            <w:hideMark/>
          </w:tcPr>
          <w:p w14:paraId="7426AD5B" w14:textId="77777777" w:rsidR="00EE0BAF" w:rsidRPr="000E693F" w:rsidRDefault="00EE0BAF" w:rsidP="00881862">
            <w:pPr>
              <w:jc w:val="right"/>
              <w:rPr>
                <w:rFonts w:ascii="Calibri" w:hAnsi="Calibri" w:cs="Calibri"/>
                <w:b/>
                <w:bCs/>
                <w:sz w:val="16"/>
                <w:szCs w:val="16"/>
              </w:rPr>
            </w:pPr>
            <w:r w:rsidRPr="000E693F">
              <w:rPr>
                <w:rFonts w:ascii="Calibri" w:hAnsi="Calibri" w:cs="Calibri"/>
                <w:b/>
                <w:bCs/>
                <w:sz w:val="16"/>
                <w:szCs w:val="16"/>
              </w:rPr>
              <w:t xml:space="preserve">  208.875.028 </w:t>
            </w:r>
          </w:p>
        </w:tc>
      </w:tr>
    </w:tbl>
    <w:p w14:paraId="4060F6AD" w14:textId="2E52C286" w:rsidR="008B1B72" w:rsidRDefault="008B1B72" w:rsidP="00AB5166">
      <w:pPr>
        <w:jc w:val="both"/>
        <w:rPr>
          <w:rFonts w:ascii="Calibri" w:hAnsi="Calibri" w:cs="Calibri"/>
          <w:sz w:val="22"/>
          <w:szCs w:val="22"/>
          <w:shd w:val="clear" w:color="auto" w:fill="FFFFFF"/>
        </w:rPr>
      </w:pPr>
    </w:p>
    <w:p w14:paraId="37FD6D51" w14:textId="10577FB7" w:rsidR="00683B08" w:rsidRDefault="00683B08" w:rsidP="00AB5166">
      <w:pPr>
        <w:jc w:val="both"/>
        <w:rPr>
          <w:rFonts w:ascii="Calibri" w:hAnsi="Calibri" w:cs="Calibri"/>
          <w:sz w:val="22"/>
          <w:szCs w:val="22"/>
          <w:shd w:val="clear" w:color="auto" w:fill="FFFFFF"/>
        </w:rPr>
      </w:pPr>
    </w:p>
    <w:p w14:paraId="07CB474E" w14:textId="76B2DFFB" w:rsidR="00683B08" w:rsidRDefault="00683B08" w:rsidP="00AB5166">
      <w:pPr>
        <w:jc w:val="both"/>
        <w:rPr>
          <w:rFonts w:ascii="Calibri" w:hAnsi="Calibri" w:cs="Calibri"/>
          <w:sz w:val="22"/>
          <w:szCs w:val="22"/>
          <w:shd w:val="clear" w:color="auto" w:fill="FFFFFF"/>
        </w:rPr>
      </w:pPr>
    </w:p>
    <w:p w14:paraId="4747A61C" w14:textId="22BC51C5" w:rsidR="009E0535" w:rsidRDefault="009E0535" w:rsidP="00AB5166">
      <w:pPr>
        <w:jc w:val="both"/>
        <w:rPr>
          <w:rFonts w:ascii="Calibri" w:hAnsi="Calibri" w:cs="Calibri"/>
          <w:sz w:val="22"/>
          <w:szCs w:val="22"/>
          <w:shd w:val="clear" w:color="auto" w:fill="FFFFFF"/>
        </w:rPr>
      </w:pPr>
    </w:p>
    <w:p w14:paraId="2D99C4FD" w14:textId="7F26F041" w:rsidR="009E0535" w:rsidRDefault="009E0535" w:rsidP="00AB5166">
      <w:pPr>
        <w:jc w:val="both"/>
        <w:rPr>
          <w:rFonts w:ascii="Calibri" w:hAnsi="Calibri" w:cs="Calibri"/>
          <w:sz w:val="22"/>
          <w:szCs w:val="22"/>
          <w:shd w:val="clear" w:color="auto" w:fill="FFFFFF"/>
        </w:rPr>
      </w:pPr>
    </w:p>
    <w:p w14:paraId="13DBDF5C" w14:textId="77777777" w:rsidR="009E0535" w:rsidRDefault="009E0535" w:rsidP="00AB5166">
      <w:pPr>
        <w:jc w:val="both"/>
        <w:rPr>
          <w:rFonts w:ascii="Calibri" w:hAnsi="Calibri" w:cs="Calibri"/>
          <w:sz w:val="22"/>
          <w:szCs w:val="22"/>
          <w:shd w:val="clear" w:color="auto" w:fill="FFFFFF"/>
        </w:rPr>
      </w:pPr>
    </w:p>
    <w:p w14:paraId="3E99FDE5" w14:textId="77777777" w:rsidR="00683B08" w:rsidRDefault="00683B08" w:rsidP="00AB5166">
      <w:pPr>
        <w:jc w:val="both"/>
        <w:rPr>
          <w:rFonts w:ascii="Calibri" w:hAnsi="Calibri" w:cs="Calibri"/>
          <w:sz w:val="22"/>
          <w:szCs w:val="22"/>
          <w:shd w:val="clear" w:color="auto" w:fill="FFFFFF"/>
        </w:rPr>
      </w:pPr>
    </w:p>
    <w:p w14:paraId="2BE6CF77" w14:textId="0B0567C6" w:rsidR="004966BC" w:rsidRPr="00E83D94" w:rsidRDefault="004966BC" w:rsidP="00937ED9">
      <w:pPr>
        <w:pStyle w:val="NormalWeb"/>
        <w:spacing w:before="0" w:beforeAutospacing="0" w:after="120" w:afterAutospacing="0"/>
        <w:jc w:val="both"/>
        <w:rPr>
          <w:rFonts w:ascii="Calibri" w:hAnsi="Calibri" w:cs="Calibri"/>
          <w:b/>
          <w:bCs/>
          <w:sz w:val="22"/>
          <w:szCs w:val="22"/>
          <w:u w:val="single"/>
          <w:shd w:val="clear" w:color="auto" w:fill="FFFFFF"/>
        </w:rPr>
      </w:pPr>
      <w:r w:rsidRPr="00E83D94">
        <w:rPr>
          <w:rFonts w:ascii="Calibri" w:hAnsi="Calibri" w:cs="Calibri"/>
          <w:b/>
          <w:bCs/>
          <w:sz w:val="22"/>
          <w:szCs w:val="22"/>
          <w:u w:val="single"/>
          <w:shd w:val="clear" w:color="auto" w:fill="FFFFFF"/>
        </w:rPr>
        <w:lastRenderedPageBreak/>
        <w:t>Continuidade Operacional</w:t>
      </w:r>
    </w:p>
    <w:p w14:paraId="75326BCC" w14:textId="36D5A87C" w:rsidR="009165D8" w:rsidRPr="00E83D94" w:rsidRDefault="000951E8" w:rsidP="00937ED9">
      <w:pPr>
        <w:autoSpaceDE w:val="0"/>
        <w:autoSpaceDN w:val="0"/>
        <w:adjustRightInd w:val="0"/>
        <w:spacing w:after="120"/>
        <w:jc w:val="both"/>
        <w:rPr>
          <w:rFonts w:ascii="Calibri" w:hAnsi="Calibri" w:cs="Calibri"/>
          <w:sz w:val="22"/>
          <w:szCs w:val="22"/>
          <w:shd w:val="clear" w:color="auto" w:fill="FFFFFF"/>
        </w:rPr>
      </w:pPr>
      <w:r w:rsidRPr="00E83D94">
        <w:rPr>
          <w:rFonts w:ascii="Calibri" w:hAnsi="Calibri" w:cs="Calibri"/>
          <w:sz w:val="22"/>
          <w:szCs w:val="22"/>
          <w:shd w:val="clear" w:color="auto" w:fill="FFFFFF"/>
        </w:rPr>
        <w:t xml:space="preserve">A </w:t>
      </w:r>
      <w:r w:rsidR="00E11BEF">
        <w:rPr>
          <w:rFonts w:ascii="Calibri" w:hAnsi="Calibri" w:cs="Calibri"/>
          <w:sz w:val="22"/>
          <w:szCs w:val="22"/>
          <w:shd w:val="clear" w:color="auto" w:fill="FFFFFF"/>
        </w:rPr>
        <w:t>Infra</w:t>
      </w:r>
      <w:r w:rsidR="009F6F4A">
        <w:rPr>
          <w:rFonts w:ascii="Calibri" w:hAnsi="Calibri" w:cs="Calibri"/>
          <w:sz w:val="22"/>
          <w:szCs w:val="22"/>
          <w:shd w:val="clear" w:color="auto" w:fill="FFFFFF"/>
        </w:rPr>
        <w:t xml:space="preserve"> S.A.</w:t>
      </w:r>
      <w:r w:rsidRPr="00E83D94">
        <w:rPr>
          <w:rFonts w:ascii="Calibri" w:hAnsi="Calibri" w:cs="Calibri"/>
          <w:sz w:val="22"/>
          <w:szCs w:val="22"/>
          <w:shd w:val="clear" w:color="auto" w:fill="FFFFFF"/>
        </w:rPr>
        <w:t xml:space="preserve"> é uma empresa pública controlada pela União (única acionista), considerada dependente nos termos da Lei Complementar nº 101, de 04 de maio de 2000, a qual define como estatal dependente a “</w:t>
      </w:r>
      <w:r w:rsidRPr="00E83D94">
        <w:rPr>
          <w:rFonts w:ascii="Calibri" w:hAnsi="Calibri" w:cs="Calibri"/>
          <w:i/>
          <w:iCs/>
          <w:sz w:val="22"/>
          <w:szCs w:val="22"/>
          <w:shd w:val="clear" w:color="auto" w:fill="FFFFFF"/>
        </w:rPr>
        <w:t>empresa controlada que recebe do ente controlador recursos financeiros para pagamento de despesas com pessoal ou de custeio em geral ou de capital, excluídos, no último caso, aqueles provenientes de aumento de participação acionária</w:t>
      </w:r>
      <w:r w:rsidRPr="00E83D94">
        <w:rPr>
          <w:rFonts w:ascii="Calibri" w:hAnsi="Calibri" w:cs="Calibri"/>
          <w:sz w:val="22"/>
          <w:szCs w:val="22"/>
          <w:shd w:val="clear" w:color="auto" w:fill="FFFFFF"/>
        </w:rPr>
        <w:t>”.</w:t>
      </w:r>
    </w:p>
    <w:p w14:paraId="037E83C7" w14:textId="3F979817" w:rsidR="009165D8" w:rsidRPr="002E2B5B" w:rsidRDefault="000951E8" w:rsidP="00937ED9">
      <w:pPr>
        <w:autoSpaceDE w:val="0"/>
        <w:autoSpaceDN w:val="0"/>
        <w:adjustRightInd w:val="0"/>
        <w:spacing w:after="120"/>
        <w:jc w:val="both"/>
        <w:rPr>
          <w:rFonts w:ascii="Calibri" w:hAnsi="Calibri" w:cs="Calibri"/>
          <w:sz w:val="22"/>
          <w:szCs w:val="22"/>
          <w:shd w:val="clear" w:color="auto" w:fill="FFFFFF"/>
        </w:rPr>
      </w:pPr>
      <w:r w:rsidRPr="00E83D94">
        <w:rPr>
          <w:rFonts w:ascii="Calibri" w:hAnsi="Calibri" w:cs="Calibri"/>
          <w:sz w:val="22"/>
          <w:szCs w:val="22"/>
          <w:shd w:val="clear" w:color="auto" w:fill="FFFFFF"/>
        </w:rPr>
        <w:t xml:space="preserve">Nesse contexto, a </w:t>
      </w:r>
      <w:r w:rsidR="00E11BEF">
        <w:rPr>
          <w:rFonts w:ascii="Calibri" w:hAnsi="Calibri" w:cs="Calibri"/>
          <w:sz w:val="22"/>
          <w:szCs w:val="22"/>
          <w:shd w:val="clear" w:color="auto" w:fill="FFFFFF"/>
        </w:rPr>
        <w:t>Infra</w:t>
      </w:r>
      <w:r w:rsidR="009F6F4A">
        <w:rPr>
          <w:rFonts w:ascii="Calibri" w:hAnsi="Calibri" w:cs="Calibri"/>
          <w:sz w:val="22"/>
          <w:szCs w:val="22"/>
          <w:shd w:val="clear" w:color="auto" w:fill="FFFFFF"/>
        </w:rPr>
        <w:t xml:space="preserve"> S.A.</w:t>
      </w:r>
      <w:r w:rsidRPr="00E83D94">
        <w:rPr>
          <w:rFonts w:ascii="Calibri" w:hAnsi="Calibri" w:cs="Calibri"/>
          <w:sz w:val="22"/>
          <w:szCs w:val="22"/>
          <w:shd w:val="clear" w:color="auto" w:fill="FFFFFF"/>
        </w:rPr>
        <w:t xml:space="preserve"> segue as políticas públicas traçadas pelo Ministérios da </w:t>
      </w:r>
      <w:r w:rsidR="00E11BEF">
        <w:rPr>
          <w:rFonts w:ascii="Calibri" w:hAnsi="Calibri" w:cs="Calibri"/>
          <w:sz w:val="22"/>
          <w:szCs w:val="22"/>
          <w:shd w:val="clear" w:color="auto" w:fill="FFFFFF"/>
        </w:rPr>
        <w:t>Infra</w:t>
      </w:r>
      <w:r w:rsidRPr="00E83D94">
        <w:rPr>
          <w:rFonts w:ascii="Calibri" w:hAnsi="Calibri" w:cs="Calibri"/>
          <w:sz w:val="22"/>
          <w:szCs w:val="22"/>
          <w:shd w:val="clear" w:color="auto" w:fill="FFFFFF"/>
        </w:rPr>
        <w:t>estrutura e seu planejamento financeiro de longo prazo é vinculado ao planejamento orçamentário, por meio do Plano Plurianual de 2020 – 2023, aprovados nos termos da Lei 13.971, de 13 de dezembro de 2019.</w:t>
      </w:r>
    </w:p>
    <w:p w14:paraId="03C89E6C" w14:textId="2184EB09" w:rsidR="00B80638" w:rsidRPr="00DD5010" w:rsidRDefault="00B80638" w:rsidP="00937ED9">
      <w:pPr>
        <w:autoSpaceDE w:val="0"/>
        <w:autoSpaceDN w:val="0"/>
        <w:adjustRightInd w:val="0"/>
        <w:spacing w:after="120"/>
        <w:jc w:val="both"/>
        <w:rPr>
          <w:rFonts w:ascii="Calibri" w:hAnsi="Calibri" w:cs="Calibri"/>
          <w:sz w:val="22"/>
          <w:szCs w:val="22"/>
          <w:shd w:val="clear" w:color="auto" w:fill="FFFFFF"/>
        </w:rPr>
      </w:pPr>
      <w:r w:rsidRPr="00DD5010">
        <w:rPr>
          <w:rFonts w:ascii="Calibri" w:hAnsi="Calibri" w:cs="Calibri"/>
          <w:sz w:val="22"/>
          <w:szCs w:val="22"/>
          <w:shd w:val="clear" w:color="auto" w:fill="FFFFFF"/>
        </w:rPr>
        <w:t xml:space="preserve">Em </w:t>
      </w:r>
      <w:r w:rsidR="000B1B26" w:rsidRPr="00DD5010">
        <w:rPr>
          <w:rFonts w:ascii="Calibri" w:hAnsi="Calibri" w:cs="Calibri"/>
          <w:sz w:val="22"/>
          <w:szCs w:val="22"/>
          <w:shd w:val="clear" w:color="auto" w:fill="FFFFFF"/>
        </w:rPr>
        <w:t>3</w:t>
      </w:r>
      <w:r w:rsidR="000E5D93" w:rsidRPr="00DD5010">
        <w:rPr>
          <w:rFonts w:ascii="Calibri" w:hAnsi="Calibri" w:cs="Calibri"/>
          <w:sz w:val="22"/>
          <w:szCs w:val="22"/>
          <w:shd w:val="clear" w:color="auto" w:fill="FFFFFF"/>
        </w:rPr>
        <w:t>0</w:t>
      </w:r>
      <w:r w:rsidR="00AC2662" w:rsidRPr="00DD5010">
        <w:rPr>
          <w:rFonts w:ascii="Calibri" w:hAnsi="Calibri" w:cs="Calibri"/>
          <w:sz w:val="22"/>
          <w:szCs w:val="22"/>
          <w:shd w:val="clear" w:color="auto" w:fill="FFFFFF"/>
        </w:rPr>
        <w:t>/</w:t>
      </w:r>
      <w:r w:rsidR="00670EF5" w:rsidRPr="00DD5010">
        <w:rPr>
          <w:rFonts w:ascii="Calibri" w:hAnsi="Calibri" w:cs="Calibri"/>
          <w:sz w:val="22"/>
          <w:szCs w:val="22"/>
          <w:shd w:val="clear" w:color="auto" w:fill="FFFFFF"/>
        </w:rPr>
        <w:t>0</w:t>
      </w:r>
      <w:r w:rsidR="00D26048" w:rsidRPr="00DD5010">
        <w:rPr>
          <w:rFonts w:ascii="Calibri" w:hAnsi="Calibri" w:cs="Calibri"/>
          <w:sz w:val="22"/>
          <w:szCs w:val="22"/>
          <w:shd w:val="clear" w:color="auto" w:fill="FFFFFF"/>
        </w:rPr>
        <w:t>9</w:t>
      </w:r>
      <w:r w:rsidR="00AC2662" w:rsidRPr="00DD5010">
        <w:rPr>
          <w:rFonts w:ascii="Calibri" w:hAnsi="Calibri" w:cs="Calibri"/>
          <w:sz w:val="22"/>
          <w:szCs w:val="22"/>
          <w:shd w:val="clear" w:color="auto" w:fill="FFFFFF"/>
        </w:rPr>
        <w:t>/202</w:t>
      </w:r>
      <w:r w:rsidR="00670EF5" w:rsidRPr="00DD5010">
        <w:rPr>
          <w:rFonts w:ascii="Calibri" w:hAnsi="Calibri" w:cs="Calibri"/>
          <w:sz w:val="22"/>
          <w:szCs w:val="22"/>
          <w:shd w:val="clear" w:color="auto" w:fill="FFFFFF"/>
        </w:rPr>
        <w:t>2</w:t>
      </w:r>
      <w:r w:rsidRPr="00DD5010">
        <w:rPr>
          <w:rFonts w:ascii="Calibri" w:hAnsi="Calibri" w:cs="Calibri"/>
          <w:sz w:val="22"/>
          <w:szCs w:val="22"/>
          <w:shd w:val="clear" w:color="auto" w:fill="FFFFFF"/>
        </w:rPr>
        <w:t xml:space="preserve"> o </w:t>
      </w:r>
      <w:r w:rsidR="00350AFF" w:rsidRPr="00DD5010">
        <w:rPr>
          <w:rFonts w:ascii="Calibri" w:hAnsi="Calibri" w:cs="Calibri"/>
          <w:sz w:val="22"/>
          <w:szCs w:val="22"/>
          <w:shd w:val="clear" w:color="auto" w:fill="FFFFFF"/>
        </w:rPr>
        <w:t>Ati</w:t>
      </w:r>
      <w:r w:rsidRPr="00DD5010">
        <w:rPr>
          <w:rFonts w:ascii="Calibri" w:hAnsi="Calibri" w:cs="Calibri"/>
          <w:sz w:val="22"/>
          <w:szCs w:val="22"/>
          <w:shd w:val="clear" w:color="auto" w:fill="FFFFFF"/>
        </w:rPr>
        <w:t>vo Circulante excedeu o seu</w:t>
      </w:r>
      <w:r w:rsidR="00350AFF" w:rsidRPr="00DD5010">
        <w:rPr>
          <w:rFonts w:ascii="Calibri" w:hAnsi="Calibri" w:cs="Calibri"/>
          <w:sz w:val="22"/>
          <w:szCs w:val="22"/>
          <w:shd w:val="clear" w:color="auto" w:fill="FFFFFF"/>
        </w:rPr>
        <w:t xml:space="preserve"> Pass</w:t>
      </w:r>
      <w:r w:rsidRPr="00DD5010">
        <w:rPr>
          <w:rFonts w:ascii="Calibri" w:hAnsi="Calibri" w:cs="Calibri"/>
          <w:sz w:val="22"/>
          <w:szCs w:val="22"/>
          <w:shd w:val="clear" w:color="auto" w:fill="FFFFFF"/>
        </w:rPr>
        <w:t xml:space="preserve">ivo Circulante em R$ </w:t>
      </w:r>
      <w:r w:rsidR="00350AFF" w:rsidRPr="00DD5010">
        <w:rPr>
          <w:rFonts w:ascii="Calibri" w:hAnsi="Calibri" w:cs="Calibri"/>
          <w:sz w:val="22"/>
          <w:szCs w:val="22"/>
          <w:shd w:val="clear" w:color="auto" w:fill="FFFFFF"/>
        </w:rPr>
        <w:t>21</w:t>
      </w:r>
      <w:r w:rsidR="00377641" w:rsidRPr="00DD5010">
        <w:rPr>
          <w:rFonts w:ascii="Calibri" w:hAnsi="Calibri" w:cs="Calibri"/>
          <w:sz w:val="22"/>
          <w:szCs w:val="22"/>
          <w:shd w:val="clear" w:color="auto" w:fill="FFFFFF"/>
        </w:rPr>
        <w:t>,</w:t>
      </w:r>
      <w:r w:rsidR="00350AFF" w:rsidRPr="00DD5010">
        <w:rPr>
          <w:rFonts w:ascii="Calibri" w:hAnsi="Calibri" w:cs="Calibri"/>
          <w:sz w:val="22"/>
          <w:szCs w:val="22"/>
          <w:shd w:val="clear" w:color="auto" w:fill="FFFFFF"/>
        </w:rPr>
        <w:t>03</w:t>
      </w:r>
      <w:r w:rsidRPr="00DD5010">
        <w:rPr>
          <w:rFonts w:ascii="Calibri" w:hAnsi="Calibri" w:cs="Calibri"/>
          <w:sz w:val="22"/>
          <w:szCs w:val="22"/>
          <w:shd w:val="clear" w:color="auto" w:fill="FFFFFF"/>
        </w:rPr>
        <w:t xml:space="preserve"> milhões</w:t>
      </w:r>
      <w:r w:rsidR="00DD5010" w:rsidRPr="00DD5010">
        <w:rPr>
          <w:rFonts w:ascii="Calibri" w:hAnsi="Calibri" w:cs="Calibri"/>
          <w:sz w:val="22"/>
          <w:szCs w:val="22"/>
          <w:shd w:val="clear" w:color="auto" w:fill="FFFFFF"/>
        </w:rPr>
        <w:t xml:space="preserve"> devido principalmente ao processo de incorporação, que aumentou em R$ 76,6 milhões a disponibilidade da Empresa. A maior parte desses recursos são advindos da prestação de serviços técnicos e das transferências de licenças ambientais aos licitantes adjudicatários de leilões promovidos pelos seus clientes.</w:t>
      </w:r>
    </w:p>
    <w:tbl>
      <w:tblPr>
        <w:tblW w:w="5000" w:type="pct"/>
        <w:tblCellMar>
          <w:left w:w="70" w:type="dxa"/>
          <w:right w:w="70" w:type="dxa"/>
        </w:tblCellMar>
        <w:tblLook w:val="04A0" w:firstRow="1" w:lastRow="0" w:firstColumn="1" w:lastColumn="0" w:noHBand="0" w:noVBand="1"/>
      </w:tblPr>
      <w:tblGrid>
        <w:gridCol w:w="7779"/>
        <w:gridCol w:w="2688"/>
      </w:tblGrid>
      <w:tr w:rsidR="00B80638" w:rsidRPr="00DD5010" w14:paraId="33EC5058" w14:textId="77777777" w:rsidTr="00FF7C38">
        <w:trPr>
          <w:trHeight w:hRule="exact" w:val="227"/>
        </w:trPr>
        <w:tc>
          <w:tcPr>
            <w:tcW w:w="5000" w:type="pct"/>
            <w:gridSpan w:val="2"/>
            <w:tcBorders>
              <w:bottom w:val="single" w:sz="4" w:space="0" w:color="auto"/>
            </w:tcBorders>
            <w:shd w:val="clear" w:color="auto" w:fill="auto"/>
            <w:noWrap/>
            <w:vAlign w:val="center"/>
            <w:hideMark/>
          </w:tcPr>
          <w:p w14:paraId="42723F1F" w14:textId="77777777" w:rsidR="00B80638" w:rsidRPr="00DD5010" w:rsidRDefault="00B80638" w:rsidP="00937ED9">
            <w:pPr>
              <w:spacing w:after="120"/>
              <w:rPr>
                <w:rFonts w:ascii="Calibri" w:hAnsi="Calibri" w:cs="Calibri"/>
                <w:b/>
                <w:bCs/>
                <w:sz w:val="16"/>
                <w:szCs w:val="16"/>
              </w:rPr>
            </w:pPr>
            <w:r w:rsidRPr="00DD5010">
              <w:rPr>
                <w:rFonts w:ascii="Calibri" w:hAnsi="Calibri" w:cs="Calibri"/>
                <w:b/>
                <w:bCs/>
                <w:sz w:val="16"/>
                <w:szCs w:val="16"/>
              </w:rPr>
              <w:t>Descrição</w:t>
            </w:r>
          </w:p>
        </w:tc>
      </w:tr>
      <w:tr w:rsidR="00B80638" w:rsidRPr="00DD5010" w14:paraId="0C37360E" w14:textId="77777777" w:rsidTr="00FF7C38">
        <w:trPr>
          <w:trHeight w:hRule="exact" w:val="227"/>
        </w:trPr>
        <w:tc>
          <w:tcPr>
            <w:tcW w:w="3716" w:type="pct"/>
            <w:tcBorders>
              <w:top w:val="single" w:sz="4" w:space="0" w:color="auto"/>
            </w:tcBorders>
            <w:shd w:val="clear" w:color="auto" w:fill="auto"/>
            <w:noWrap/>
            <w:vAlign w:val="center"/>
            <w:hideMark/>
          </w:tcPr>
          <w:p w14:paraId="0BD30FC5" w14:textId="77777777" w:rsidR="00B80638" w:rsidRPr="00DD5010" w:rsidRDefault="00B80638" w:rsidP="00937ED9">
            <w:pPr>
              <w:spacing w:after="120"/>
              <w:rPr>
                <w:rFonts w:ascii="Calibri" w:hAnsi="Calibri" w:cs="Calibri"/>
                <w:sz w:val="16"/>
                <w:szCs w:val="16"/>
              </w:rPr>
            </w:pPr>
            <w:r w:rsidRPr="00DD5010">
              <w:rPr>
                <w:rFonts w:ascii="Calibri" w:hAnsi="Calibri" w:cs="Calibri"/>
                <w:sz w:val="16"/>
                <w:szCs w:val="16"/>
              </w:rPr>
              <w:t>Ativo Circulante</w:t>
            </w:r>
          </w:p>
        </w:tc>
        <w:tc>
          <w:tcPr>
            <w:tcW w:w="1284" w:type="pct"/>
            <w:tcBorders>
              <w:top w:val="single" w:sz="4" w:space="0" w:color="auto"/>
            </w:tcBorders>
            <w:shd w:val="clear" w:color="auto" w:fill="auto"/>
            <w:noWrap/>
            <w:vAlign w:val="center"/>
            <w:hideMark/>
          </w:tcPr>
          <w:p w14:paraId="3B10BD34" w14:textId="19BCDCA1" w:rsidR="00B80638" w:rsidRPr="00DD5010" w:rsidRDefault="00350AFF" w:rsidP="00937ED9">
            <w:pPr>
              <w:spacing w:after="120"/>
              <w:jc w:val="right"/>
              <w:rPr>
                <w:rFonts w:ascii="Calibri" w:hAnsi="Calibri" w:cs="Calibri"/>
                <w:sz w:val="16"/>
                <w:szCs w:val="16"/>
              </w:rPr>
            </w:pPr>
            <w:r w:rsidRPr="00DD5010">
              <w:rPr>
                <w:rFonts w:ascii="Calibri" w:hAnsi="Calibri" w:cs="Calibri"/>
                <w:sz w:val="16"/>
                <w:szCs w:val="16"/>
              </w:rPr>
              <w:t>172</w:t>
            </w:r>
            <w:r w:rsidR="00D26048" w:rsidRPr="00DD5010">
              <w:rPr>
                <w:rFonts w:ascii="Calibri" w:hAnsi="Calibri" w:cs="Calibri"/>
                <w:sz w:val="16"/>
                <w:szCs w:val="16"/>
              </w:rPr>
              <w:t>.7</w:t>
            </w:r>
            <w:r w:rsidRPr="00DD5010">
              <w:rPr>
                <w:rFonts w:ascii="Calibri" w:hAnsi="Calibri" w:cs="Calibri"/>
                <w:sz w:val="16"/>
                <w:szCs w:val="16"/>
              </w:rPr>
              <w:t>74</w:t>
            </w:r>
            <w:r w:rsidR="00D26048" w:rsidRPr="00DD5010">
              <w:rPr>
                <w:rFonts w:ascii="Calibri" w:hAnsi="Calibri" w:cs="Calibri"/>
                <w:sz w:val="16"/>
                <w:szCs w:val="16"/>
              </w:rPr>
              <w:t>.</w:t>
            </w:r>
            <w:r w:rsidRPr="00DD5010">
              <w:rPr>
                <w:rFonts w:ascii="Calibri" w:hAnsi="Calibri" w:cs="Calibri"/>
                <w:sz w:val="16"/>
                <w:szCs w:val="16"/>
              </w:rPr>
              <w:t>28</w:t>
            </w:r>
            <w:r w:rsidR="0001049A" w:rsidRPr="00DD5010">
              <w:rPr>
                <w:rFonts w:ascii="Calibri" w:hAnsi="Calibri" w:cs="Calibri"/>
                <w:sz w:val="16"/>
                <w:szCs w:val="16"/>
              </w:rPr>
              <w:t>6</w:t>
            </w:r>
          </w:p>
        </w:tc>
      </w:tr>
      <w:tr w:rsidR="00B80638" w:rsidRPr="00DD5010" w14:paraId="481728C3" w14:textId="77777777" w:rsidTr="00FF7C38">
        <w:trPr>
          <w:trHeight w:hRule="exact" w:val="227"/>
        </w:trPr>
        <w:tc>
          <w:tcPr>
            <w:tcW w:w="3716" w:type="pct"/>
            <w:shd w:val="clear" w:color="auto" w:fill="auto"/>
            <w:noWrap/>
            <w:vAlign w:val="center"/>
          </w:tcPr>
          <w:p w14:paraId="3D217979" w14:textId="77777777" w:rsidR="00B80638" w:rsidRPr="00DD5010" w:rsidRDefault="00B80638" w:rsidP="00937ED9">
            <w:pPr>
              <w:spacing w:after="120"/>
              <w:rPr>
                <w:rFonts w:ascii="Calibri" w:hAnsi="Calibri" w:cs="Calibri"/>
                <w:sz w:val="16"/>
                <w:szCs w:val="16"/>
              </w:rPr>
            </w:pPr>
            <w:r w:rsidRPr="00DD5010">
              <w:rPr>
                <w:rFonts w:ascii="Calibri" w:hAnsi="Calibri" w:cs="Calibri"/>
                <w:sz w:val="16"/>
                <w:szCs w:val="16"/>
              </w:rPr>
              <w:t>Passivo Circulante</w:t>
            </w:r>
          </w:p>
        </w:tc>
        <w:tc>
          <w:tcPr>
            <w:tcW w:w="1284" w:type="pct"/>
            <w:shd w:val="clear" w:color="auto" w:fill="auto"/>
            <w:noWrap/>
            <w:vAlign w:val="center"/>
          </w:tcPr>
          <w:p w14:paraId="483DEE40" w14:textId="308570B0" w:rsidR="00B80638" w:rsidRPr="00DD5010" w:rsidRDefault="000B1B26" w:rsidP="00937ED9">
            <w:pPr>
              <w:spacing w:after="120"/>
              <w:jc w:val="right"/>
              <w:rPr>
                <w:rFonts w:ascii="Calibri" w:hAnsi="Calibri" w:cs="Calibri"/>
                <w:sz w:val="16"/>
                <w:szCs w:val="16"/>
              </w:rPr>
            </w:pPr>
            <w:r w:rsidRPr="00DD5010">
              <w:rPr>
                <w:rFonts w:ascii="Calibri" w:hAnsi="Calibri" w:cs="Calibri"/>
                <w:sz w:val="16"/>
                <w:szCs w:val="16"/>
              </w:rPr>
              <w:t>1</w:t>
            </w:r>
            <w:r w:rsidR="00350AFF" w:rsidRPr="00DD5010">
              <w:rPr>
                <w:rFonts w:ascii="Calibri" w:hAnsi="Calibri" w:cs="Calibri"/>
                <w:sz w:val="16"/>
                <w:szCs w:val="16"/>
              </w:rPr>
              <w:t>51</w:t>
            </w:r>
            <w:r w:rsidRPr="00DD5010">
              <w:rPr>
                <w:rFonts w:ascii="Calibri" w:hAnsi="Calibri" w:cs="Calibri"/>
                <w:sz w:val="16"/>
                <w:szCs w:val="16"/>
              </w:rPr>
              <w:t>.</w:t>
            </w:r>
            <w:r w:rsidR="00D26048" w:rsidRPr="00DD5010">
              <w:rPr>
                <w:rFonts w:ascii="Calibri" w:hAnsi="Calibri" w:cs="Calibri"/>
                <w:sz w:val="16"/>
                <w:szCs w:val="16"/>
              </w:rPr>
              <w:t>7</w:t>
            </w:r>
            <w:r w:rsidR="00350AFF" w:rsidRPr="00DD5010">
              <w:rPr>
                <w:rFonts w:ascii="Calibri" w:hAnsi="Calibri" w:cs="Calibri"/>
                <w:sz w:val="16"/>
                <w:szCs w:val="16"/>
              </w:rPr>
              <w:t>47</w:t>
            </w:r>
            <w:r w:rsidR="000E5D93" w:rsidRPr="00DD5010">
              <w:rPr>
                <w:rFonts w:ascii="Calibri" w:hAnsi="Calibri" w:cs="Calibri"/>
                <w:sz w:val="16"/>
                <w:szCs w:val="16"/>
              </w:rPr>
              <w:t>.</w:t>
            </w:r>
            <w:r w:rsidR="00350AFF" w:rsidRPr="00DD5010">
              <w:rPr>
                <w:rFonts w:ascii="Calibri" w:hAnsi="Calibri" w:cs="Calibri"/>
                <w:sz w:val="16"/>
                <w:szCs w:val="16"/>
              </w:rPr>
              <w:t>0</w:t>
            </w:r>
            <w:r w:rsidR="00D26048" w:rsidRPr="00DD5010">
              <w:rPr>
                <w:rFonts w:ascii="Calibri" w:hAnsi="Calibri" w:cs="Calibri"/>
                <w:sz w:val="16"/>
                <w:szCs w:val="16"/>
              </w:rPr>
              <w:t>6</w:t>
            </w:r>
            <w:r w:rsidR="00350AFF" w:rsidRPr="00DD5010">
              <w:rPr>
                <w:rFonts w:ascii="Calibri" w:hAnsi="Calibri" w:cs="Calibri"/>
                <w:sz w:val="16"/>
                <w:szCs w:val="16"/>
              </w:rPr>
              <w:t>5</w:t>
            </w:r>
          </w:p>
          <w:p w14:paraId="0A40CB22" w14:textId="77777777" w:rsidR="00350AFF" w:rsidRPr="00DD5010" w:rsidRDefault="00350AFF" w:rsidP="00937ED9">
            <w:pPr>
              <w:spacing w:after="120"/>
              <w:jc w:val="right"/>
              <w:rPr>
                <w:rFonts w:ascii="Calibri" w:hAnsi="Calibri" w:cs="Calibri"/>
                <w:sz w:val="16"/>
                <w:szCs w:val="16"/>
              </w:rPr>
            </w:pPr>
          </w:p>
          <w:p w14:paraId="0AE9D82F" w14:textId="77777777" w:rsidR="00B80638" w:rsidRPr="00DD5010" w:rsidRDefault="00B80638" w:rsidP="00937ED9">
            <w:pPr>
              <w:spacing w:after="120"/>
              <w:jc w:val="right"/>
              <w:rPr>
                <w:rFonts w:ascii="Calibri" w:hAnsi="Calibri" w:cs="Calibri"/>
                <w:sz w:val="16"/>
                <w:szCs w:val="16"/>
              </w:rPr>
            </w:pPr>
          </w:p>
        </w:tc>
      </w:tr>
      <w:tr w:rsidR="00B80638" w:rsidRPr="00DD5010" w14:paraId="149CCF0C" w14:textId="77777777" w:rsidTr="00FF7C38">
        <w:trPr>
          <w:trHeight w:hRule="exact" w:val="227"/>
        </w:trPr>
        <w:tc>
          <w:tcPr>
            <w:tcW w:w="3716" w:type="pct"/>
            <w:tcBorders>
              <w:top w:val="single" w:sz="4" w:space="0" w:color="auto"/>
              <w:bottom w:val="single" w:sz="4" w:space="0" w:color="auto"/>
            </w:tcBorders>
            <w:shd w:val="clear" w:color="auto" w:fill="auto"/>
            <w:noWrap/>
            <w:vAlign w:val="center"/>
            <w:hideMark/>
          </w:tcPr>
          <w:p w14:paraId="3B83A8B1" w14:textId="77777777" w:rsidR="00B80638" w:rsidRPr="00DD5010" w:rsidRDefault="00B80638" w:rsidP="00937ED9">
            <w:pPr>
              <w:spacing w:after="120"/>
              <w:rPr>
                <w:rFonts w:ascii="Calibri" w:hAnsi="Calibri" w:cs="Calibri"/>
                <w:b/>
                <w:sz w:val="16"/>
                <w:szCs w:val="16"/>
              </w:rPr>
            </w:pPr>
            <w:r w:rsidRPr="00DD5010">
              <w:rPr>
                <w:rFonts w:ascii="Calibri" w:hAnsi="Calibri" w:cs="Calibri"/>
                <w:b/>
                <w:bCs/>
                <w:sz w:val="16"/>
                <w:szCs w:val="16"/>
              </w:rPr>
              <w:t>Excedente (AC – PC)</w:t>
            </w:r>
          </w:p>
        </w:tc>
        <w:tc>
          <w:tcPr>
            <w:tcW w:w="1284" w:type="pct"/>
            <w:tcBorders>
              <w:top w:val="single" w:sz="4" w:space="0" w:color="auto"/>
              <w:bottom w:val="single" w:sz="4" w:space="0" w:color="auto"/>
            </w:tcBorders>
            <w:shd w:val="clear" w:color="auto" w:fill="auto"/>
            <w:noWrap/>
            <w:vAlign w:val="center"/>
            <w:hideMark/>
          </w:tcPr>
          <w:p w14:paraId="44EB5EB3" w14:textId="3A594D35" w:rsidR="00B80638" w:rsidRPr="00DD5010" w:rsidRDefault="00350AFF" w:rsidP="00937ED9">
            <w:pPr>
              <w:spacing w:after="120"/>
              <w:jc w:val="right"/>
              <w:rPr>
                <w:rFonts w:ascii="Calibri" w:hAnsi="Calibri" w:cs="Calibri"/>
                <w:b/>
                <w:bCs/>
                <w:sz w:val="16"/>
                <w:szCs w:val="16"/>
              </w:rPr>
            </w:pPr>
            <w:r w:rsidRPr="00DD5010">
              <w:rPr>
                <w:rFonts w:ascii="Calibri" w:hAnsi="Calibri" w:cs="Calibri"/>
                <w:b/>
                <w:bCs/>
                <w:sz w:val="16"/>
                <w:szCs w:val="16"/>
              </w:rPr>
              <w:t>21.027.22</w:t>
            </w:r>
            <w:r w:rsidR="0001049A" w:rsidRPr="00DD5010">
              <w:rPr>
                <w:rFonts w:ascii="Calibri" w:hAnsi="Calibri" w:cs="Calibri"/>
                <w:b/>
                <w:bCs/>
                <w:sz w:val="16"/>
                <w:szCs w:val="16"/>
              </w:rPr>
              <w:t>0</w:t>
            </w:r>
          </w:p>
        </w:tc>
      </w:tr>
    </w:tbl>
    <w:p w14:paraId="4EC0CF98" w14:textId="6A83A851" w:rsidR="00B80638" w:rsidRPr="004759D4" w:rsidRDefault="00350AFF" w:rsidP="00036923">
      <w:pPr>
        <w:autoSpaceDE w:val="0"/>
        <w:autoSpaceDN w:val="0"/>
        <w:adjustRightInd w:val="0"/>
        <w:spacing w:before="120" w:after="120"/>
        <w:jc w:val="both"/>
        <w:rPr>
          <w:rFonts w:ascii="Calibri" w:hAnsi="Calibri" w:cs="Calibri"/>
          <w:sz w:val="22"/>
          <w:szCs w:val="22"/>
          <w:shd w:val="clear" w:color="auto" w:fill="FFFFFF"/>
        </w:rPr>
      </w:pPr>
      <w:r w:rsidRPr="00DD5010">
        <w:rPr>
          <w:rFonts w:ascii="Calibri" w:hAnsi="Calibri" w:cs="Calibri"/>
          <w:sz w:val="22"/>
          <w:szCs w:val="22"/>
          <w:shd w:val="clear" w:color="auto" w:fill="FFFFFF"/>
        </w:rPr>
        <w:t xml:space="preserve">A </w:t>
      </w:r>
      <w:r w:rsidR="00B80638" w:rsidRPr="00DD5010">
        <w:rPr>
          <w:rFonts w:ascii="Calibri" w:hAnsi="Calibri" w:cs="Calibri"/>
          <w:sz w:val="22"/>
          <w:szCs w:val="22"/>
          <w:shd w:val="clear" w:color="auto" w:fill="FFFFFF"/>
        </w:rPr>
        <w:t xml:space="preserve">legislação prevê a possibilidade de suplementação orçamentária, caso os recursos previstos na Lei Orçamentária </w:t>
      </w:r>
      <w:r w:rsidR="00B80638" w:rsidRPr="00FF4575">
        <w:rPr>
          <w:rFonts w:ascii="Calibri" w:hAnsi="Calibri" w:cs="Calibri"/>
          <w:sz w:val="22"/>
          <w:szCs w:val="22"/>
          <w:shd w:val="clear" w:color="auto" w:fill="FFFFFF"/>
        </w:rPr>
        <w:t>Anual não sejam suficientes. O embasamento para essa suplementação está ancorado nos arts. 40 a 46 da Lei nº 4.320, de 17 de março de 1964 (créditos orçamentários); no art. 4º da Lei nº 14.</w:t>
      </w:r>
      <w:r w:rsidR="00E65A98">
        <w:rPr>
          <w:rFonts w:ascii="Calibri" w:hAnsi="Calibri" w:cs="Calibri"/>
          <w:sz w:val="22"/>
          <w:szCs w:val="22"/>
          <w:shd w:val="clear" w:color="auto" w:fill="FFFFFF"/>
        </w:rPr>
        <w:t>303</w:t>
      </w:r>
      <w:r w:rsidR="00B80638" w:rsidRPr="00FF4575">
        <w:rPr>
          <w:rFonts w:ascii="Calibri" w:hAnsi="Calibri" w:cs="Calibri"/>
          <w:sz w:val="22"/>
          <w:szCs w:val="22"/>
          <w:shd w:val="clear" w:color="auto" w:fill="FFFFFF"/>
        </w:rPr>
        <w:t>, de 2</w:t>
      </w:r>
      <w:r w:rsidR="00E65A98">
        <w:rPr>
          <w:rFonts w:ascii="Calibri" w:hAnsi="Calibri" w:cs="Calibri"/>
          <w:sz w:val="22"/>
          <w:szCs w:val="22"/>
          <w:shd w:val="clear" w:color="auto" w:fill="FFFFFF"/>
        </w:rPr>
        <w:t>1</w:t>
      </w:r>
      <w:r w:rsidR="00B80638" w:rsidRPr="00FF4575">
        <w:rPr>
          <w:rFonts w:ascii="Calibri" w:hAnsi="Calibri" w:cs="Calibri"/>
          <w:sz w:val="22"/>
          <w:szCs w:val="22"/>
          <w:shd w:val="clear" w:color="auto" w:fill="FFFFFF"/>
        </w:rPr>
        <w:t xml:space="preserve"> de </w:t>
      </w:r>
      <w:r w:rsidR="00E65A98">
        <w:rPr>
          <w:rFonts w:ascii="Calibri" w:hAnsi="Calibri" w:cs="Calibri"/>
          <w:sz w:val="22"/>
          <w:szCs w:val="22"/>
          <w:shd w:val="clear" w:color="auto" w:fill="FFFFFF"/>
        </w:rPr>
        <w:t>janeiro</w:t>
      </w:r>
      <w:r w:rsidR="00B80638" w:rsidRPr="00FF4575">
        <w:rPr>
          <w:rFonts w:ascii="Calibri" w:hAnsi="Calibri" w:cs="Calibri"/>
          <w:sz w:val="22"/>
          <w:szCs w:val="22"/>
          <w:shd w:val="clear" w:color="auto" w:fill="FFFFFF"/>
        </w:rPr>
        <w:t xml:space="preserve"> de 202</w:t>
      </w:r>
      <w:r w:rsidR="00E65A98">
        <w:rPr>
          <w:rFonts w:ascii="Calibri" w:hAnsi="Calibri" w:cs="Calibri"/>
          <w:sz w:val="22"/>
          <w:szCs w:val="22"/>
          <w:shd w:val="clear" w:color="auto" w:fill="FFFFFF"/>
        </w:rPr>
        <w:t>2</w:t>
      </w:r>
      <w:r w:rsidR="00B80638" w:rsidRPr="00FF4575">
        <w:rPr>
          <w:rFonts w:ascii="Calibri" w:hAnsi="Calibri" w:cs="Calibri"/>
          <w:sz w:val="22"/>
          <w:szCs w:val="22"/>
          <w:shd w:val="clear" w:color="auto" w:fill="FFFFFF"/>
        </w:rPr>
        <w:t xml:space="preserve"> e no art. 9º da </w:t>
      </w:r>
      <w:r w:rsidR="00B80638" w:rsidRPr="004759D4">
        <w:rPr>
          <w:rFonts w:ascii="Calibri" w:hAnsi="Calibri" w:cs="Calibri"/>
          <w:sz w:val="22"/>
          <w:szCs w:val="22"/>
          <w:shd w:val="clear" w:color="auto" w:fill="FFFFFF"/>
        </w:rPr>
        <w:t>Portaria SOF/ME nº</w:t>
      </w:r>
      <w:r w:rsidR="00E65A98" w:rsidRPr="004759D4">
        <w:t xml:space="preserve"> </w:t>
      </w:r>
      <w:r w:rsidR="00E65A98" w:rsidRPr="004759D4">
        <w:rPr>
          <w:rFonts w:ascii="Calibri" w:hAnsi="Calibri" w:cs="Calibri"/>
          <w:sz w:val="22"/>
          <w:szCs w:val="22"/>
          <w:shd w:val="clear" w:color="auto" w:fill="FFFFFF"/>
        </w:rPr>
        <w:t>1.110, de 9 de fevereiro de 2022</w:t>
      </w:r>
      <w:r w:rsidR="00425FC3" w:rsidRPr="004759D4">
        <w:rPr>
          <w:rFonts w:ascii="Calibri" w:hAnsi="Calibri" w:cs="Calibri"/>
          <w:sz w:val="22"/>
          <w:szCs w:val="22"/>
          <w:shd w:val="clear" w:color="auto" w:fill="FFFFFF"/>
        </w:rPr>
        <w:t>.</w:t>
      </w:r>
    </w:p>
    <w:p w14:paraId="68D29291" w14:textId="77777777" w:rsidR="000951E8" w:rsidRPr="00246D27" w:rsidRDefault="000951E8" w:rsidP="00937ED9">
      <w:pPr>
        <w:pStyle w:val="NormalWeb"/>
        <w:spacing w:before="0" w:beforeAutospacing="0" w:after="120" w:afterAutospacing="0"/>
        <w:jc w:val="both"/>
        <w:rPr>
          <w:rFonts w:ascii="Calibri" w:hAnsi="Calibri" w:cs="Calibri"/>
          <w:b/>
          <w:bCs/>
          <w:sz w:val="22"/>
          <w:szCs w:val="22"/>
          <w:u w:val="single"/>
        </w:rPr>
      </w:pPr>
      <w:r w:rsidRPr="00246D27">
        <w:rPr>
          <w:rFonts w:ascii="Calibri" w:hAnsi="Calibri" w:cs="Calibri"/>
          <w:b/>
          <w:bCs/>
          <w:sz w:val="22"/>
          <w:szCs w:val="22"/>
          <w:u w:val="single"/>
        </w:rPr>
        <w:t>Projetos e Atividades Operacionais</w:t>
      </w:r>
    </w:p>
    <w:p w14:paraId="70D15726" w14:textId="77777777" w:rsidR="00DD5010" w:rsidRPr="002E2B5B" w:rsidRDefault="00DD5010" w:rsidP="00DD5010">
      <w:pPr>
        <w:autoSpaceDE w:val="0"/>
        <w:autoSpaceDN w:val="0"/>
        <w:adjustRightInd w:val="0"/>
        <w:spacing w:after="120"/>
        <w:jc w:val="both"/>
        <w:rPr>
          <w:rFonts w:ascii="Calibri" w:hAnsi="Calibri" w:cs="Calibri"/>
          <w:sz w:val="22"/>
          <w:szCs w:val="22"/>
          <w:shd w:val="clear" w:color="auto" w:fill="FFFFFF"/>
        </w:rPr>
      </w:pPr>
      <w:r w:rsidRPr="004759D4">
        <w:rPr>
          <w:rFonts w:ascii="Calibri" w:hAnsi="Calibri" w:cs="Calibri"/>
          <w:sz w:val="22"/>
          <w:szCs w:val="22"/>
          <w:shd w:val="clear" w:color="auto" w:fill="FFFFFF"/>
        </w:rPr>
        <w:t xml:space="preserve">A </w:t>
      </w:r>
      <w:r>
        <w:rPr>
          <w:rFonts w:ascii="Calibri" w:hAnsi="Calibri" w:cs="Calibri"/>
          <w:sz w:val="22"/>
          <w:szCs w:val="22"/>
          <w:shd w:val="clear" w:color="auto" w:fill="FFFFFF"/>
        </w:rPr>
        <w:t>Infra</w:t>
      </w:r>
      <w:r w:rsidRPr="004759D4">
        <w:rPr>
          <w:rFonts w:ascii="Calibri" w:hAnsi="Calibri" w:cs="Calibri"/>
          <w:sz w:val="22"/>
          <w:szCs w:val="22"/>
          <w:shd w:val="clear" w:color="auto" w:fill="FFFFFF"/>
        </w:rPr>
        <w:t xml:space="preserve"> S.A. busca ser referência não só na construção e exploração das ferrovias que lhes foram outorgadas, mas também na prestação dos mais diversos serviços e soluções tecnológicas para </w:t>
      </w:r>
      <w:r w:rsidRPr="009E7AA5">
        <w:rPr>
          <w:rFonts w:ascii="Calibri" w:hAnsi="Calibri" w:cs="Calibri"/>
          <w:sz w:val="22"/>
          <w:szCs w:val="22"/>
          <w:shd w:val="clear" w:color="auto" w:fill="FFFFFF"/>
        </w:rPr>
        <w:t xml:space="preserve">o sistema ferroviário nacional, </w:t>
      </w:r>
      <w:r w:rsidRPr="004759D4">
        <w:rPr>
          <w:rFonts w:ascii="Calibri" w:hAnsi="Calibri" w:cs="Calibri"/>
          <w:sz w:val="22"/>
          <w:szCs w:val="22"/>
          <w:shd w:val="clear" w:color="auto" w:fill="FFFFFF"/>
        </w:rPr>
        <w:t xml:space="preserve">estruturando parcerias e ativos, além da prestação de serviços na área de projetos, estudos e pesquisas destinados a subsidiar o planejamento da </w:t>
      </w:r>
      <w:r>
        <w:rPr>
          <w:rFonts w:ascii="Calibri" w:hAnsi="Calibri" w:cs="Calibri"/>
          <w:sz w:val="22"/>
          <w:szCs w:val="22"/>
          <w:shd w:val="clear" w:color="auto" w:fill="FFFFFF"/>
        </w:rPr>
        <w:t>Infra</w:t>
      </w:r>
      <w:r w:rsidRPr="004759D4">
        <w:rPr>
          <w:rFonts w:ascii="Calibri" w:hAnsi="Calibri" w:cs="Calibri"/>
          <w:sz w:val="22"/>
          <w:szCs w:val="22"/>
          <w:shd w:val="clear" w:color="auto" w:fill="FFFFFF"/>
        </w:rPr>
        <w:t xml:space="preserve">estrutura, da logística e dos transportes no País. Objetiva a captação de fontes alternativas de receitas, incentivando ações para identificação de oportunidades de negócios nacionais e internacionais, além do estreitamento institucional com o mercado privado e público de </w:t>
      </w:r>
      <w:r>
        <w:rPr>
          <w:rFonts w:ascii="Calibri" w:hAnsi="Calibri" w:cs="Calibri"/>
          <w:sz w:val="22"/>
          <w:szCs w:val="22"/>
          <w:shd w:val="clear" w:color="auto" w:fill="FFFFFF"/>
        </w:rPr>
        <w:t>Infra</w:t>
      </w:r>
      <w:r w:rsidRPr="004759D4">
        <w:rPr>
          <w:rFonts w:ascii="Calibri" w:hAnsi="Calibri" w:cs="Calibri"/>
          <w:sz w:val="22"/>
          <w:szCs w:val="22"/>
          <w:shd w:val="clear" w:color="auto" w:fill="FFFFFF"/>
        </w:rPr>
        <w:t>estrutura.</w:t>
      </w:r>
    </w:p>
    <w:p w14:paraId="2A093F86" w14:textId="77777777" w:rsidR="00DD5010" w:rsidRPr="004759D4" w:rsidRDefault="00DD5010" w:rsidP="00DD5010">
      <w:pPr>
        <w:autoSpaceDE w:val="0"/>
        <w:autoSpaceDN w:val="0"/>
        <w:adjustRightInd w:val="0"/>
        <w:spacing w:after="120"/>
        <w:jc w:val="both"/>
        <w:rPr>
          <w:rFonts w:ascii="Calibri" w:hAnsi="Calibri" w:cs="Calibri"/>
          <w:sz w:val="22"/>
          <w:szCs w:val="22"/>
          <w:shd w:val="clear" w:color="auto" w:fill="FFFFFF"/>
        </w:rPr>
      </w:pPr>
      <w:r w:rsidRPr="004759D4">
        <w:rPr>
          <w:rFonts w:ascii="Calibri" w:hAnsi="Calibri" w:cs="Calibri"/>
          <w:sz w:val="22"/>
          <w:szCs w:val="22"/>
          <w:shd w:val="clear" w:color="auto" w:fill="FFFFFF"/>
        </w:rPr>
        <w:t>Na área de desapropriações o planejamento traz como metas: lançar em definitivo o sistema “VALEC Territorial”, onde estarão consolidados os mapas e painéis referentes à Desapropriação e Gestão da Faixa de Domínio; apresentar proposta para leilão público dos imóveis (terrenos) remanescentes; concluir os procedimentos administrativos necessários para a escrituração, registro ou ajuizamento dos processos expropriatórios; e continuação das atividades de levantamento com o uso de Sistemas de Aeronaves Remotamente Pilotadas (RPAS) para geração de Ortofoto de Modelo Digital de Elevação (MDE).</w:t>
      </w:r>
    </w:p>
    <w:p w14:paraId="3FD6AEC1" w14:textId="77777777" w:rsidR="00DD5010" w:rsidRDefault="00DD5010" w:rsidP="00DD5010">
      <w:pPr>
        <w:pStyle w:val="Pa0"/>
        <w:spacing w:after="120"/>
        <w:rPr>
          <w:rFonts w:ascii="Calibri" w:hAnsi="Calibri" w:cs="Calibri"/>
          <w:sz w:val="22"/>
          <w:szCs w:val="22"/>
        </w:rPr>
      </w:pPr>
      <w:r w:rsidRPr="004759D4">
        <w:rPr>
          <w:rFonts w:ascii="Calibri" w:hAnsi="Calibri" w:cs="Calibri"/>
          <w:sz w:val="22"/>
          <w:szCs w:val="22"/>
        </w:rPr>
        <w:t xml:space="preserve">Como unidade executora de políticas públicas de desenvolvimento da </w:t>
      </w:r>
      <w:r>
        <w:rPr>
          <w:rFonts w:ascii="Calibri" w:hAnsi="Calibri" w:cs="Calibri"/>
          <w:sz w:val="22"/>
          <w:szCs w:val="22"/>
        </w:rPr>
        <w:t>Infra</w:t>
      </w:r>
      <w:r w:rsidRPr="004759D4">
        <w:rPr>
          <w:rFonts w:ascii="Calibri" w:hAnsi="Calibri" w:cs="Calibri"/>
          <w:sz w:val="22"/>
          <w:szCs w:val="22"/>
        </w:rPr>
        <w:t xml:space="preserve">estrutura nacional, muitos projetos deverão ser direcionados para atuação da </w:t>
      </w:r>
      <w:r>
        <w:rPr>
          <w:rFonts w:ascii="Calibri" w:hAnsi="Calibri" w:cs="Calibri"/>
          <w:sz w:val="22"/>
          <w:szCs w:val="22"/>
        </w:rPr>
        <w:t>Infra</w:t>
      </w:r>
      <w:r w:rsidRPr="004759D4">
        <w:rPr>
          <w:rFonts w:ascii="Calibri" w:hAnsi="Calibri" w:cs="Calibri"/>
          <w:sz w:val="22"/>
          <w:szCs w:val="22"/>
        </w:rPr>
        <w:t xml:space="preserve"> S.A., tendo em vista as oportunidades geradas pela possibilidade de renovação antecipada das concessões ferroviárias, a devolução e relicitação de trechos ferroviários previstos pela Lei nº 13.448/2017 e a possibilidade de aprovação do PLS 261/2018, que trata das autorizações ferroviárias privadas.</w:t>
      </w:r>
    </w:p>
    <w:p w14:paraId="714DAA20" w14:textId="68F01DEB" w:rsidR="00B124A6" w:rsidRPr="00246D27" w:rsidRDefault="00F658CA"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rPr>
        <w:t xml:space="preserve">A </w:t>
      </w:r>
      <w:bookmarkStart w:id="0" w:name="_Hlk119662084"/>
      <w:r w:rsidR="00DD5010">
        <w:rPr>
          <w:rFonts w:ascii="Calibri" w:hAnsi="Calibri" w:cs="Calibri"/>
          <w:sz w:val="22"/>
          <w:szCs w:val="22"/>
        </w:rPr>
        <w:t>Empresa</w:t>
      </w:r>
      <w:r w:rsidRPr="00246D27">
        <w:rPr>
          <w:rFonts w:ascii="Calibri" w:hAnsi="Calibri" w:cs="Calibri"/>
          <w:sz w:val="22"/>
          <w:szCs w:val="22"/>
        </w:rPr>
        <w:t xml:space="preserve"> </w:t>
      </w:r>
      <w:bookmarkEnd w:id="0"/>
      <w:r w:rsidRPr="00246D27">
        <w:rPr>
          <w:rFonts w:ascii="Calibri" w:hAnsi="Calibri" w:cs="Calibri"/>
          <w:sz w:val="22"/>
          <w:szCs w:val="22"/>
        </w:rPr>
        <w:t xml:space="preserve">atua como principal catalisador do modo ferroviário nacional, responsável por projetos em grande parte do País, como a construção da Ferrovia Norte-Sul e da Ferrovia de Integração Leste-Oeste, além de projetos como: Corredor Ferroviário de Santa Catarina – EF 280, </w:t>
      </w:r>
      <w:r w:rsidRPr="00246D27">
        <w:rPr>
          <w:rFonts w:ascii="Calibri" w:hAnsi="Calibri" w:cs="Calibri"/>
          <w:sz w:val="22"/>
          <w:szCs w:val="22"/>
          <w:shd w:val="clear" w:color="auto" w:fill="FFFFFF"/>
        </w:rPr>
        <w:t>Ferrovia do Pantanal – EF 267 e Ferrovia Integração Centro-Oeste – EF 354.</w:t>
      </w:r>
      <w:r w:rsidR="00B124A6" w:rsidRPr="00246D27">
        <w:rPr>
          <w:rFonts w:ascii="Calibri" w:hAnsi="Calibri" w:cs="Calibri"/>
          <w:sz w:val="22"/>
          <w:szCs w:val="22"/>
          <w:shd w:val="clear" w:color="auto" w:fill="FFFFFF"/>
        </w:rPr>
        <w:t xml:space="preserve"> </w:t>
      </w:r>
    </w:p>
    <w:p w14:paraId="4B848B94" w14:textId="77777777" w:rsidR="00F658CA" w:rsidRPr="00246D27" w:rsidRDefault="00F658CA" w:rsidP="00937ED9">
      <w:pPr>
        <w:autoSpaceDE w:val="0"/>
        <w:autoSpaceDN w:val="0"/>
        <w:adjustRightInd w:val="0"/>
        <w:spacing w:after="120"/>
        <w:jc w:val="both"/>
        <w:rPr>
          <w:rFonts w:ascii="Calibri" w:hAnsi="Calibri" w:cs="Calibri"/>
          <w:b/>
          <w:sz w:val="22"/>
          <w:szCs w:val="22"/>
        </w:rPr>
      </w:pPr>
      <w:r w:rsidRPr="00246D27">
        <w:rPr>
          <w:rFonts w:ascii="Calibri" w:hAnsi="Calibri" w:cs="Calibri"/>
          <w:b/>
          <w:sz w:val="22"/>
          <w:szCs w:val="22"/>
        </w:rPr>
        <w:t>I - FERROVIA NORTE-SUL - FNS – EF 151</w:t>
      </w:r>
    </w:p>
    <w:p w14:paraId="1C20A585" w14:textId="214AD834" w:rsidR="009165D8" w:rsidRPr="00246D27" w:rsidRDefault="00F658CA" w:rsidP="00937ED9">
      <w:pPr>
        <w:pStyle w:val="NormalWeb"/>
        <w:spacing w:before="0" w:beforeAutospacing="0" w:after="120" w:afterAutospacing="0"/>
        <w:jc w:val="both"/>
        <w:rPr>
          <w:rFonts w:ascii="Calibri" w:hAnsi="Calibri" w:cs="Calibri"/>
          <w:sz w:val="22"/>
          <w:szCs w:val="22"/>
        </w:rPr>
      </w:pPr>
      <w:r w:rsidRPr="00246D27">
        <w:rPr>
          <w:rFonts w:ascii="Calibri" w:hAnsi="Calibri" w:cs="Calibri"/>
          <w:sz w:val="22"/>
          <w:szCs w:val="22"/>
        </w:rPr>
        <w:t xml:space="preserve">Constitui como eixo estruturador do Sistema Ferroviário Nacional: estabelecendo alternativas mais econômicas para os fluxos de carga para o mercado consumidor; induzindo a ocupação econômica do cerrado brasileiro; favorecendo a multimodalidade de transportes; conectando a malha ferroviária brasileira; promovendo uma logística exportadora </w:t>
      </w:r>
      <w:r w:rsidRPr="00246D27">
        <w:rPr>
          <w:rFonts w:ascii="Calibri" w:hAnsi="Calibri" w:cs="Calibri"/>
          <w:sz w:val="22"/>
          <w:szCs w:val="22"/>
        </w:rPr>
        <w:lastRenderedPageBreak/>
        <w:t>competitiva, de modo a possibilitar o acesso a portos de grande capacidade; incentivando investimentos, que irão incrementar a produção, induzir processos produtivos modernos e promover a industrialização.</w:t>
      </w:r>
    </w:p>
    <w:p w14:paraId="33FE8524" w14:textId="4F551503" w:rsidR="009165D8" w:rsidRPr="00246D27" w:rsidRDefault="00F658CA" w:rsidP="00937ED9">
      <w:pPr>
        <w:pStyle w:val="NormalWeb"/>
        <w:spacing w:before="0" w:beforeAutospacing="0" w:after="120" w:afterAutospacing="0"/>
        <w:jc w:val="both"/>
        <w:rPr>
          <w:rFonts w:ascii="Calibri" w:hAnsi="Calibri" w:cs="Calibri"/>
          <w:sz w:val="22"/>
          <w:szCs w:val="22"/>
        </w:rPr>
      </w:pPr>
      <w:r w:rsidRPr="00246D27">
        <w:rPr>
          <w:rFonts w:ascii="Calibri" w:hAnsi="Calibri" w:cs="Calibri"/>
          <w:sz w:val="22"/>
          <w:szCs w:val="22"/>
        </w:rPr>
        <w:t xml:space="preserve">A outorga estabelecendo o direito de construção, uso e gozo da FNS EF – 151 se deu inicialmente por meio do Decreto nº 94.813, de 01º de setembro de 1987, posteriormente alterado pelas Leis nº 11.297, de 09 de maio de 2006, e nº 11.772, de 17 de setembro de 2008. </w:t>
      </w:r>
    </w:p>
    <w:p w14:paraId="1B87C1FF" w14:textId="0E13F0EE" w:rsidR="009165D8" w:rsidRPr="00246D27" w:rsidRDefault="00F658CA" w:rsidP="00937ED9">
      <w:pPr>
        <w:pStyle w:val="NormalWeb"/>
        <w:spacing w:before="0" w:beforeAutospacing="0" w:after="120" w:afterAutospacing="0"/>
        <w:jc w:val="both"/>
        <w:rPr>
          <w:rFonts w:ascii="Calibri" w:hAnsi="Calibri" w:cs="Calibri"/>
          <w:sz w:val="22"/>
          <w:szCs w:val="22"/>
        </w:rPr>
      </w:pPr>
      <w:r w:rsidRPr="00246D27">
        <w:rPr>
          <w:rFonts w:ascii="Calibri" w:hAnsi="Calibri" w:cs="Calibri"/>
          <w:sz w:val="22"/>
          <w:szCs w:val="22"/>
        </w:rPr>
        <w:t xml:space="preserve">Em virtude de sua extensão e da disponibilidade orçamentária, a construção da FNS foi realizada em etapas que constituem os seguintes trechos/tramos: Tramo Norte </w:t>
      </w:r>
      <w:r w:rsidR="00040BCF" w:rsidRPr="00246D27">
        <w:rPr>
          <w:rFonts w:ascii="Calibri" w:hAnsi="Calibri" w:cs="Calibri"/>
          <w:sz w:val="22"/>
          <w:szCs w:val="22"/>
        </w:rPr>
        <w:t>(</w:t>
      </w:r>
      <w:r w:rsidRPr="00246D27">
        <w:rPr>
          <w:rFonts w:ascii="Calibri" w:hAnsi="Calibri" w:cs="Calibri"/>
          <w:sz w:val="22"/>
          <w:szCs w:val="22"/>
        </w:rPr>
        <w:t>Açailândia/MA – Porto Nacional/TO</w:t>
      </w:r>
      <w:r w:rsidR="00040BCF" w:rsidRPr="00246D27">
        <w:rPr>
          <w:rFonts w:ascii="Calibri" w:hAnsi="Calibri" w:cs="Calibri"/>
          <w:sz w:val="22"/>
          <w:szCs w:val="22"/>
        </w:rPr>
        <w:t>)</w:t>
      </w:r>
      <w:r w:rsidRPr="00246D27">
        <w:rPr>
          <w:rFonts w:ascii="Calibri" w:hAnsi="Calibri" w:cs="Calibri"/>
          <w:sz w:val="22"/>
          <w:szCs w:val="22"/>
        </w:rPr>
        <w:t xml:space="preserve">; Tramo Central: </w:t>
      </w:r>
      <w:r w:rsidR="00040BCF" w:rsidRPr="00246D27">
        <w:rPr>
          <w:rFonts w:ascii="Calibri" w:hAnsi="Calibri" w:cs="Calibri"/>
          <w:sz w:val="22"/>
          <w:szCs w:val="22"/>
        </w:rPr>
        <w:t>(</w:t>
      </w:r>
      <w:r w:rsidRPr="00246D27">
        <w:rPr>
          <w:rFonts w:ascii="Calibri" w:hAnsi="Calibri" w:cs="Calibri"/>
          <w:sz w:val="22"/>
          <w:szCs w:val="22"/>
        </w:rPr>
        <w:t xml:space="preserve">Porto Nacional/TO – </w:t>
      </w:r>
      <w:r w:rsidR="00040BCF" w:rsidRPr="00246D27">
        <w:rPr>
          <w:rFonts w:ascii="Calibri" w:hAnsi="Calibri" w:cs="Calibri"/>
          <w:sz w:val="22"/>
          <w:szCs w:val="22"/>
        </w:rPr>
        <w:t>Uruaçu/GO)</w:t>
      </w:r>
      <w:r w:rsidRPr="00246D27">
        <w:rPr>
          <w:rFonts w:ascii="Calibri" w:hAnsi="Calibri" w:cs="Calibri"/>
          <w:sz w:val="22"/>
          <w:szCs w:val="22"/>
        </w:rPr>
        <w:t>; Tramo Sul</w:t>
      </w:r>
      <w:r w:rsidR="00040BCF" w:rsidRPr="00246D27">
        <w:rPr>
          <w:rFonts w:ascii="Calibri" w:hAnsi="Calibri" w:cs="Calibri"/>
          <w:sz w:val="22"/>
          <w:szCs w:val="22"/>
        </w:rPr>
        <w:t xml:space="preserve"> (Uruaçu/GO - Anápolis/GO); e </w:t>
      </w:r>
      <w:r w:rsidRPr="00246D27">
        <w:rPr>
          <w:rFonts w:ascii="Calibri" w:hAnsi="Calibri" w:cs="Calibri"/>
          <w:sz w:val="22"/>
          <w:szCs w:val="22"/>
        </w:rPr>
        <w:t xml:space="preserve">Extensão Sul </w:t>
      </w:r>
      <w:r w:rsidR="00040BCF" w:rsidRPr="00246D27">
        <w:rPr>
          <w:rFonts w:ascii="Calibri" w:hAnsi="Calibri" w:cs="Calibri"/>
          <w:sz w:val="22"/>
          <w:szCs w:val="22"/>
        </w:rPr>
        <w:t>(</w:t>
      </w:r>
      <w:r w:rsidRPr="00246D27">
        <w:rPr>
          <w:rFonts w:ascii="Calibri" w:hAnsi="Calibri" w:cs="Calibri"/>
          <w:sz w:val="22"/>
          <w:szCs w:val="22"/>
        </w:rPr>
        <w:t>Ouro Verde/GO – Estrela d’Oeste/SP</w:t>
      </w:r>
      <w:r w:rsidR="00040BCF" w:rsidRPr="00246D27">
        <w:rPr>
          <w:rFonts w:ascii="Calibri" w:hAnsi="Calibri" w:cs="Calibri"/>
          <w:sz w:val="22"/>
          <w:szCs w:val="22"/>
        </w:rPr>
        <w:t>)</w:t>
      </w:r>
      <w:r w:rsidRPr="00246D27">
        <w:rPr>
          <w:rFonts w:ascii="Calibri" w:hAnsi="Calibri" w:cs="Calibri"/>
          <w:sz w:val="22"/>
          <w:szCs w:val="22"/>
        </w:rPr>
        <w:t>.</w:t>
      </w:r>
    </w:p>
    <w:p w14:paraId="60F839DC" w14:textId="2E0E8FF6" w:rsidR="009165D8" w:rsidRPr="00246D27" w:rsidRDefault="00F658CA" w:rsidP="00937ED9">
      <w:pPr>
        <w:pStyle w:val="NormalWeb"/>
        <w:spacing w:before="0" w:beforeAutospacing="0" w:after="120" w:afterAutospacing="0"/>
        <w:jc w:val="both"/>
        <w:rPr>
          <w:rFonts w:ascii="Calibri" w:hAnsi="Calibri" w:cs="Calibri"/>
          <w:sz w:val="22"/>
          <w:szCs w:val="22"/>
        </w:rPr>
      </w:pPr>
      <w:r w:rsidRPr="00246D27">
        <w:rPr>
          <w:rFonts w:ascii="Calibri" w:hAnsi="Calibri" w:cs="Calibri"/>
          <w:sz w:val="22"/>
          <w:szCs w:val="22"/>
        </w:rPr>
        <w:t xml:space="preserve">O </w:t>
      </w:r>
      <w:r w:rsidR="00040BCF" w:rsidRPr="00246D27">
        <w:rPr>
          <w:rFonts w:ascii="Calibri" w:hAnsi="Calibri" w:cs="Calibri"/>
          <w:sz w:val="22"/>
          <w:szCs w:val="22"/>
        </w:rPr>
        <w:t>T</w:t>
      </w:r>
      <w:r w:rsidRPr="00246D27">
        <w:rPr>
          <w:rFonts w:ascii="Calibri" w:hAnsi="Calibri" w:cs="Calibri"/>
          <w:sz w:val="22"/>
          <w:szCs w:val="22"/>
        </w:rPr>
        <w:t xml:space="preserve">recho </w:t>
      </w:r>
      <w:r w:rsidR="00040BCF" w:rsidRPr="00246D27">
        <w:rPr>
          <w:rFonts w:ascii="Calibri" w:hAnsi="Calibri" w:cs="Calibri"/>
          <w:sz w:val="22"/>
          <w:szCs w:val="22"/>
        </w:rPr>
        <w:t>Norte</w:t>
      </w:r>
      <w:r w:rsidRPr="00246D27">
        <w:rPr>
          <w:rFonts w:ascii="Calibri" w:hAnsi="Calibri" w:cs="Calibri"/>
          <w:sz w:val="22"/>
          <w:szCs w:val="22"/>
        </w:rPr>
        <w:t xml:space="preserve"> possui 720 km de extensão e encontra-se subconcedido à Ferrovia Norte Sul S.A desde dezembro de 2007</w:t>
      </w:r>
      <w:r w:rsidR="001B4261" w:rsidRPr="00246D27">
        <w:rPr>
          <w:rFonts w:ascii="Calibri" w:hAnsi="Calibri" w:cs="Calibri"/>
          <w:sz w:val="22"/>
          <w:szCs w:val="22"/>
        </w:rPr>
        <w:t>, pelo prazo contratual de 30 anos</w:t>
      </w:r>
      <w:r w:rsidRPr="00246D27">
        <w:rPr>
          <w:rFonts w:ascii="Calibri" w:hAnsi="Calibri" w:cs="Calibri"/>
          <w:sz w:val="22"/>
          <w:szCs w:val="22"/>
        </w:rPr>
        <w:t xml:space="preserve">. Esse trecho teve sua autorização para tráfego em 19 de janeiro de 2011, por meio da Resolução nº 3624/2011 da Agência Nacional de Transportes Terrestres </w:t>
      </w:r>
      <w:r w:rsidR="00040BCF" w:rsidRPr="00246D27">
        <w:rPr>
          <w:rFonts w:ascii="Calibri" w:hAnsi="Calibri" w:cs="Calibri"/>
          <w:sz w:val="22"/>
          <w:szCs w:val="22"/>
        </w:rPr>
        <w:t>(</w:t>
      </w:r>
      <w:r w:rsidRPr="00246D27">
        <w:rPr>
          <w:rFonts w:ascii="Calibri" w:hAnsi="Calibri" w:cs="Calibri"/>
          <w:sz w:val="22"/>
          <w:szCs w:val="22"/>
        </w:rPr>
        <w:t>ANTT</w:t>
      </w:r>
      <w:r w:rsidR="00040BCF" w:rsidRPr="00246D27">
        <w:rPr>
          <w:rFonts w:ascii="Calibri" w:hAnsi="Calibri" w:cs="Calibri"/>
          <w:sz w:val="22"/>
          <w:szCs w:val="22"/>
        </w:rPr>
        <w:t>)</w:t>
      </w:r>
      <w:r w:rsidRPr="00246D27">
        <w:rPr>
          <w:rFonts w:ascii="Calibri" w:hAnsi="Calibri" w:cs="Calibri"/>
          <w:sz w:val="22"/>
          <w:szCs w:val="22"/>
        </w:rPr>
        <w:t>.</w:t>
      </w:r>
    </w:p>
    <w:p w14:paraId="2AC1751B" w14:textId="266666CB" w:rsidR="00D4582D" w:rsidRPr="00246D27" w:rsidRDefault="00F658CA" w:rsidP="00937ED9">
      <w:pPr>
        <w:pStyle w:val="NormalWeb"/>
        <w:spacing w:before="0" w:beforeAutospacing="0" w:after="120" w:afterAutospacing="0"/>
        <w:jc w:val="both"/>
        <w:rPr>
          <w:rFonts w:ascii="Calibri" w:hAnsi="Calibri" w:cs="Calibri"/>
          <w:sz w:val="22"/>
          <w:szCs w:val="22"/>
        </w:rPr>
      </w:pPr>
      <w:r w:rsidRPr="00246D27">
        <w:rPr>
          <w:rFonts w:ascii="Calibri" w:hAnsi="Calibri" w:cs="Calibri"/>
          <w:sz w:val="22"/>
          <w:szCs w:val="22"/>
        </w:rPr>
        <w:t xml:space="preserve">Com um total de 1.537 km, o trecho que compreende Porto Nacional/TO a Estrela d’Oeste/SP </w:t>
      </w:r>
      <w:r w:rsidR="00E35FF8" w:rsidRPr="00246D27">
        <w:rPr>
          <w:rFonts w:ascii="Calibri" w:hAnsi="Calibri" w:cs="Calibri"/>
          <w:sz w:val="22"/>
          <w:szCs w:val="22"/>
        </w:rPr>
        <w:t xml:space="preserve">(Tramos Central, Sul e Extensão Sul) </w:t>
      </w:r>
      <w:r w:rsidRPr="00246D27">
        <w:rPr>
          <w:rFonts w:ascii="Calibri" w:hAnsi="Calibri" w:cs="Calibri"/>
          <w:sz w:val="22"/>
          <w:szCs w:val="22"/>
        </w:rPr>
        <w:t xml:space="preserve">foi leiloado para Subconcessão em 28 de março de 2019. Em 30 de abril de 2019, a Agência Nacional de Transportes Terrestres – ANTT homologou o resultado do leilão, no qual consagrou-se vencedora a empresa Rumo Malha Central S.A e o contrato foi assinado em 31 de julho de 2019, por intermédio da ANTT, tendo como Concessionária e Interveniente Subconcedente a </w:t>
      </w:r>
      <w:r w:rsidR="00B406C5" w:rsidRPr="008B1B72">
        <w:rPr>
          <w:rFonts w:ascii="Calibri" w:hAnsi="Calibri" w:cs="Calibri"/>
          <w:sz w:val="22"/>
          <w:szCs w:val="22"/>
          <w:shd w:val="clear" w:color="auto" w:fill="FFFFFF"/>
        </w:rPr>
        <w:t>Infra S.A.</w:t>
      </w:r>
      <w:r w:rsidRPr="00246D27">
        <w:rPr>
          <w:rFonts w:ascii="Calibri" w:hAnsi="Calibri" w:cs="Calibri"/>
          <w:sz w:val="22"/>
          <w:szCs w:val="22"/>
        </w:rPr>
        <w:t xml:space="preserve"> O contrato de subconcessão tem por objeto a prestação do serviço público de transporte ferroviário de cargas associado à exploração da </w:t>
      </w:r>
      <w:r w:rsidR="00E11BEF" w:rsidRPr="00246D27">
        <w:rPr>
          <w:rFonts w:ascii="Calibri" w:hAnsi="Calibri" w:cs="Calibri"/>
          <w:sz w:val="22"/>
          <w:szCs w:val="22"/>
        </w:rPr>
        <w:t>Infra</w:t>
      </w:r>
      <w:r w:rsidRPr="00246D27">
        <w:rPr>
          <w:rFonts w:ascii="Calibri" w:hAnsi="Calibri" w:cs="Calibri"/>
          <w:sz w:val="22"/>
          <w:szCs w:val="22"/>
        </w:rPr>
        <w:t>estrutura da malha ferroviária situada entre Porto Nacional/TO e Estrela d´Oeste/SP, com vigência de 30 (trinta) anos.</w:t>
      </w:r>
    </w:p>
    <w:p w14:paraId="74B42D40" w14:textId="6FB8C1FB" w:rsidR="00D52821" w:rsidRPr="00246D27" w:rsidRDefault="00F658CA" w:rsidP="00937ED9">
      <w:pPr>
        <w:pStyle w:val="NormalWeb"/>
        <w:spacing w:before="0" w:beforeAutospacing="0" w:after="120" w:afterAutospacing="0"/>
        <w:jc w:val="both"/>
        <w:rPr>
          <w:rFonts w:ascii="Calibri" w:hAnsi="Calibri" w:cs="Calibri"/>
          <w:sz w:val="22"/>
          <w:szCs w:val="22"/>
        </w:rPr>
      </w:pPr>
      <w:r w:rsidRPr="00246D27">
        <w:rPr>
          <w:rFonts w:ascii="Calibri" w:hAnsi="Calibri" w:cs="Calibri"/>
          <w:sz w:val="22"/>
          <w:szCs w:val="22"/>
        </w:rPr>
        <w:t>Os contratos de subconcessão da Ferrovia Norte-Sul e seus reflexos contábeis estão divulgados na Nota</w:t>
      </w:r>
      <w:r w:rsidR="0001049A">
        <w:rPr>
          <w:rFonts w:ascii="Calibri" w:hAnsi="Calibri" w:cs="Calibri"/>
          <w:sz w:val="22"/>
          <w:szCs w:val="22"/>
        </w:rPr>
        <w:t xml:space="preserve"> 9</w:t>
      </w:r>
      <w:r w:rsidR="001B4261" w:rsidRPr="00246D27">
        <w:rPr>
          <w:rFonts w:ascii="Calibri" w:hAnsi="Calibri" w:cs="Calibri"/>
          <w:sz w:val="22"/>
          <w:szCs w:val="22"/>
        </w:rPr>
        <w:t>.</w:t>
      </w:r>
    </w:p>
    <w:p w14:paraId="2EF395BE" w14:textId="3F38F6AC" w:rsidR="00F658CA" w:rsidRPr="00246D27" w:rsidRDefault="00F658CA" w:rsidP="00937ED9">
      <w:pPr>
        <w:autoSpaceDE w:val="0"/>
        <w:autoSpaceDN w:val="0"/>
        <w:adjustRightInd w:val="0"/>
        <w:spacing w:after="120"/>
        <w:jc w:val="both"/>
        <w:rPr>
          <w:rFonts w:ascii="Calibri" w:hAnsi="Calibri" w:cs="Calibri"/>
          <w:b/>
          <w:sz w:val="22"/>
          <w:szCs w:val="22"/>
        </w:rPr>
      </w:pPr>
      <w:r w:rsidRPr="00246D27">
        <w:rPr>
          <w:rFonts w:ascii="Calibri" w:hAnsi="Calibri" w:cs="Calibri"/>
          <w:b/>
          <w:sz w:val="22"/>
          <w:szCs w:val="22"/>
        </w:rPr>
        <w:t>II - FERROVIA DE INTEGRAÇÃO OESTE LESTE - FIOL – EF 334</w:t>
      </w:r>
    </w:p>
    <w:p w14:paraId="52B20FE7" w14:textId="6DCA8B32" w:rsidR="009165D8" w:rsidRPr="00246D27" w:rsidRDefault="00F658CA" w:rsidP="00937ED9">
      <w:pPr>
        <w:pStyle w:val="NormalWeb"/>
        <w:spacing w:before="0" w:beforeAutospacing="0" w:after="120" w:afterAutospacing="0"/>
        <w:jc w:val="both"/>
        <w:rPr>
          <w:rFonts w:ascii="Calibri" w:hAnsi="Calibri" w:cs="Calibri"/>
          <w:sz w:val="22"/>
          <w:szCs w:val="22"/>
        </w:rPr>
      </w:pPr>
      <w:r w:rsidRPr="00246D27">
        <w:rPr>
          <w:rFonts w:ascii="Calibri" w:hAnsi="Calibri" w:cs="Calibri"/>
          <w:sz w:val="22"/>
          <w:szCs w:val="22"/>
        </w:rPr>
        <w:t xml:space="preserve">Com aproximadamente 1.527 km de extensão, ligará o futuro </w:t>
      </w:r>
      <w:r w:rsidR="001B4261" w:rsidRPr="00246D27">
        <w:rPr>
          <w:rFonts w:ascii="Calibri" w:hAnsi="Calibri" w:cs="Calibri"/>
          <w:sz w:val="22"/>
          <w:szCs w:val="22"/>
        </w:rPr>
        <w:t>P</w:t>
      </w:r>
      <w:r w:rsidRPr="00246D27">
        <w:rPr>
          <w:rFonts w:ascii="Calibri" w:hAnsi="Calibri" w:cs="Calibri"/>
          <w:sz w:val="22"/>
          <w:szCs w:val="22"/>
        </w:rPr>
        <w:t>orto de Ilhéus/BA a Figueirópolis/TO, ponto em que se conectará com a Ferrovia Norte Sul.</w:t>
      </w:r>
    </w:p>
    <w:p w14:paraId="1EC6EB6F" w14:textId="0E4AE8FD" w:rsidR="00D4582D" w:rsidRPr="00246D27" w:rsidRDefault="00F658CA" w:rsidP="00937ED9">
      <w:pPr>
        <w:pStyle w:val="NormalWeb"/>
        <w:spacing w:before="0" w:beforeAutospacing="0" w:after="120" w:afterAutospacing="0"/>
        <w:jc w:val="both"/>
        <w:rPr>
          <w:rFonts w:ascii="Calibri" w:hAnsi="Calibri" w:cs="Calibri"/>
          <w:sz w:val="22"/>
          <w:szCs w:val="22"/>
        </w:rPr>
      </w:pPr>
      <w:r w:rsidRPr="00246D27">
        <w:rPr>
          <w:rFonts w:ascii="Calibri" w:hAnsi="Calibri" w:cs="Calibri"/>
          <w:sz w:val="22"/>
          <w:szCs w:val="22"/>
        </w:rPr>
        <w:t>A construção da FIOL tem como objetivos: estabelecer alternativas mais econômicas para os fluxos de carga de longa distância; favorecer a multimodalidade de transportes; interligar a malha ferroviária brasileira; propor nova alternativa logística para o escoamento da produção agrícola e de mineração por meio do terminal portuário de Ilhéus/BA; e incentivar investimentos a fim de incrementar a produção e induzir processos produtivos modernos.</w:t>
      </w:r>
    </w:p>
    <w:p w14:paraId="17374F13" w14:textId="6AD8F412" w:rsidR="009165D8" w:rsidRPr="00246D27" w:rsidRDefault="00F658CA" w:rsidP="00937ED9">
      <w:pPr>
        <w:pStyle w:val="NormalWeb"/>
        <w:spacing w:before="0" w:beforeAutospacing="0" w:after="120" w:afterAutospacing="0"/>
        <w:jc w:val="both"/>
        <w:rPr>
          <w:rFonts w:ascii="Calibri" w:hAnsi="Calibri" w:cs="Calibri"/>
          <w:sz w:val="22"/>
          <w:szCs w:val="22"/>
        </w:rPr>
      </w:pPr>
      <w:r w:rsidRPr="00246D27">
        <w:rPr>
          <w:rFonts w:ascii="Calibri" w:hAnsi="Calibri" w:cs="Calibri"/>
          <w:sz w:val="22"/>
          <w:szCs w:val="22"/>
        </w:rPr>
        <w:t>Devido à sua extensão e disponibilidade orçamentária, a FIOL está sendo construída em etapas e constituem os seguintes trechos: FIOL I</w:t>
      </w:r>
      <w:r w:rsidR="00EC2487" w:rsidRPr="00246D27">
        <w:rPr>
          <w:rFonts w:ascii="Calibri" w:hAnsi="Calibri" w:cs="Calibri"/>
          <w:sz w:val="22"/>
          <w:szCs w:val="22"/>
        </w:rPr>
        <w:t xml:space="preserve"> (</w:t>
      </w:r>
      <w:r w:rsidRPr="00246D27">
        <w:rPr>
          <w:rFonts w:ascii="Calibri" w:hAnsi="Calibri" w:cs="Calibri"/>
          <w:sz w:val="22"/>
          <w:szCs w:val="22"/>
        </w:rPr>
        <w:t>Ilhéus/BA – Caetité/BA</w:t>
      </w:r>
      <w:r w:rsidR="00EC2487" w:rsidRPr="00246D27">
        <w:rPr>
          <w:rFonts w:ascii="Calibri" w:hAnsi="Calibri" w:cs="Calibri"/>
          <w:sz w:val="22"/>
          <w:szCs w:val="22"/>
        </w:rPr>
        <w:t>)</w:t>
      </w:r>
      <w:r w:rsidRPr="00246D27">
        <w:rPr>
          <w:rFonts w:ascii="Calibri" w:hAnsi="Calibri" w:cs="Calibri"/>
          <w:sz w:val="22"/>
          <w:szCs w:val="22"/>
        </w:rPr>
        <w:t xml:space="preserve">; FIOL II </w:t>
      </w:r>
      <w:r w:rsidR="00EC2487" w:rsidRPr="00246D27">
        <w:rPr>
          <w:rFonts w:ascii="Calibri" w:hAnsi="Calibri" w:cs="Calibri"/>
          <w:sz w:val="22"/>
          <w:szCs w:val="22"/>
        </w:rPr>
        <w:t>(</w:t>
      </w:r>
      <w:r w:rsidRPr="00246D27">
        <w:rPr>
          <w:rFonts w:ascii="Calibri" w:hAnsi="Calibri" w:cs="Calibri"/>
          <w:sz w:val="22"/>
          <w:szCs w:val="22"/>
        </w:rPr>
        <w:t>Caetité/BA – Barreiras/BA</w:t>
      </w:r>
      <w:r w:rsidR="00EC2487" w:rsidRPr="00246D27">
        <w:rPr>
          <w:rFonts w:ascii="Calibri" w:hAnsi="Calibri" w:cs="Calibri"/>
          <w:sz w:val="22"/>
          <w:szCs w:val="22"/>
        </w:rPr>
        <w:t>)</w:t>
      </w:r>
      <w:r w:rsidRPr="00246D27">
        <w:rPr>
          <w:rFonts w:ascii="Calibri" w:hAnsi="Calibri" w:cs="Calibri"/>
          <w:sz w:val="22"/>
          <w:szCs w:val="22"/>
        </w:rPr>
        <w:t xml:space="preserve"> e FIOL III</w:t>
      </w:r>
      <w:r w:rsidR="00EC2487" w:rsidRPr="00246D27">
        <w:rPr>
          <w:rFonts w:ascii="Calibri" w:hAnsi="Calibri" w:cs="Calibri"/>
          <w:sz w:val="22"/>
          <w:szCs w:val="22"/>
        </w:rPr>
        <w:t xml:space="preserve"> (</w:t>
      </w:r>
      <w:r w:rsidRPr="00246D27">
        <w:rPr>
          <w:rFonts w:ascii="Calibri" w:hAnsi="Calibri" w:cs="Calibri"/>
          <w:sz w:val="22"/>
          <w:szCs w:val="22"/>
        </w:rPr>
        <w:t>Barreiras/BA – Figueirópolis/TO</w:t>
      </w:r>
      <w:r w:rsidR="00EC2487" w:rsidRPr="00246D27">
        <w:rPr>
          <w:rFonts w:ascii="Calibri" w:hAnsi="Calibri" w:cs="Calibri"/>
          <w:sz w:val="22"/>
          <w:szCs w:val="22"/>
        </w:rPr>
        <w:t>)</w:t>
      </w:r>
      <w:r w:rsidRPr="00246D27">
        <w:rPr>
          <w:rFonts w:ascii="Calibri" w:hAnsi="Calibri" w:cs="Calibri"/>
          <w:sz w:val="22"/>
          <w:szCs w:val="22"/>
        </w:rPr>
        <w:t>.</w:t>
      </w:r>
    </w:p>
    <w:p w14:paraId="796D91A2" w14:textId="53E774B5" w:rsidR="00A1256E" w:rsidRPr="00246D27" w:rsidRDefault="00DA0C1E" w:rsidP="00A1256E">
      <w:pPr>
        <w:pStyle w:val="Textoembloco"/>
        <w:spacing w:after="120" w:line="240" w:lineRule="auto"/>
        <w:ind w:left="0" w:right="57"/>
        <w:rPr>
          <w:rFonts w:ascii="Calibri" w:hAnsi="Calibri" w:cs="Calibri"/>
          <w:sz w:val="22"/>
          <w:szCs w:val="22"/>
          <w:shd w:val="clear" w:color="auto" w:fill="FFFFFF"/>
        </w:rPr>
      </w:pPr>
      <w:r w:rsidRPr="00246D27">
        <w:rPr>
          <w:rFonts w:ascii="Calibri" w:hAnsi="Calibri" w:cs="Calibri"/>
          <w:sz w:val="22"/>
          <w:szCs w:val="22"/>
          <w:shd w:val="clear" w:color="auto" w:fill="FFFFFF"/>
        </w:rPr>
        <w:t>Em 08 de abril de 2021, ocorreu o Leilão para subconcessão do trecho ferroviário entre os municípios de Ilhéus/BA a Caetité/BA</w:t>
      </w:r>
      <w:r w:rsidR="00F8127A" w:rsidRPr="00246D27">
        <w:rPr>
          <w:rFonts w:ascii="Calibri" w:hAnsi="Calibri" w:cs="Calibri"/>
          <w:sz w:val="22"/>
          <w:szCs w:val="22"/>
          <w:shd w:val="clear" w:color="auto" w:fill="FFFFFF"/>
        </w:rPr>
        <w:t xml:space="preserve"> (FIOL I)</w:t>
      </w:r>
      <w:r w:rsidRPr="00246D27">
        <w:rPr>
          <w:rFonts w:ascii="Calibri" w:hAnsi="Calibri" w:cs="Calibri"/>
          <w:sz w:val="22"/>
          <w:szCs w:val="22"/>
          <w:shd w:val="clear" w:color="auto" w:fill="FFFFFF"/>
        </w:rPr>
        <w:t xml:space="preserve">, com 537 km de extensão. A subconcessão terá duração de 35 anos, conforme o Edital de Concorrência Internacional nº 01/2020. </w:t>
      </w:r>
      <w:r w:rsidR="00A1256E" w:rsidRPr="00246D27">
        <w:rPr>
          <w:rFonts w:ascii="Calibri" w:hAnsi="Calibri" w:cs="Calibri"/>
          <w:sz w:val="22"/>
          <w:szCs w:val="22"/>
          <w:shd w:val="clear" w:color="auto" w:fill="FFFFFF"/>
        </w:rPr>
        <w:t xml:space="preserve">O objeto da contratação é a Subconcessão da construção e da prestação de serviço público de transporte ferroviário de cargas associado à exploração da </w:t>
      </w:r>
      <w:r w:rsidR="00E11BEF" w:rsidRPr="00246D27">
        <w:rPr>
          <w:rFonts w:ascii="Calibri" w:hAnsi="Calibri" w:cs="Calibri"/>
          <w:sz w:val="22"/>
          <w:szCs w:val="22"/>
          <w:shd w:val="clear" w:color="auto" w:fill="FFFFFF"/>
        </w:rPr>
        <w:t>Infra</w:t>
      </w:r>
      <w:r w:rsidR="00A1256E" w:rsidRPr="00246D27">
        <w:rPr>
          <w:rFonts w:ascii="Calibri" w:hAnsi="Calibri" w:cs="Calibri"/>
          <w:sz w:val="22"/>
          <w:szCs w:val="22"/>
          <w:shd w:val="clear" w:color="auto" w:fill="FFFFFF"/>
        </w:rPr>
        <w:t>estrutura da malha ferroviária da EF-334, no trecho compreendido entre Ilhéus/BA e Caetité/BA.</w:t>
      </w:r>
    </w:p>
    <w:p w14:paraId="62309C7C" w14:textId="61F7C5D6" w:rsidR="003057AB" w:rsidRPr="00246D27" w:rsidRDefault="00F658CA" w:rsidP="00937ED9">
      <w:pPr>
        <w:autoSpaceDE w:val="0"/>
        <w:autoSpaceDN w:val="0"/>
        <w:adjustRightInd w:val="0"/>
        <w:spacing w:after="120"/>
        <w:jc w:val="both"/>
        <w:rPr>
          <w:rFonts w:ascii="Calibri" w:hAnsi="Calibri" w:cs="Calibri"/>
          <w:b/>
          <w:sz w:val="22"/>
          <w:szCs w:val="22"/>
          <w:shd w:val="clear" w:color="auto" w:fill="FFFFFF"/>
        </w:rPr>
      </w:pPr>
      <w:r w:rsidRPr="00246D27">
        <w:rPr>
          <w:rFonts w:ascii="Calibri" w:hAnsi="Calibri" w:cs="Calibri"/>
          <w:b/>
          <w:sz w:val="22"/>
          <w:szCs w:val="22"/>
          <w:shd w:val="clear" w:color="auto" w:fill="FFFFFF"/>
        </w:rPr>
        <w:t>III - ESTUDOS E PROJETOS  </w:t>
      </w:r>
    </w:p>
    <w:p w14:paraId="7DF0340F" w14:textId="5B7B3449" w:rsidR="00F658CA" w:rsidRPr="00246D27" w:rsidRDefault="00F658CA"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Conforme inciso III do art. 9º da Lei nº 11.772, de 17 de setembro de 2008, compete à empresa, em conformidade com as diretrizes do Ministério da </w:t>
      </w:r>
      <w:r w:rsidR="00E11BEF" w:rsidRPr="00246D27">
        <w:rPr>
          <w:rFonts w:ascii="Calibri" w:hAnsi="Calibri" w:cs="Calibri"/>
          <w:sz w:val="22"/>
          <w:szCs w:val="22"/>
          <w:shd w:val="clear" w:color="auto" w:fill="FFFFFF"/>
        </w:rPr>
        <w:t>Infra</w:t>
      </w:r>
      <w:r w:rsidRPr="00246D27">
        <w:rPr>
          <w:rFonts w:ascii="Calibri" w:hAnsi="Calibri" w:cs="Calibri"/>
          <w:sz w:val="22"/>
          <w:szCs w:val="22"/>
          <w:shd w:val="clear" w:color="auto" w:fill="FFFFFF"/>
        </w:rPr>
        <w:t xml:space="preserve">estrutura, desenvolver estudos e projetos de obras de </w:t>
      </w:r>
      <w:r w:rsidR="00E11BEF" w:rsidRPr="00246D27">
        <w:rPr>
          <w:rFonts w:ascii="Calibri" w:hAnsi="Calibri" w:cs="Calibri"/>
          <w:sz w:val="22"/>
          <w:szCs w:val="22"/>
          <w:shd w:val="clear" w:color="auto" w:fill="FFFFFF"/>
        </w:rPr>
        <w:t>Infra</w:t>
      </w:r>
      <w:r w:rsidRPr="00246D27">
        <w:rPr>
          <w:rFonts w:ascii="Calibri" w:hAnsi="Calibri" w:cs="Calibri"/>
          <w:sz w:val="22"/>
          <w:szCs w:val="22"/>
          <w:shd w:val="clear" w:color="auto" w:fill="FFFFFF"/>
        </w:rPr>
        <w:t>estrutura ferroviária. Os Estudos e Projetos compreendem os Estudos de Viabilidade Técnica, Econômica e Ambiental – EVTEA, o Projeto Básico – PB e o Projeto Executivo - PE.</w:t>
      </w:r>
    </w:p>
    <w:p w14:paraId="030A1CB0" w14:textId="77777777" w:rsidR="00F658CA" w:rsidRPr="00246D27" w:rsidRDefault="00F658CA" w:rsidP="00937ED9">
      <w:pPr>
        <w:pStyle w:val="PargrafodaLista"/>
        <w:numPr>
          <w:ilvl w:val="0"/>
          <w:numId w:val="17"/>
        </w:numPr>
        <w:autoSpaceDE w:val="0"/>
        <w:autoSpaceDN w:val="0"/>
        <w:adjustRightInd w:val="0"/>
        <w:spacing w:after="120" w:line="259" w:lineRule="auto"/>
        <w:ind w:left="284"/>
        <w:contextualSpacing/>
        <w:jc w:val="both"/>
        <w:rPr>
          <w:rFonts w:ascii="Calibri" w:hAnsi="Calibri" w:cs="Calibri"/>
          <w:b/>
          <w:sz w:val="22"/>
        </w:rPr>
      </w:pPr>
      <w:r w:rsidRPr="00246D27">
        <w:rPr>
          <w:rFonts w:ascii="Calibri" w:hAnsi="Calibri" w:cs="Calibri"/>
          <w:b/>
          <w:sz w:val="22"/>
        </w:rPr>
        <w:t xml:space="preserve">Ferrovia de Integração Oeste Leste – FIOL - EF-334 </w:t>
      </w:r>
    </w:p>
    <w:p w14:paraId="35FB3B85" w14:textId="77777777" w:rsidR="000B1DB5" w:rsidRPr="00246D27" w:rsidRDefault="000B1DB5"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Os estudos de Viabilidade foram concluídos em 2008, Projeto Básico em 2011 e o Executivo em 2013, do trecho que compreende Ilhéus/BA a Figueirópolis/TO, subdivididos em trecho denominados FIOL I, II e III. O planejamento dessa </w:t>
      </w:r>
      <w:r w:rsidRPr="00246D27">
        <w:rPr>
          <w:rFonts w:ascii="Calibri" w:hAnsi="Calibri" w:cs="Calibri"/>
          <w:sz w:val="22"/>
          <w:szCs w:val="22"/>
          <w:shd w:val="clear" w:color="auto" w:fill="FFFFFF"/>
        </w:rPr>
        <w:lastRenderedPageBreak/>
        <w:t xml:space="preserve">ligação visa estabelecer uma alternativa mais econômica para os fluxos de cargas de longa distância potencialmente transportáveis pelo modal ferroviário, a exemplo das cargas de baixo valor agregado, como minérios e granéis sólidos produzidos ao longo da região de influência da ferrovia. Além de contribuir para indução do desenvolvimento regional, quando concluída, a FIOL propiciará melhor equilíbrio da matriz de transportes, reduzindo a dependência do modal rodoviário ao criar um corredor logístico mais competitivo.   </w:t>
      </w:r>
    </w:p>
    <w:p w14:paraId="2A97A8B7" w14:textId="5D40D153" w:rsidR="00D4582D" w:rsidRPr="00246D27" w:rsidRDefault="000B1DB5"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A FIOL está em construção </w:t>
      </w:r>
      <w:r w:rsidR="00181180" w:rsidRPr="00246D27">
        <w:rPr>
          <w:rFonts w:ascii="Calibri" w:hAnsi="Calibri" w:cs="Calibri"/>
          <w:sz w:val="22"/>
          <w:szCs w:val="22"/>
          <w:shd w:val="clear" w:color="auto" w:fill="FFFFFF"/>
        </w:rPr>
        <w:t>no trecho denominado</w:t>
      </w:r>
      <w:r w:rsidRPr="00246D27">
        <w:rPr>
          <w:rFonts w:ascii="Calibri" w:hAnsi="Calibri" w:cs="Calibri"/>
          <w:sz w:val="22"/>
          <w:szCs w:val="22"/>
          <w:shd w:val="clear" w:color="auto" w:fill="FFFFFF"/>
        </w:rPr>
        <w:t xml:space="preserve"> FIOL II, com 485km, totalizando 1.022km de extensão. Os projetos executivos desse trecho são acompanhados e revisados </w:t>
      </w:r>
      <w:r w:rsidRPr="00246D27">
        <w:rPr>
          <w:rFonts w:ascii="Calibri" w:hAnsi="Calibri" w:cs="Calibri"/>
          <w:i/>
          <w:iCs/>
          <w:sz w:val="22"/>
          <w:szCs w:val="22"/>
          <w:shd w:val="clear" w:color="auto" w:fill="FFFFFF"/>
        </w:rPr>
        <w:t>pari passu</w:t>
      </w:r>
      <w:r w:rsidRPr="00246D27">
        <w:rPr>
          <w:rFonts w:ascii="Calibri" w:hAnsi="Calibri" w:cs="Calibri"/>
          <w:sz w:val="22"/>
          <w:szCs w:val="22"/>
          <w:shd w:val="clear" w:color="auto" w:fill="FFFFFF"/>
        </w:rPr>
        <w:t xml:space="preserve"> pelas equipes e responsáveis do projeto e orçamento da empresa.</w:t>
      </w:r>
    </w:p>
    <w:p w14:paraId="5803FDDE" w14:textId="7A0DA8D0" w:rsidR="009165D8" w:rsidRDefault="000B1DB5"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Com 531 km de extensão, o trecho denominado de FIOL III, encontra-se com o EVTEA, Projeto Básico e Projeto Executivo concluídos</w:t>
      </w:r>
      <w:r w:rsidR="00D4582D" w:rsidRPr="00246D27">
        <w:rPr>
          <w:rFonts w:ascii="Calibri" w:hAnsi="Calibri" w:cs="Calibri"/>
          <w:sz w:val="22"/>
          <w:szCs w:val="22"/>
          <w:shd w:val="clear" w:color="auto" w:fill="FFFFFF"/>
        </w:rPr>
        <w:t>, passíveis de revisões</w:t>
      </w:r>
      <w:r w:rsidRPr="00246D27">
        <w:rPr>
          <w:rFonts w:ascii="Calibri" w:hAnsi="Calibri" w:cs="Calibri"/>
          <w:sz w:val="22"/>
          <w:szCs w:val="22"/>
          <w:shd w:val="clear" w:color="auto" w:fill="FFFFFF"/>
        </w:rPr>
        <w:t>. Ao conectar-se com a FNS em Figueirópolis/TO, a FIOL formará importante corredor logístico de transporte, ampliando as possibilidades de escoamento da produção econômica do país.</w:t>
      </w:r>
    </w:p>
    <w:p w14:paraId="40FC0E7C" w14:textId="77777777" w:rsidR="00F658CA" w:rsidRPr="00246D27" w:rsidRDefault="00F658CA" w:rsidP="00937ED9">
      <w:pPr>
        <w:pStyle w:val="PargrafodaLista"/>
        <w:numPr>
          <w:ilvl w:val="0"/>
          <w:numId w:val="17"/>
        </w:numPr>
        <w:autoSpaceDE w:val="0"/>
        <w:autoSpaceDN w:val="0"/>
        <w:adjustRightInd w:val="0"/>
        <w:spacing w:after="120" w:line="259" w:lineRule="auto"/>
        <w:ind w:left="284"/>
        <w:contextualSpacing/>
        <w:jc w:val="both"/>
        <w:rPr>
          <w:rFonts w:ascii="Calibri" w:hAnsi="Calibri" w:cs="Calibri"/>
          <w:b/>
          <w:sz w:val="22"/>
        </w:rPr>
      </w:pPr>
      <w:r w:rsidRPr="00246D27">
        <w:rPr>
          <w:rFonts w:ascii="Calibri" w:hAnsi="Calibri" w:cs="Calibri"/>
          <w:b/>
          <w:sz w:val="22"/>
        </w:rPr>
        <w:t>Ferrovia Transcontinental e Ferrovia de Integração Centro-Oeste (FICO) – EF 354</w:t>
      </w:r>
    </w:p>
    <w:p w14:paraId="4A4F4896" w14:textId="1ED16078" w:rsidR="009165D8" w:rsidRPr="00246D27" w:rsidRDefault="000B1DB5"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A outorga à</w:t>
      </w:r>
      <w:r w:rsidR="00036923" w:rsidRPr="00246D27">
        <w:t xml:space="preserve"> </w:t>
      </w:r>
      <w:r w:rsidR="00E11BEF" w:rsidRPr="00246D27">
        <w:rPr>
          <w:rFonts w:ascii="Calibri" w:hAnsi="Calibri" w:cs="Calibri"/>
          <w:sz w:val="22"/>
          <w:szCs w:val="22"/>
          <w:shd w:val="clear" w:color="auto" w:fill="FFFFFF"/>
        </w:rPr>
        <w:t>Infra</w:t>
      </w:r>
      <w:r w:rsidR="00036923" w:rsidRPr="00246D27">
        <w:rPr>
          <w:rFonts w:ascii="Calibri" w:hAnsi="Calibri" w:cs="Calibri"/>
          <w:sz w:val="22"/>
          <w:szCs w:val="22"/>
          <w:shd w:val="clear" w:color="auto" w:fill="FFFFFF"/>
        </w:rPr>
        <w:t xml:space="preserve"> S.A</w:t>
      </w:r>
      <w:r w:rsidRPr="00246D27">
        <w:rPr>
          <w:rFonts w:ascii="Calibri" w:hAnsi="Calibri" w:cs="Calibri"/>
          <w:sz w:val="22"/>
          <w:szCs w:val="22"/>
          <w:shd w:val="clear" w:color="auto" w:fill="FFFFFF"/>
        </w:rPr>
        <w:t>, estabelecendo o direito de construção, uso e gozo da EF – 354, se deu por meio da Lei nº 11.772, de 17 de setembro de 2008, sendo incluída no Plano Nacional de Viação com 4.800 km de extensão em solo brasileiro, entre o Porto do Açu, no litoral do estado do Rio de Janeiro e a localidade de Boqueirão da Esperança/AC, na fronteira Brasil-Peru, como parte da ligação entre os oceanos Atlântico, no Brasil, e Pacífico, no Peru, o qual é denominado Ferrovia Transcontinental.</w:t>
      </w:r>
    </w:p>
    <w:p w14:paraId="4DDA1A08" w14:textId="6772EB8A" w:rsidR="009165D8" w:rsidRPr="00246D27" w:rsidRDefault="000B1DB5"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O trecho da Ferrovia Transcontinental compreendido entre Mara Rosa/GO e Vilhena/RO, com extensão aproximada de 1.720 km, é denominada Ferrovia de Integração do Centro-Oeste (FICO), objeto de estudo nos últimos anos por esta companhia e com recursos oriundos do Programa de Aceleração do Crescimento – PAC, da ordem de R$ 130 milhões.</w:t>
      </w:r>
    </w:p>
    <w:p w14:paraId="2EF940B6" w14:textId="2F91CD53" w:rsidR="00D4582D" w:rsidRPr="00246D27" w:rsidRDefault="000B1DB5"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Dentre as principais funções da FICO, está a de estabelecer alternativas mais econômicas para os fluxos de cargas de longa distância potencialmente transportáveis pelo modal ferroviário, a exemplo das cargas de baixo valor agregado como minérios e granéis sólidos produzidos ao longo da região de influência da ferrovia. Visa ainda reduzir a dependência do modal rodoviário, incentivando a multimodalidade e melhorando a logística de transporte, tanto para o escoamento da produção ao mercado consumidor quanto para importação de insumos, interligando a malha ferroviária brasileira aos principais portos de grande capacidade.</w:t>
      </w:r>
    </w:p>
    <w:p w14:paraId="13213C43" w14:textId="077EBA01" w:rsidR="00D4582D" w:rsidRPr="00246D27" w:rsidRDefault="000B1DB5"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Isso proporcionará a redução dos valores de frete e, consequentemente, a dos custos de comercialização no mercado interno, com acentuado reflexo também na exportação, aumentando a competitividade dos produtos brasileiros, gerando melhoria no desempenho econômico de toda a malha ferroviária. </w:t>
      </w:r>
    </w:p>
    <w:p w14:paraId="423CB3DB" w14:textId="18BB4232" w:rsidR="009165D8" w:rsidRPr="00246D27" w:rsidRDefault="000B1DB5"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A FICO foi subdividida nos seguintes trechos: Mara Rosa/GO – Água Boa/MT; Água Boa/MT – Lucas do Rio Verde/MT; Lucas do Rio Verde/MT – Vilhena/RO; Vilhena/RO – Porto Velho/RO e Porto Velho/RO – Boqueirão/AC.</w:t>
      </w:r>
    </w:p>
    <w:p w14:paraId="45ADDA58" w14:textId="77777777" w:rsidR="004028E9" w:rsidRPr="00246D27"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46D27">
        <w:rPr>
          <w:rFonts w:ascii="Calibri" w:hAnsi="Calibri" w:cs="Calibri"/>
          <w:b/>
          <w:bCs/>
          <w:sz w:val="22"/>
          <w:szCs w:val="22"/>
          <w:shd w:val="clear" w:color="auto" w:fill="FFFFFF"/>
        </w:rPr>
        <w:t>b.1)</w:t>
      </w:r>
      <w:r w:rsidRPr="00246D27">
        <w:rPr>
          <w:rFonts w:ascii="Calibri" w:hAnsi="Calibri" w:cs="Calibri"/>
          <w:sz w:val="22"/>
          <w:szCs w:val="22"/>
          <w:shd w:val="clear" w:color="auto" w:fill="FFFFFF"/>
        </w:rPr>
        <w:t xml:space="preserve"> </w:t>
      </w:r>
      <w:r w:rsidRPr="00246D27">
        <w:rPr>
          <w:rFonts w:ascii="Calibri" w:hAnsi="Calibri" w:cs="Calibri"/>
          <w:b/>
          <w:bCs/>
          <w:sz w:val="22"/>
          <w:szCs w:val="22"/>
          <w:shd w:val="clear" w:color="auto" w:fill="FFFFFF"/>
        </w:rPr>
        <w:t>Mara Rosa/GO - Água Boa/MT - Lucas do Rio Verde/MT</w:t>
      </w:r>
    </w:p>
    <w:p w14:paraId="399E4C84" w14:textId="2DCCBACB" w:rsidR="004028E9" w:rsidRPr="00246D27" w:rsidRDefault="004028E9"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Com 888km de extensão, sendo o primeiro trecho de 383km entre Mara Rosa/GO a Água Boa/MT e o segundo trecho, de 507 km, de Água Boa/MT a Lucas do Rio Verde/MT. Esse trecho possui EVTEA e Projeto Básico concluídos.</w:t>
      </w:r>
    </w:p>
    <w:p w14:paraId="08EA4909" w14:textId="77777777" w:rsidR="004028E9" w:rsidRPr="00246D27"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46D27">
        <w:rPr>
          <w:rFonts w:ascii="Calibri" w:hAnsi="Calibri" w:cs="Calibri"/>
          <w:b/>
          <w:bCs/>
          <w:sz w:val="22"/>
          <w:szCs w:val="22"/>
          <w:shd w:val="clear" w:color="auto" w:fill="FFFFFF"/>
        </w:rPr>
        <w:t xml:space="preserve">b.2) Lucas do Rio Verde/MT – Vilhena/RO </w:t>
      </w:r>
    </w:p>
    <w:p w14:paraId="1F009305" w14:textId="422A40B7" w:rsidR="004028E9" w:rsidRPr="00246D27" w:rsidRDefault="004028E9"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Com 646 km de extensão, o empreendimento encontra-se com EVTEA concluído desde 2014 e com anteprojeto em andamento.</w:t>
      </w:r>
    </w:p>
    <w:p w14:paraId="7414FBDB" w14:textId="77777777" w:rsidR="004028E9" w:rsidRPr="00246D27"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46D27">
        <w:rPr>
          <w:rFonts w:ascii="Calibri" w:hAnsi="Calibri" w:cs="Calibri"/>
          <w:b/>
          <w:bCs/>
          <w:sz w:val="22"/>
          <w:szCs w:val="22"/>
          <w:shd w:val="clear" w:color="auto" w:fill="FFFFFF"/>
        </w:rPr>
        <w:t xml:space="preserve">b.3) Vilhena/RO a Porto Velho/RO </w:t>
      </w:r>
    </w:p>
    <w:p w14:paraId="640F06FA" w14:textId="34AE1E26" w:rsidR="004028E9" w:rsidRDefault="004028E9"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Com 770 km de extensão, o empreendimento ligará a ferrovia a partir da cidade Vilhena/RO até a Hidrovia do Rio Madeira, em Porto Velho/RO, além de estabelecer um importante corredor logístico intermodal aos portos de Itacoatiara/AM e Santarém/PA. Atualmente o trecho encontra-se na elaboração do EVTEA.</w:t>
      </w:r>
    </w:p>
    <w:p w14:paraId="16C7571F" w14:textId="77777777" w:rsidR="00683B08" w:rsidRPr="00246D27" w:rsidRDefault="00683B08" w:rsidP="00937ED9">
      <w:pPr>
        <w:autoSpaceDE w:val="0"/>
        <w:autoSpaceDN w:val="0"/>
        <w:adjustRightInd w:val="0"/>
        <w:spacing w:after="120"/>
        <w:jc w:val="both"/>
        <w:rPr>
          <w:rFonts w:ascii="Calibri" w:hAnsi="Calibri" w:cs="Calibri"/>
          <w:sz w:val="22"/>
          <w:szCs w:val="22"/>
          <w:shd w:val="clear" w:color="auto" w:fill="FFFFFF"/>
        </w:rPr>
      </w:pPr>
    </w:p>
    <w:p w14:paraId="2F8B9FEE" w14:textId="77777777" w:rsidR="004028E9" w:rsidRPr="00246D27" w:rsidRDefault="004028E9" w:rsidP="00937ED9">
      <w:pPr>
        <w:autoSpaceDE w:val="0"/>
        <w:autoSpaceDN w:val="0"/>
        <w:adjustRightInd w:val="0"/>
        <w:spacing w:after="120"/>
        <w:jc w:val="both"/>
        <w:rPr>
          <w:rFonts w:ascii="Calibri" w:hAnsi="Calibri" w:cs="Calibri"/>
          <w:b/>
          <w:bCs/>
          <w:sz w:val="22"/>
          <w:szCs w:val="22"/>
          <w:shd w:val="clear" w:color="auto" w:fill="FFFFFF"/>
        </w:rPr>
      </w:pPr>
      <w:r w:rsidRPr="00246D27">
        <w:rPr>
          <w:rFonts w:ascii="Calibri" w:hAnsi="Calibri" w:cs="Calibri"/>
          <w:b/>
          <w:bCs/>
          <w:sz w:val="22"/>
          <w:szCs w:val="22"/>
          <w:shd w:val="clear" w:color="auto" w:fill="FFFFFF"/>
        </w:rPr>
        <w:lastRenderedPageBreak/>
        <w:t>b.4) Porto Velho/RO a Boqueirão/AC</w:t>
      </w:r>
    </w:p>
    <w:p w14:paraId="1A8331A6" w14:textId="45D56581" w:rsidR="004028E9" w:rsidRPr="00246D27" w:rsidRDefault="004028E9"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O Trecho da FICO entre Porto Velho/RO e Boqueirão/AC ainda não possui estudos de viabilidade em desenvolvimento.</w:t>
      </w:r>
    </w:p>
    <w:p w14:paraId="36146C05" w14:textId="77777777" w:rsidR="00F658CA" w:rsidRPr="00246D27" w:rsidRDefault="00F658CA" w:rsidP="00937ED9">
      <w:pPr>
        <w:numPr>
          <w:ilvl w:val="0"/>
          <w:numId w:val="17"/>
        </w:numPr>
        <w:autoSpaceDE w:val="0"/>
        <w:autoSpaceDN w:val="0"/>
        <w:adjustRightInd w:val="0"/>
        <w:spacing w:after="120"/>
        <w:ind w:left="284" w:hanging="284"/>
        <w:jc w:val="both"/>
        <w:rPr>
          <w:rFonts w:ascii="Calibri" w:hAnsi="Calibri" w:cs="Calibri"/>
          <w:b/>
          <w:sz w:val="22"/>
        </w:rPr>
      </w:pPr>
      <w:r w:rsidRPr="00246D27">
        <w:rPr>
          <w:rFonts w:ascii="Calibri" w:hAnsi="Calibri" w:cs="Calibri"/>
          <w:b/>
          <w:sz w:val="22"/>
        </w:rPr>
        <w:t>Corredor Ferroviário de Santa Catarina – EF 280</w:t>
      </w:r>
    </w:p>
    <w:p w14:paraId="1D30596A" w14:textId="3EC2F67B" w:rsidR="00D4582D" w:rsidRPr="00246D27" w:rsidRDefault="00E5187C"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Contratado em 2014, a elaboração do EVTEA e do Projeto Básico da EF -280 está em curso e visa ligar a EF-451 - Ferrovia Litorânea, no município de Itajaí/SC, ao extremo oeste do estado, no município de Dionísio Cerqueira/SC. A ligação ferroviária insere-se no contexto do planejamento logístico do estado de Santa Catarina, com relevância também para distribuição de cargas a nível nacional ao integrar a malha ferroviária do país. </w:t>
      </w:r>
    </w:p>
    <w:p w14:paraId="37044FB8" w14:textId="5876B55B" w:rsidR="00D4582D" w:rsidRPr="00246D27" w:rsidRDefault="00E5187C"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Por interconectar-se com projetos previstos, como a Ferrovia Litorânea e a extensão prevista da Ferrovia Norte-Sul - FNS em direção ao sul do país, o Corredor Ferroviário favorece o fluxo de cargas de oeste a leste no estado de Santa Catarina, com possibilidade de remeter ou buscar cargas ao norte ou ao sul do Brasil, através do compartilhamento de malhas com a FNS e a interconexão com a Ferrovia Tronco Principal Sul (EF-116). O projeto, ainda, interliga-se logisticamente aos cincos portos existentes em Santa Catarina, através da conexão prevista com a Ferrovia Litorânea.</w:t>
      </w:r>
    </w:p>
    <w:p w14:paraId="63BE5DEB" w14:textId="32408D69" w:rsidR="00E5187C" w:rsidRPr="00246D27" w:rsidRDefault="00E5187C"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O início deste estudo teve embasamento no Ofício n° 621/2012/SE/MT de 29 de outubro de 2012, o qual define que o EVTEA seria realizado pela </w:t>
      </w:r>
      <w:r w:rsidR="00B406C5" w:rsidRPr="008B1B72">
        <w:rPr>
          <w:rFonts w:ascii="Calibri" w:hAnsi="Calibri" w:cs="Calibri"/>
          <w:sz w:val="22"/>
          <w:szCs w:val="22"/>
          <w:shd w:val="clear" w:color="auto" w:fill="FFFFFF"/>
        </w:rPr>
        <w:t>Infra S.A.</w:t>
      </w:r>
      <w:r w:rsidRPr="00246D27">
        <w:rPr>
          <w:rFonts w:ascii="Calibri" w:hAnsi="Calibri" w:cs="Calibri"/>
          <w:sz w:val="22"/>
          <w:szCs w:val="22"/>
          <w:shd w:val="clear" w:color="auto" w:fill="FFFFFF"/>
        </w:rPr>
        <w:t xml:space="preserve"> Ressalta-se que esse estudo foi finalizado em 2020.</w:t>
      </w:r>
    </w:p>
    <w:p w14:paraId="1925FB55" w14:textId="77777777" w:rsidR="00F658CA" w:rsidRPr="00246D27" w:rsidRDefault="00F658CA" w:rsidP="00937ED9">
      <w:pPr>
        <w:numPr>
          <w:ilvl w:val="0"/>
          <w:numId w:val="17"/>
        </w:numPr>
        <w:autoSpaceDE w:val="0"/>
        <w:autoSpaceDN w:val="0"/>
        <w:adjustRightInd w:val="0"/>
        <w:spacing w:after="120"/>
        <w:ind w:left="284" w:hanging="284"/>
        <w:jc w:val="both"/>
        <w:rPr>
          <w:rFonts w:ascii="Calibri" w:hAnsi="Calibri" w:cs="Calibri"/>
          <w:b/>
          <w:bCs/>
          <w:sz w:val="22"/>
          <w:szCs w:val="22"/>
          <w:shd w:val="clear" w:color="auto" w:fill="FFFFFF"/>
        </w:rPr>
      </w:pPr>
      <w:r w:rsidRPr="00246D27">
        <w:rPr>
          <w:rFonts w:ascii="Calibri" w:hAnsi="Calibri" w:cs="Calibri"/>
          <w:b/>
          <w:bCs/>
          <w:sz w:val="22"/>
          <w:szCs w:val="22"/>
          <w:shd w:val="clear" w:color="auto" w:fill="FFFFFF"/>
        </w:rPr>
        <w:t>Ferrovia do Pantanal – EF 267</w:t>
      </w:r>
    </w:p>
    <w:p w14:paraId="6127A220" w14:textId="60F216F3" w:rsidR="009203C8" w:rsidRPr="00246D27" w:rsidRDefault="00F658CA"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Com aproximadamente 734km, a EF- 267 foi outorgada à </w:t>
      </w:r>
      <w:r w:rsidR="00E11BEF" w:rsidRPr="00246D27">
        <w:rPr>
          <w:rFonts w:ascii="Calibri" w:hAnsi="Calibri" w:cs="Calibri"/>
          <w:sz w:val="22"/>
          <w:szCs w:val="22"/>
          <w:shd w:val="clear" w:color="auto" w:fill="FFFFFF"/>
        </w:rPr>
        <w:t>Infra</w:t>
      </w:r>
      <w:r w:rsidR="00036923" w:rsidRPr="00246D27">
        <w:rPr>
          <w:rFonts w:ascii="Calibri" w:hAnsi="Calibri" w:cs="Calibri"/>
          <w:sz w:val="22"/>
          <w:szCs w:val="22"/>
          <w:shd w:val="clear" w:color="auto" w:fill="FFFFFF"/>
        </w:rPr>
        <w:t xml:space="preserve"> S.A</w:t>
      </w:r>
      <w:r w:rsidRPr="00246D27">
        <w:rPr>
          <w:rFonts w:ascii="Calibri" w:hAnsi="Calibri" w:cs="Calibri"/>
          <w:sz w:val="22"/>
          <w:szCs w:val="22"/>
          <w:shd w:val="clear" w:color="auto" w:fill="FFFFFF"/>
        </w:rPr>
        <w:t xml:space="preserve"> estabelecendo o direito de construção, uso e gozo por meio da Lei nº 11.772, de 17 de setembro de 2008. Esta ferrovia fará a conexão da FNS no município de Panorama/SP até Porto Murtinho/MS às margens do Rio Paraguai, no sul do Pantanal mato-grossense, atendendo uma área de alta densidade de produção agrícola e possibilitando o acesso logístico a vários portos do país ao se conectar com malha paulista e com a Ferrovia Norte e Sul. Dentre as demandas para essa ferrovia destacam-se também as cargas no sentido importação (mar – continente), como fertilizantes e cargas gerais, além das cargas para consumo interno. O EVTEA desse trecho, contratado pela </w:t>
      </w:r>
      <w:r w:rsidR="00E11BEF" w:rsidRPr="00246D27">
        <w:rPr>
          <w:rFonts w:ascii="Calibri" w:hAnsi="Calibri" w:cs="Calibri"/>
          <w:sz w:val="22"/>
          <w:szCs w:val="22"/>
          <w:shd w:val="clear" w:color="auto" w:fill="FFFFFF"/>
        </w:rPr>
        <w:t>Infra</w:t>
      </w:r>
      <w:r w:rsidR="00036923" w:rsidRPr="00246D27">
        <w:rPr>
          <w:rFonts w:ascii="Calibri" w:hAnsi="Calibri" w:cs="Calibri"/>
          <w:sz w:val="22"/>
          <w:szCs w:val="22"/>
          <w:shd w:val="clear" w:color="auto" w:fill="FFFFFF"/>
        </w:rPr>
        <w:t xml:space="preserve"> S.A</w:t>
      </w:r>
      <w:r w:rsidRPr="00246D27">
        <w:rPr>
          <w:rFonts w:ascii="Calibri" w:hAnsi="Calibri" w:cs="Calibri"/>
          <w:sz w:val="22"/>
          <w:szCs w:val="22"/>
          <w:shd w:val="clear" w:color="auto" w:fill="FFFFFF"/>
        </w:rPr>
        <w:t xml:space="preserve">, foi finalizado em maio 2012, consumindo recursos da ordem de R$ 5,5 milhões. </w:t>
      </w:r>
    </w:p>
    <w:p w14:paraId="488392F2" w14:textId="77777777" w:rsidR="00E5187C" w:rsidRPr="00246D27" w:rsidRDefault="00F658CA" w:rsidP="00937ED9">
      <w:pPr>
        <w:numPr>
          <w:ilvl w:val="0"/>
          <w:numId w:val="17"/>
        </w:numPr>
        <w:autoSpaceDE w:val="0"/>
        <w:autoSpaceDN w:val="0"/>
        <w:adjustRightInd w:val="0"/>
        <w:spacing w:after="120"/>
        <w:ind w:left="284" w:hanging="284"/>
        <w:jc w:val="both"/>
        <w:rPr>
          <w:rFonts w:ascii="Calibri" w:hAnsi="Calibri" w:cs="Calibri"/>
          <w:b/>
          <w:bCs/>
          <w:sz w:val="22"/>
          <w:szCs w:val="22"/>
          <w:shd w:val="clear" w:color="auto" w:fill="FFFFFF"/>
        </w:rPr>
      </w:pPr>
      <w:r w:rsidRPr="00246D27">
        <w:rPr>
          <w:rFonts w:ascii="Calibri" w:hAnsi="Calibri" w:cs="Calibri"/>
          <w:b/>
          <w:bCs/>
          <w:sz w:val="22"/>
          <w:szCs w:val="22"/>
          <w:shd w:val="clear" w:color="auto" w:fill="FFFFFF"/>
        </w:rPr>
        <w:t>Ramais da Ferrovia Norte Sul - FNS</w:t>
      </w:r>
    </w:p>
    <w:p w14:paraId="492EDE48" w14:textId="5D185ABE" w:rsidR="00D4582D" w:rsidRPr="00246D27" w:rsidRDefault="00F658CA"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Os ramais da Ferrovia Norte Sul compreendem: Açailândia/MA – Barcarena/PA; Porto Franco/MA-Balsas/MA; Goiânia/GO – Brasília/DF; Quirinópolis/GO – Itumbiara/GO; Estrela d’Oeste/SP – Panorama/SP; Panorama/SP – Chapecó/SC; Chapecó/SC - Rio Grande/RS.</w:t>
      </w:r>
    </w:p>
    <w:p w14:paraId="2873B8E0" w14:textId="0A5E2071" w:rsidR="00D4582D" w:rsidRPr="00246D27" w:rsidRDefault="00F658CA"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Em 2012 foram finalizados os EVTEA dos trechos de Açailândia/MA a Barcarena/PA (Termo de Referência 19/2010), com 477Km, de Goiânia/GO a Brasília/DF (Termo de Referência 017/2010), com 212km e de Quirinópolis/GO a Itumbiara/GO (Termo de referência 17/2010), com 203km.</w:t>
      </w:r>
    </w:p>
    <w:p w14:paraId="589E659E" w14:textId="09FCF085" w:rsidR="00D4582D" w:rsidRPr="00246D27" w:rsidRDefault="00F658CA"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Em 2014, para atender à crescente demanda por transporte de cargas, a </w:t>
      </w:r>
      <w:r w:rsidR="00B406C5" w:rsidRPr="008B1B72">
        <w:rPr>
          <w:rFonts w:ascii="Calibri" w:hAnsi="Calibri" w:cs="Calibri"/>
          <w:sz w:val="22"/>
          <w:szCs w:val="22"/>
          <w:shd w:val="clear" w:color="auto" w:fill="FFFFFF"/>
        </w:rPr>
        <w:t>Infra S.A.</w:t>
      </w:r>
      <w:r w:rsidR="00B406C5">
        <w:rPr>
          <w:rFonts w:ascii="Calibri" w:hAnsi="Calibri" w:cs="Calibri"/>
          <w:sz w:val="22"/>
          <w:szCs w:val="22"/>
          <w:shd w:val="clear" w:color="auto" w:fill="FFFFFF"/>
        </w:rPr>
        <w:t xml:space="preserve"> </w:t>
      </w:r>
      <w:r w:rsidRPr="00246D27">
        <w:rPr>
          <w:rFonts w:ascii="Calibri" w:hAnsi="Calibri" w:cs="Calibri"/>
          <w:sz w:val="22"/>
          <w:szCs w:val="22"/>
          <w:shd w:val="clear" w:color="auto" w:fill="FFFFFF"/>
        </w:rPr>
        <w:t>concluiu os EVTEA para mais três trechos da ferrovia: entre Estrela d’Oeste/SP a Panorama/SP (Termo de referência 18/2010), com 264km; entre Panorama/SP e Chapecó/SC (Termo de Referência 006/2011 e 003/2012), com 950km; e entre Chapecó/SC e Rio Grande/RS (Termo de Referência 006/2011), com 833km.</w:t>
      </w:r>
    </w:p>
    <w:p w14:paraId="4463D4E9" w14:textId="0C0E2F46" w:rsidR="009165D8" w:rsidRPr="00246D27" w:rsidRDefault="00F658CA"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Em 2019, foi concluído o Anteprojeto do Trecho Porto Franco/MA-Balsas/MA</w:t>
      </w:r>
      <w:r w:rsidR="005B2BAA" w:rsidRPr="00246D27">
        <w:rPr>
          <w:rFonts w:ascii="Calibri" w:hAnsi="Calibri" w:cs="Calibri"/>
          <w:sz w:val="22"/>
          <w:szCs w:val="22"/>
          <w:shd w:val="clear" w:color="auto" w:fill="FFFFFF"/>
        </w:rPr>
        <w:t>.</w:t>
      </w:r>
    </w:p>
    <w:p w14:paraId="60B8B7BC" w14:textId="77777777" w:rsidR="00232874" w:rsidRPr="00246D27" w:rsidRDefault="00232874" w:rsidP="00937ED9">
      <w:pPr>
        <w:autoSpaceDE w:val="0"/>
        <w:autoSpaceDN w:val="0"/>
        <w:adjustRightInd w:val="0"/>
        <w:spacing w:after="120"/>
        <w:jc w:val="both"/>
        <w:rPr>
          <w:rFonts w:ascii="Calibri" w:hAnsi="Calibri" w:cs="Calibri"/>
          <w:b/>
          <w:bCs/>
          <w:sz w:val="22"/>
          <w:szCs w:val="22"/>
          <w:shd w:val="clear" w:color="auto" w:fill="FFFFFF"/>
        </w:rPr>
      </w:pPr>
      <w:r w:rsidRPr="00246D27">
        <w:rPr>
          <w:rFonts w:ascii="Calibri" w:hAnsi="Calibri" w:cs="Calibri"/>
          <w:b/>
          <w:bCs/>
          <w:sz w:val="22"/>
          <w:szCs w:val="22"/>
          <w:shd w:val="clear" w:color="auto" w:fill="FFFFFF"/>
        </w:rPr>
        <w:t>IV – INVESTIMENTO CRUZADO</w:t>
      </w:r>
    </w:p>
    <w:p w14:paraId="72DD75D6" w14:textId="46939E09" w:rsidR="009165D8" w:rsidRPr="00246D27" w:rsidRDefault="00232874" w:rsidP="00937ED9">
      <w:pPr>
        <w:autoSpaceDE w:val="0"/>
        <w:autoSpaceDN w:val="0"/>
        <w:adjustRightInd w:val="0"/>
        <w:spacing w:after="120"/>
        <w:jc w:val="both"/>
        <w:rPr>
          <w:rFonts w:ascii="Calibri" w:hAnsi="Calibri" w:cs="Calibri"/>
          <w:sz w:val="22"/>
          <w:szCs w:val="22"/>
          <w:shd w:val="clear" w:color="auto" w:fill="FFFFFF"/>
        </w:rPr>
      </w:pPr>
      <w:bookmarkStart w:id="1" w:name="_Hlk97555121"/>
      <w:r w:rsidRPr="00246D27">
        <w:rPr>
          <w:rFonts w:ascii="Calibri" w:hAnsi="Calibri" w:cs="Calibri"/>
          <w:sz w:val="22"/>
          <w:szCs w:val="22"/>
          <w:shd w:val="clear" w:color="auto" w:fill="FFFFFF"/>
        </w:rPr>
        <w:t>A Lei nº 13.448</w:t>
      </w:r>
      <w:r w:rsidR="00750CA7" w:rsidRPr="00246D27">
        <w:rPr>
          <w:rFonts w:ascii="Calibri" w:hAnsi="Calibri" w:cs="Calibri"/>
          <w:sz w:val="22"/>
          <w:szCs w:val="22"/>
          <w:shd w:val="clear" w:color="auto" w:fill="FFFFFF"/>
        </w:rPr>
        <w:t>, de 05 de junho de 2017</w:t>
      </w:r>
      <w:r w:rsidRPr="00246D27">
        <w:rPr>
          <w:rFonts w:ascii="Calibri" w:hAnsi="Calibri" w:cs="Calibri"/>
          <w:sz w:val="22"/>
          <w:szCs w:val="22"/>
          <w:shd w:val="clear" w:color="auto" w:fill="FFFFFF"/>
        </w:rPr>
        <w:t xml:space="preserve"> trouxe, como inovação no ordenamento jurídico, a possibilidade de realização de investimentos em malhas ferroviárias distintas como contrapartida às prorrogações de contratos de concessão.</w:t>
      </w:r>
      <w:r w:rsidR="00B84648" w:rsidRPr="00246D27">
        <w:rPr>
          <w:rFonts w:ascii="Calibri" w:hAnsi="Calibri" w:cs="Calibri"/>
          <w:sz w:val="22"/>
          <w:szCs w:val="22"/>
          <w:shd w:val="clear" w:color="auto" w:fill="FFFFFF"/>
        </w:rPr>
        <w:t xml:space="preserve"> </w:t>
      </w:r>
      <w:r w:rsidRPr="00246D27">
        <w:rPr>
          <w:rFonts w:ascii="Calibri" w:hAnsi="Calibri" w:cs="Calibri"/>
          <w:sz w:val="22"/>
          <w:szCs w:val="22"/>
          <w:shd w:val="clear" w:color="auto" w:fill="FFFFFF"/>
        </w:rPr>
        <w:t>A lei estabelece que o órgão ou a entidade competente é autorizada a promover alterações nos contratos de parceria no setor ferroviário a fim de solucionar questões operacionais e logísticas, inclusive por meio de prorrogações ou relicitações da totalidade ou de parte dos empreendimentos contratados.</w:t>
      </w:r>
    </w:p>
    <w:p w14:paraId="255744A2" w14:textId="19AA468A" w:rsidR="009165D8" w:rsidRPr="00246D27" w:rsidRDefault="00232874"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Permite, ainda, ao órgão ou a entidade competente, de comum acordo com os contratados, buscar soluções para todo o sistema e adotar medidas diferenciadas por contrato ou por trecho ferroviário que considerem a reconfiguração de </w:t>
      </w:r>
      <w:r w:rsidRPr="00246D27">
        <w:rPr>
          <w:rFonts w:ascii="Calibri" w:hAnsi="Calibri" w:cs="Calibri"/>
          <w:sz w:val="22"/>
          <w:szCs w:val="22"/>
          <w:shd w:val="clear" w:color="auto" w:fill="FFFFFF"/>
        </w:rPr>
        <w:lastRenderedPageBreak/>
        <w:t>malhas, admitida a previsão de investimentos pelos contratados em malha própria ou naquelas de interesse da administração pública.</w:t>
      </w:r>
    </w:p>
    <w:p w14:paraId="3C68FC9B" w14:textId="77777777" w:rsidR="00232874" w:rsidRPr="00246D27" w:rsidRDefault="00232874"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Esse dispositivo passou a ser chamado de ‘</w:t>
      </w:r>
      <w:r w:rsidR="00B84648" w:rsidRPr="00246D27">
        <w:rPr>
          <w:rFonts w:ascii="Calibri" w:hAnsi="Calibri" w:cs="Calibri"/>
          <w:sz w:val="22"/>
          <w:szCs w:val="22"/>
          <w:shd w:val="clear" w:color="auto" w:fill="FFFFFF"/>
        </w:rPr>
        <w:t>I</w:t>
      </w:r>
      <w:r w:rsidRPr="00246D27">
        <w:rPr>
          <w:rFonts w:ascii="Calibri" w:hAnsi="Calibri" w:cs="Calibri"/>
          <w:sz w:val="22"/>
          <w:szCs w:val="22"/>
          <w:shd w:val="clear" w:color="auto" w:fill="FFFFFF"/>
        </w:rPr>
        <w:t xml:space="preserve">nvestimento </w:t>
      </w:r>
      <w:r w:rsidR="00B84648" w:rsidRPr="00246D27">
        <w:rPr>
          <w:rFonts w:ascii="Calibri" w:hAnsi="Calibri" w:cs="Calibri"/>
          <w:sz w:val="22"/>
          <w:szCs w:val="22"/>
          <w:shd w:val="clear" w:color="auto" w:fill="FFFFFF"/>
        </w:rPr>
        <w:t>C</w:t>
      </w:r>
      <w:r w:rsidRPr="00246D27">
        <w:rPr>
          <w:rFonts w:ascii="Calibri" w:hAnsi="Calibri" w:cs="Calibri"/>
          <w:sz w:val="22"/>
          <w:szCs w:val="22"/>
          <w:shd w:val="clear" w:color="auto" w:fill="FFFFFF"/>
        </w:rPr>
        <w:t>ruzado’, pelo qual é possibilitada a ampliação da malha e da capacidade do subsistema ferroviário, sem que haja uma obrigação direta da União em aportar recursos.</w:t>
      </w:r>
    </w:p>
    <w:p w14:paraId="03564658" w14:textId="1203A0AC" w:rsidR="00A309A1" w:rsidRPr="00246D27" w:rsidRDefault="00232874"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Fundamentado na Lei nº 13.448/2017, o Terceiro Termo Aditivo ao contrato de concessão da Estrada de Ferro Vitória a Minas, concedida à VALE S/A, prevê a renovação antecipada de outorga e descreve, no Anexo 9, termos que disciplinam as condições de realização das Obrigações de Investimento assumidas pela Concessionária em projetos de titularidade da </w:t>
      </w:r>
      <w:r w:rsidR="00E11BEF" w:rsidRPr="00246D27">
        <w:rPr>
          <w:rFonts w:ascii="Calibri" w:hAnsi="Calibri" w:cs="Calibri"/>
          <w:sz w:val="22"/>
          <w:szCs w:val="22"/>
          <w:shd w:val="clear" w:color="auto" w:fill="FFFFFF"/>
        </w:rPr>
        <w:t>Infra</w:t>
      </w:r>
      <w:r w:rsidR="00036923" w:rsidRPr="00246D27">
        <w:rPr>
          <w:rFonts w:ascii="Calibri" w:hAnsi="Calibri" w:cs="Calibri"/>
          <w:sz w:val="22"/>
          <w:szCs w:val="22"/>
          <w:shd w:val="clear" w:color="auto" w:fill="FFFFFF"/>
        </w:rPr>
        <w:t xml:space="preserve"> S.A</w:t>
      </w:r>
      <w:r w:rsidRPr="00246D27">
        <w:rPr>
          <w:rFonts w:ascii="Calibri" w:hAnsi="Calibri" w:cs="Calibri"/>
          <w:sz w:val="22"/>
          <w:szCs w:val="22"/>
          <w:shd w:val="clear" w:color="auto" w:fill="FFFFFF"/>
        </w:rPr>
        <w:t xml:space="preserve"> conforme a Lei nº 11.772/2008, envolvendo:</w:t>
      </w:r>
    </w:p>
    <w:p w14:paraId="476E9A2A" w14:textId="12F4712F" w:rsidR="00232874" w:rsidRPr="00246D27" w:rsidRDefault="00232874" w:rsidP="00937ED9">
      <w:pPr>
        <w:pStyle w:val="PargrafodaLista"/>
        <w:widowControl w:val="0"/>
        <w:numPr>
          <w:ilvl w:val="0"/>
          <w:numId w:val="34"/>
        </w:numPr>
        <w:spacing w:after="120"/>
        <w:ind w:hanging="578"/>
        <w:jc w:val="both"/>
        <w:rPr>
          <w:rFonts w:ascii="Calibri" w:hAnsi="Calibri" w:cs="Calibri"/>
          <w:sz w:val="22"/>
          <w:szCs w:val="22"/>
        </w:rPr>
      </w:pPr>
      <w:r w:rsidRPr="00246D27">
        <w:rPr>
          <w:rFonts w:ascii="Calibri" w:hAnsi="Calibri" w:cs="Calibri"/>
          <w:sz w:val="22"/>
          <w:szCs w:val="22"/>
        </w:rPr>
        <w:t xml:space="preserve">A implantação da </w:t>
      </w:r>
      <w:r w:rsidR="00E11BEF" w:rsidRPr="00246D27">
        <w:rPr>
          <w:rFonts w:ascii="Calibri" w:hAnsi="Calibri" w:cs="Calibri"/>
          <w:sz w:val="22"/>
          <w:szCs w:val="22"/>
        </w:rPr>
        <w:t>Infra</w:t>
      </w:r>
      <w:r w:rsidRPr="00246D27">
        <w:rPr>
          <w:rFonts w:ascii="Calibri" w:hAnsi="Calibri" w:cs="Calibri"/>
          <w:sz w:val="22"/>
          <w:szCs w:val="22"/>
        </w:rPr>
        <w:t xml:space="preserve">estrutura e superestrutura ferroviária de Trecho da Ferrovia de Integração Centro-Oeste (FICO), EF-354, compreendido entre os municípios de Água Boa/MT e Mara Rosa/GO; </w:t>
      </w:r>
    </w:p>
    <w:p w14:paraId="791D20D6" w14:textId="0A2057C6" w:rsidR="00232874" w:rsidRPr="00246D27" w:rsidRDefault="00232874" w:rsidP="00937ED9">
      <w:pPr>
        <w:pStyle w:val="PargrafodaLista"/>
        <w:widowControl w:val="0"/>
        <w:numPr>
          <w:ilvl w:val="0"/>
          <w:numId w:val="34"/>
        </w:numPr>
        <w:spacing w:after="120"/>
        <w:ind w:hanging="578"/>
        <w:jc w:val="both"/>
        <w:rPr>
          <w:rFonts w:ascii="Calibri" w:hAnsi="Calibri" w:cs="Calibri"/>
          <w:sz w:val="22"/>
          <w:szCs w:val="22"/>
        </w:rPr>
      </w:pPr>
      <w:r w:rsidRPr="00246D27">
        <w:rPr>
          <w:rFonts w:ascii="Calibri" w:hAnsi="Calibri" w:cs="Calibri"/>
          <w:sz w:val="22"/>
          <w:szCs w:val="22"/>
        </w:rPr>
        <w:t xml:space="preserve">A aquisição de Trilhos e Dormentes a serem incorporados no Projeto de </w:t>
      </w:r>
      <w:r w:rsidR="00E11BEF" w:rsidRPr="00246D27">
        <w:rPr>
          <w:rFonts w:ascii="Calibri" w:hAnsi="Calibri" w:cs="Calibri"/>
          <w:sz w:val="22"/>
          <w:szCs w:val="22"/>
        </w:rPr>
        <w:t>Infra</w:t>
      </w:r>
      <w:r w:rsidRPr="00246D27">
        <w:rPr>
          <w:rFonts w:ascii="Calibri" w:hAnsi="Calibri" w:cs="Calibri"/>
          <w:sz w:val="22"/>
          <w:szCs w:val="22"/>
        </w:rPr>
        <w:t>estrutura da Ferrovia Integração Oeste Leste (FIOL), EF – 334; e</w:t>
      </w:r>
    </w:p>
    <w:p w14:paraId="4416C50A" w14:textId="01E3A651" w:rsidR="00D4582D" w:rsidRPr="00246D27" w:rsidRDefault="00232874" w:rsidP="00937ED9">
      <w:pPr>
        <w:pStyle w:val="PargrafodaLista"/>
        <w:widowControl w:val="0"/>
        <w:numPr>
          <w:ilvl w:val="0"/>
          <w:numId w:val="34"/>
        </w:numPr>
        <w:spacing w:after="120"/>
        <w:ind w:hanging="578"/>
        <w:jc w:val="both"/>
        <w:rPr>
          <w:rFonts w:ascii="Calibri" w:hAnsi="Calibri" w:cs="Calibri"/>
          <w:sz w:val="22"/>
          <w:szCs w:val="22"/>
        </w:rPr>
      </w:pPr>
      <w:r w:rsidRPr="00246D27">
        <w:rPr>
          <w:rFonts w:ascii="Calibri" w:hAnsi="Calibri" w:cs="Calibri"/>
          <w:sz w:val="22"/>
          <w:szCs w:val="22"/>
        </w:rPr>
        <w:t xml:space="preserve">Enquadramento do projeto FICO e FIOL no Regime Especial de Incentivo para o Desenvolvimento da </w:t>
      </w:r>
      <w:r w:rsidR="00E11BEF" w:rsidRPr="00246D27">
        <w:rPr>
          <w:rFonts w:ascii="Calibri" w:hAnsi="Calibri" w:cs="Calibri"/>
          <w:sz w:val="22"/>
          <w:szCs w:val="22"/>
        </w:rPr>
        <w:t>Infra</w:t>
      </w:r>
      <w:r w:rsidRPr="00246D27">
        <w:rPr>
          <w:rFonts w:ascii="Calibri" w:hAnsi="Calibri" w:cs="Calibri"/>
          <w:sz w:val="22"/>
          <w:szCs w:val="22"/>
        </w:rPr>
        <w:t>estrutura (REIDI).</w:t>
      </w:r>
    </w:p>
    <w:p w14:paraId="7FABD814" w14:textId="612877E1" w:rsidR="00D4582D" w:rsidRPr="00246D27" w:rsidRDefault="00232874"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No âmbito do Anexo 9 do Terceiro Termo Aditivo, assinado em 18 de dezembro de 2020, a </w:t>
      </w:r>
      <w:r w:rsidR="00E11BEF" w:rsidRPr="00246D27">
        <w:rPr>
          <w:rFonts w:ascii="Calibri" w:hAnsi="Calibri" w:cs="Calibri"/>
          <w:sz w:val="22"/>
          <w:szCs w:val="22"/>
          <w:shd w:val="clear" w:color="auto" w:fill="FFFFFF"/>
        </w:rPr>
        <w:t>Infra</w:t>
      </w:r>
      <w:r w:rsidR="00036923" w:rsidRPr="00246D27">
        <w:rPr>
          <w:rFonts w:ascii="Calibri" w:hAnsi="Calibri" w:cs="Calibri"/>
          <w:sz w:val="22"/>
          <w:szCs w:val="22"/>
          <w:shd w:val="clear" w:color="auto" w:fill="FFFFFF"/>
        </w:rPr>
        <w:t xml:space="preserve"> S.A</w:t>
      </w:r>
      <w:r w:rsidR="00B84648" w:rsidRPr="00246D27">
        <w:rPr>
          <w:rFonts w:ascii="Calibri" w:hAnsi="Calibri" w:cs="Calibri"/>
          <w:sz w:val="22"/>
          <w:szCs w:val="22"/>
          <w:shd w:val="clear" w:color="auto" w:fill="FFFFFF"/>
        </w:rPr>
        <w:t>,</w:t>
      </w:r>
      <w:r w:rsidRPr="00246D27">
        <w:rPr>
          <w:rFonts w:ascii="Calibri" w:hAnsi="Calibri" w:cs="Calibri"/>
          <w:sz w:val="22"/>
          <w:szCs w:val="22"/>
          <w:shd w:val="clear" w:color="auto" w:fill="FFFFFF"/>
        </w:rPr>
        <w:t xml:space="preserve"> na figura de Interveniente Anuente e titular dos Projetos de </w:t>
      </w:r>
      <w:r w:rsidR="00E11BEF" w:rsidRPr="00246D27">
        <w:rPr>
          <w:rFonts w:ascii="Calibri" w:hAnsi="Calibri" w:cs="Calibri"/>
          <w:sz w:val="22"/>
          <w:szCs w:val="22"/>
          <w:shd w:val="clear" w:color="auto" w:fill="FFFFFF"/>
        </w:rPr>
        <w:t>Infra</w:t>
      </w:r>
      <w:r w:rsidRPr="00246D27">
        <w:rPr>
          <w:rFonts w:ascii="Calibri" w:hAnsi="Calibri" w:cs="Calibri"/>
          <w:sz w:val="22"/>
          <w:szCs w:val="22"/>
          <w:shd w:val="clear" w:color="auto" w:fill="FFFFFF"/>
        </w:rPr>
        <w:t>estrutura da FICO e da FIOL, compromete</w:t>
      </w:r>
      <w:r w:rsidR="00B84648" w:rsidRPr="00246D27">
        <w:rPr>
          <w:rFonts w:ascii="Calibri" w:hAnsi="Calibri" w:cs="Calibri"/>
          <w:sz w:val="22"/>
          <w:szCs w:val="22"/>
          <w:shd w:val="clear" w:color="auto" w:fill="FFFFFF"/>
        </w:rPr>
        <w:t>u</w:t>
      </w:r>
      <w:r w:rsidRPr="00246D27">
        <w:rPr>
          <w:rFonts w:ascii="Calibri" w:hAnsi="Calibri" w:cs="Calibri"/>
          <w:sz w:val="22"/>
          <w:szCs w:val="22"/>
          <w:shd w:val="clear" w:color="auto" w:fill="FFFFFF"/>
        </w:rPr>
        <w:t xml:space="preserve">-se a requerer os enquadramentos dos Projetos junto ao Ministério da </w:t>
      </w:r>
      <w:r w:rsidR="00E11BEF" w:rsidRPr="00246D27">
        <w:rPr>
          <w:rFonts w:ascii="Calibri" w:hAnsi="Calibri" w:cs="Calibri"/>
          <w:sz w:val="22"/>
          <w:szCs w:val="22"/>
          <w:shd w:val="clear" w:color="auto" w:fill="FFFFFF"/>
        </w:rPr>
        <w:t>Infra</w:t>
      </w:r>
      <w:r w:rsidRPr="00246D27">
        <w:rPr>
          <w:rFonts w:ascii="Calibri" w:hAnsi="Calibri" w:cs="Calibri"/>
          <w:sz w:val="22"/>
          <w:szCs w:val="22"/>
          <w:shd w:val="clear" w:color="auto" w:fill="FFFFFF"/>
        </w:rPr>
        <w:t>estrutura, bem como as suas habilitações no regime do REIDI, regulado pela Lei nº 11.488</w:t>
      </w:r>
      <w:r w:rsidR="00750CA7" w:rsidRPr="00246D27">
        <w:rPr>
          <w:rFonts w:ascii="Calibri" w:hAnsi="Calibri" w:cs="Calibri"/>
          <w:sz w:val="22"/>
          <w:szCs w:val="22"/>
          <w:shd w:val="clear" w:color="auto" w:fill="FFFFFF"/>
        </w:rPr>
        <w:t>, de 15 de junho de 20</w:t>
      </w:r>
      <w:r w:rsidRPr="00246D27">
        <w:rPr>
          <w:rFonts w:ascii="Calibri" w:hAnsi="Calibri" w:cs="Calibri"/>
          <w:sz w:val="22"/>
          <w:szCs w:val="22"/>
          <w:shd w:val="clear" w:color="auto" w:fill="FFFFFF"/>
        </w:rPr>
        <w:t>07, perante a Secretaria da Receita Federal do Brasil.</w:t>
      </w:r>
    </w:p>
    <w:p w14:paraId="677ADFEB" w14:textId="5B52E077" w:rsidR="00D4582D" w:rsidRPr="00246D27" w:rsidRDefault="00B84648"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A habilitação da </w:t>
      </w:r>
      <w:r w:rsidR="00E11BEF" w:rsidRPr="00246D27">
        <w:rPr>
          <w:rFonts w:ascii="Calibri" w:hAnsi="Calibri" w:cs="Calibri"/>
          <w:sz w:val="22"/>
          <w:szCs w:val="22"/>
          <w:shd w:val="clear" w:color="auto" w:fill="FFFFFF"/>
        </w:rPr>
        <w:t>Infra</w:t>
      </w:r>
      <w:r w:rsidR="00036923" w:rsidRPr="00246D27">
        <w:rPr>
          <w:rFonts w:ascii="Calibri" w:hAnsi="Calibri" w:cs="Calibri"/>
          <w:sz w:val="22"/>
          <w:szCs w:val="22"/>
          <w:shd w:val="clear" w:color="auto" w:fill="FFFFFF"/>
        </w:rPr>
        <w:t xml:space="preserve"> S.A</w:t>
      </w:r>
      <w:r w:rsidRPr="00246D27">
        <w:rPr>
          <w:rFonts w:ascii="Calibri" w:hAnsi="Calibri" w:cs="Calibri"/>
          <w:sz w:val="22"/>
          <w:szCs w:val="22"/>
          <w:shd w:val="clear" w:color="auto" w:fill="FFFFFF"/>
        </w:rPr>
        <w:t xml:space="preserve"> no regime do REIDI para os Projetos FICO e FIOL foi realizada em 21 de junho de 2021, por meio dos Atos Declaratórios nº 107 e 108 da Secretaria Especial da Receita Federal do Brasil, conforme publicado no Diário Oficial da União em 24 de junho de 2021.</w:t>
      </w:r>
    </w:p>
    <w:p w14:paraId="39086CB3" w14:textId="06A6B6F5" w:rsidR="007F779B" w:rsidRPr="00246D27" w:rsidRDefault="00232874"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A </w:t>
      </w:r>
      <w:r w:rsidR="00E11BEF" w:rsidRPr="00246D27">
        <w:rPr>
          <w:rFonts w:ascii="Calibri" w:hAnsi="Calibri" w:cs="Calibri"/>
          <w:sz w:val="22"/>
          <w:szCs w:val="22"/>
          <w:shd w:val="clear" w:color="auto" w:fill="FFFFFF"/>
        </w:rPr>
        <w:t>Infra</w:t>
      </w:r>
      <w:r w:rsidR="00036923" w:rsidRPr="00246D27">
        <w:rPr>
          <w:rFonts w:ascii="Calibri" w:hAnsi="Calibri" w:cs="Calibri"/>
          <w:sz w:val="22"/>
          <w:szCs w:val="22"/>
          <w:shd w:val="clear" w:color="auto" w:fill="FFFFFF"/>
        </w:rPr>
        <w:t xml:space="preserve"> S.A</w:t>
      </w:r>
      <w:r w:rsidRPr="00246D27">
        <w:rPr>
          <w:rFonts w:ascii="Calibri" w:hAnsi="Calibri" w:cs="Calibri"/>
          <w:sz w:val="22"/>
          <w:szCs w:val="22"/>
          <w:shd w:val="clear" w:color="auto" w:fill="FFFFFF"/>
        </w:rPr>
        <w:t xml:space="preserve"> compromete</w:t>
      </w:r>
      <w:r w:rsidR="00B84648" w:rsidRPr="00246D27">
        <w:rPr>
          <w:rFonts w:ascii="Calibri" w:hAnsi="Calibri" w:cs="Calibri"/>
          <w:sz w:val="22"/>
          <w:szCs w:val="22"/>
          <w:shd w:val="clear" w:color="auto" w:fill="FFFFFF"/>
        </w:rPr>
        <w:t>u</w:t>
      </w:r>
      <w:r w:rsidRPr="00246D27">
        <w:rPr>
          <w:rFonts w:ascii="Calibri" w:hAnsi="Calibri" w:cs="Calibri"/>
          <w:sz w:val="22"/>
          <w:szCs w:val="22"/>
          <w:shd w:val="clear" w:color="auto" w:fill="FFFFFF"/>
        </w:rPr>
        <w:t>-se, ainda, a participar dos contratos, aditivos contratuais e demais documentos competentes previstos na legislação do R</w:t>
      </w:r>
      <w:r w:rsidR="00B84648" w:rsidRPr="00246D27">
        <w:rPr>
          <w:rFonts w:ascii="Calibri" w:hAnsi="Calibri" w:cs="Calibri"/>
          <w:sz w:val="22"/>
          <w:szCs w:val="22"/>
          <w:shd w:val="clear" w:color="auto" w:fill="FFFFFF"/>
        </w:rPr>
        <w:t>EIDI</w:t>
      </w:r>
      <w:r w:rsidRPr="00246D27">
        <w:rPr>
          <w:rFonts w:ascii="Calibri" w:hAnsi="Calibri" w:cs="Calibri"/>
          <w:sz w:val="22"/>
          <w:szCs w:val="22"/>
          <w:shd w:val="clear" w:color="auto" w:fill="FFFFFF"/>
        </w:rPr>
        <w:t xml:space="preserve">, inclusive na posição de destinatária das obras de </w:t>
      </w:r>
      <w:r w:rsidR="00E11BEF" w:rsidRPr="00246D27">
        <w:rPr>
          <w:rFonts w:ascii="Calibri" w:hAnsi="Calibri" w:cs="Calibri"/>
          <w:sz w:val="22"/>
          <w:szCs w:val="22"/>
          <w:shd w:val="clear" w:color="auto" w:fill="FFFFFF"/>
        </w:rPr>
        <w:t>Infra</w:t>
      </w:r>
      <w:r w:rsidRPr="00246D27">
        <w:rPr>
          <w:rFonts w:ascii="Calibri" w:hAnsi="Calibri" w:cs="Calibri"/>
          <w:sz w:val="22"/>
          <w:szCs w:val="22"/>
          <w:shd w:val="clear" w:color="auto" w:fill="FFFFFF"/>
        </w:rPr>
        <w:t xml:space="preserve">estrutura, dos trilhos e dormentes, com o fim único e exclusivo de expressar nesses instrumentos a sua concordância com a aquisição das obras de </w:t>
      </w:r>
      <w:r w:rsidR="00E11BEF" w:rsidRPr="00246D27">
        <w:rPr>
          <w:rFonts w:ascii="Calibri" w:hAnsi="Calibri" w:cs="Calibri"/>
          <w:sz w:val="22"/>
          <w:szCs w:val="22"/>
          <w:shd w:val="clear" w:color="auto" w:fill="FFFFFF"/>
        </w:rPr>
        <w:t>Infra</w:t>
      </w:r>
      <w:r w:rsidRPr="00246D27">
        <w:rPr>
          <w:rFonts w:ascii="Calibri" w:hAnsi="Calibri" w:cs="Calibri"/>
          <w:sz w:val="22"/>
          <w:szCs w:val="22"/>
          <w:shd w:val="clear" w:color="auto" w:fill="FFFFFF"/>
        </w:rPr>
        <w:t xml:space="preserve">estrutura pelo Projeto de </w:t>
      </w:r>
      <w:r w:rsidR="00E11BEF" w:rsidRPr="00246D27">
        <w:rPr>
          <w:rFonts w:ascii="Calibri" w:hAnsi="Calibri" w:cs="Calibri"/>
          <w:sz w:val="22"/>
          <w:szCs w:val="22"/>
          <w:shd w:val="clear" w:color="auto" w:fill="FFFFFF"/>
        </w:rPr>
        <w:t>Infra</w:t>
      </w:r>
      <w:r w:rsidRPr="00246D27">
        <w:rPr>
          <w:rFonts w:ascii="Calibri" w:hAnsi="Calibri" w:cs="Calibri"/>
          <w:sz w:val="22"/>
          <w:szCs w:val="22"/>
          <w:shd w:val="clear" w:color="auto" w:fill="FFFFFF"/>
        </w:rPr>
        <w:t xml:space="preserve">estrutura da FICO e dos Trilhos e Dormentes pelo Projeto de </w:t>
      </w:r>
      <w:r w:rsidR="00E11BEF" w:rsidRPr="00246D27">
        <w:rPr>
          <w:rFonts w:ascii="Calibri" w:hAnsi="Calibri" w:cs="Calibri"/>
          <w:sz w:val="22"/>
          <w:szCs w:val="22"/>
          <w:shd w:val="clear" w:color="auto" w:fill="FFFFFF"/>
        </w:rPr>
        <w:t>Infra</w:t>
      </w:r>
      <w:r w:rsidRPr="00246D27">
        <w:rPr>
          <w:rFonts w:ascii="Calibri" w:hAnsi="Calibri" w:cs="Calibri"/>
          <w:sz w:val="22"/>
          <w:szCs w:val="22"/>
          <w:shd w:val="clear" w:color="auto" w:fill="FFFFFF"/>
        </w:rPr>
        <w:t xml:space="preserve">estrutura da FIOL elegíveis ao </w:t>
      </w:r>
      <w:r w:rsidR="00B84648" w:rsidRPr="00246D27">
        <w:rPr>
          <w:rFonts w:ascii="Calibri" w:hAnsi="Calibri" w:cs="Calibri"/>
          <w:sz w:val="22"/>
          <w:szCs w:val="22"/>
          <w:shd w:val="clear" w:color="auto" w:fill="FFFFFF"/>
        </w:rPr>
        <w:t>REIDI</w:t>
      </w:r>
      <w:r w:rsidRPr="00246D27">
        <w:rPr>
          <w:rFonts w:ascii="Calibri" w:hAnsi="Calibri" w:cs="Calibri"/>
          <w:sz w:val="22"/>
          <w:szCs w:val="22"/>
          <w:shd w:val="clear" w:color="auto" w:fill="FFFFFF"/>
        </w:rPr>
        <w:t xml:space="preserve"> e de restar como beneficiária das garantias contratuais perante os fornecedores dos Trilhos e Dormentes.</w:t>
      </w:r>
    </w:p>
    <w:p w14:paraId="083AFB70" w14:textId="7C57BE17" w:rsidR="00A1256E" w:rsidRPr="00246D27" w:rsidRDefault="00A1256E"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A título de Investimento Cruzado, </w:t>
      </w:r>
      <w:r w:rsidR="0046490D" w:rsidRPr="00246D27">
        <w:rPr>
          <w:rFonts w:ascii="Calibri" w:hAnsi="Calibri" w:cs="Calibri"/>
          <w:sz w:val="22"/>
          <w:szCs w:val="22"/>
          <w:shd w:val="clear" w:color="auto" w:fill="FFFFFF"/>
        </w:rPr>
        <w:t xml:space="preserve">até o </w:t>
      </w:r>
      <w:r w:rsidR="00036923" w:rsidRPr="00246D27">
        <w:rPr>
          <w:rFonts w:ascii="Calibri" w:hAnsi="Calibri" w:cs="Calibri"/>
          <w:sz w:val="22"/>
          <w:szCs w:val="22"/>
          <w:shd w:val="clear" w:color="auto" w:fill="FFFFFF"/>
        </w:rPr>
        <w:t>3</w:t>
      </w:r>
      <w:r w:rsidR="0046490D" w:rsidRPr="00246D27">
        <w:rPr>
          <w:rFonts w:ascii="Calibri" w:hAnsi="Calibri" w:cs="Calibri"/>
          <w:sz w:val="22"/>
          <w:szCs w:val="22"/>
          <w:shd w:val="clear" w:color="auto" w:fill="FFFFFF"/>
        </w:rPr>
        <w:t>º trimestre de 2022,</w:t>
      </w:r>
      <w:r w:rsidRPr="00246D27">
        <w:rPr>
          <w:rFonts w:ascii="Calibri" w:hAnsi="Calibri" w:cs="Calibri"/>
          <w:sz w:val="22"/>
          <w:szCs w:val="22"/>
          <w:shd w:val="clear" w:color="auto" w:fill="FFFFFF"/>
        </w:rPr>
        <w:t xml:space="preserve"> foram investidos R$ </w:t>
      </w:r>
      <w:r w:rsidR="00815DE7" w:rsidRPr="00246D27">
        <w:rPr>
          <w:rFonts w:ascii="Calibri" w:hAnsi="Calibri" w:cs="Calibri"/>
          <w:sz w:val="22"/>
          <w:szCs w:val="22"/>
          <w:shd w:val="clear" w:color="auto" w:fill="FFFFFF"/>
        </w:rPr>
        <w:t>412</w:t>
      </w:r>
      <w:r w:rsidR="0046490D" w:rsidRPr="00246D27">
        <w:rPr>
          <w:rFonts w:ascii="Calibri" w:hAnsi="Calibri" w:cs="Calibri"/>
          <w:sz w:val="22"/>
          <w:szCs w:val="22"/>
          <w:shd w:val="clear" w:color="auto" w:fill="FFFFFF"/>
        </w:rPr>
        <w:t>,</w:t>
      </w:r>
      <w:r w:rsidR="00036923" w:rsidRPr="00246D27">
        <w:rPr>
          <w:rFonts w:ascii="Calibri" w:hAnsi="Calibri" w:cs="Calibri"/>
          <w:sz w:val="22"/>
          <w:szCs w:val="22"/>
          <w:shd w:val="clear" w:color="auto" w:fill="FFFFFF"/>
        </w:rPr>
        <w:t>62</w:t>
      </w:r>
      <w:r w:rsidRPr="00246D27">
        <w:rPr>
          <w:rFonts w:ascii="Calibri" w:hAnsi="Calibri" w:cs="Calibri"/>
          <w:sz w:val="22"/>
          <w:szCs w:val="22"/>
          <w:shd w:val="clear" w:color="auto" w:fill="FFFFFF"/>
        </w:rPr>
        <w:t xml:space="preserve"> milhões na FIOL e R$ </w:t>
      </w:r>
      <w:r w:rsidR="001757E0" w:rsidRPr="00246D27">
        <w:rPr>
          <w:rFonts w:ascii="Calibri" w:hAnsi="Calibri" w:cs="Calibri"/>
          <w:sz w:val="22"/>
          <w:szCs w:val="22"/>
          <w:shd w:val="clear" w:color="auto" w:fill="FFFFFF"/>
        </w:rPr>
        <w:t>10</w:t>
      </w:r>
      <w:r w:rsidR="0057151A" w:rsidRPr="00246D27">
        <w:rPr>
          <w:rFonts w:ascii="Calibri" w:hAnsi="Calibri" w:cs="Calibri"/>
          <w:sz w:val="22"/>
          <w:szCs w:val="22"/>
          <w:shd w:val="clear" w:color="auto" w:fill="FFFFFF"/>
        </w:rPr>
        <w:t>5</w:t>
      </w:r>
      <w:r w:rsidRPr="00246D27">
        <w:rPr>
          <w:rFonts w:ascii="Calibri" w:hAnsi="Calibri" w:cs="Calibri"/>
          <w:sz w:val="22"/>
          <w:szCs w:val="22"/>
          <w:shd w:val="clear" w:color="auto" w:fill="FFFFFF"/>
        </w:rPr>
        <w:t>,</w:t>
      </w:r>
      <w:r w:rsidR="001757E0" w:rsidRPr="00246D27">
        <w:rPr>
          <w:rFonts w:ascii="Calibri" w:hAnsi="Calibri" w:cs="Calibri"/>
          <w:sz w:val="22"/>
          <w:szCs w:val="22"/>
          <w:shd w:val="clear" w:color="auto" w:fill="FFFFFF"/>
        </w:rPr>
        <w:t>40</w:t>
      </w:r>
      <w:r w:rsidRPr="00246D27">
        <w:rPr>
          <w:rFonts w:ascii="Calibri" w:hAnsi="Calibri" w:cs="Calibri"/>
          <w:sz w:val="22"/>
          <w:szCs w:val="22"/>
          <w:shd w:val="clear" w:color="auto" w:fill="FFFFFF"/>
        </w:rPr>
        <w:t xml:space="preserve"> milhões na FICO</w:t>
      </w:r>
      <w:r w:rsidR="00C02397" w:rsidRPr="00246D27">
        <w:rPr>
          <w:rFonts w:ascii="Calibri" w:hAnsi="Calibri" w:cs="Calibri"/>
          <w:sz w:val="22"/>
          <w:szCs w:val="22"/>
          <w:shd w:val="clear" w:color="auto" w:fill="FFFFFF"/>
        </w:rPr>
        <w:t xml:space="preserve">, conforme detalhado na Nota </w:t>
      </w:r>
      <w:r w:rsidR="00572476">
        <w:rPr>
          <w:rFonts w:ascii="Calibri" w:hAnsi="Calibri" w:cs="Calibri"/>
          <w:sz w:val="22"/>
          <w:szCs w:val="22"/>
          <w:shd w:val="clear" w:color="auto" w:fill="FFFFFF"/>
        </w:rPr>
        <w:t>9</w:t>
      </w:r>
      <w:r w:rsidR="00C02397" w:rsidRPr="00246D27">
        <w:rPr>
          <w:rFonts w:ascii="Calibri" w:hAnsi="Calibri" w:cs="Calibri"/>
          <w:sz w:val="22"/>
          <w:szCs w:val="22"/>
          <w:shd w:val="clear" w:color="auto" w:fill="FFFFFF"/>
        </w:rPr>
        <w:t>-IV.</w:t>
      </w:r>
    </w:p>
    <w:bookmarkEnd w:id="1"/>
    <w:p w14:paraId="187316E1" w14:textId="77777777" w:rsidR="00ED6D2E" w:rsidRPr="00246D27" w:rsidRDefault="00ED6D2E" w:rsidP="00937ED9">
      <w:pPr>
        <w:autoSpaceDE w:val="0"/>
        <w:autoSpaceDN w:val="0"/>
        <w:adjustRightInd w:val="0"/>
        <w:spacing w:after="120"/>
        <w:jc w:val="both"/>
        <w:rPr>
          <w:rFonts w:ascii="Calibri" w:hAnsi="Calibri" w:cs="Calibri"/>
          <w:b/>
          <w:sz w:val="22"/>
          <w:szCs w:val="22"/>
          <w:shd w:val="clear" w:color="auto" w:fill="FFFFFF"/>
        </w:rPr>
      </w:pPr>
      <w:r w:rsidRPr="00246D27">
        <w:rPr>
          <w:rFonts w:ascii="Calibri" w:hAnsi="Calibri" w:cs="Calibri"/>
          <w:b/>
          <w:sz w:val="22"/>
          <w:szCs w:val="22"/>
          <w:shd w:val="clear" w:color="auto" w:fill="FFFFFF"/>
        </w:rPr>
        <w:t>V –</w:t>
      </w:r>
      <w:r w:rsidRPr="00246D27">
        <w:rPr>
          <w:rFonts w:ascii="Calibri" w:hAnsi="Calibri" w:cs="Calibri"/>
          <w:sz w:val="22"/>
          <w:szCs w:val="22"/>
          <w:shd w:val="clear" w:color="auto" w:fill="FFFFFF"/>
        </w:rPr>
        <w:t xml:space="preserve"> </w:t>
      </w:r>
      <w:r w:rsidRPr="00246D27">
        <w:rPr>
          <w:rFonts w:ascii="Calibri" w:hAnsi="Calibri" w:cs="Calibri"/>
          <w:b/>
          <w:sz w:val="22"/>
          <w:szCs w:val="22"/>
          <w:shd w:val="clear" w:color="auto" w:fill="FFFFFF"/>
        </w:rPr>
        <w:t>PERMISSÃO DE USO DE PÁTIOS</w:t>
      </w:r>
    </w:p>
    <w:p w14:paraId="36B124CA" w14:textId="4C14EC77" w:rsidR="00E055C4" w:rsidRDefault="00E055C4" w:rsidP="00937ED9">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 xml:space="preserve">A </w:t>
      </w:r>
      <w:r w:rsidR="00E11BEF" w:rsidRPr="00246D27">
        <w:rPr>
          <w:rFonts w:ascii="Calibri" w:hAnsi="Calibri" w:cs="Calibri"/>
          <w:sz w:val="22"/>
          <w:szCs w:val="22"/>
          <w:shd w:val="clear" w:color="auto" w:fill="FFFFFF"/>
        </w:rPr>
        <w:t>Infra</w:t>
      </w:r>
      <w:r w:rsidR="001757E0" w:rsidRPr="00246D27">
        <w:rPr>
          <w:rFonts w:ascii="Calibri" w:hAnsi="Calibri" w:cs="Calibri"/>
          <w:sz w:val="22"/>
          <w:szCs w:val="22"/>
          <w:shd w:val="clear" w:color="auto" w:fill="FFFFFF"/>
        </w:rPr>
        <w:t xml:space="preserve"> S.A.</w:t>
      </w:r>
      <w:r w:rsidRPr="00246D27">
        <w:rPr>
          <w:rFonts w:ascii="Calibri" w:hAnsi="Calibri" w:cs="Calibri"/>
          <w:sz w:val="22"/>
          <w:szCs w:val="22"/>
          <w:shd w:val="clear" w:color="auto" w:fill="FFFFFF"/>
        </w:rPr>
        <w:t xml:space="preserve"> também explora e fomenta o transporte ferroviário por meio de terminais de armazenamento e transbordo de cargas. Atualmente estão vigentes 17 (dezessete) instrumentos de outorga envolvendo terminais. As localizações das áreas outorgadas estão assim dispostas: 5 (cinco) em Porto Franco/MA, 1 (um) em Palmeirante/TO, </w:t>
      </w:r>
      <w:r w:rsidR="00744E62" w:rsidRPr="00246D27">
        <w:rPr>
          <w:rFonts w:ascii="Calibri" w:hAnsi="Calibri" w:cs="Calibri"/>
          <w:sz w:val="22"/>
          <w:szCs w:val="22"/>
          <w:shd w:val="clear" w:color="auto" w:fill="FFFFFF"/>
        </w:rPr>
        <w:t>3</w:t>
      </w:r>
      <w:r w:rsidRPr="00246D27">
        <w:rPr>
          <w:rFonts w:ascii="Calibri" w:hAnsi="Calibri" w:cs="Calibri"/>
          <w:sz w:val="22"/>
          <w:szCs w:val="22"/>
          <w:shd w:val="clear" w:color="auto" w:fill="FFFFFF"/>
        </w:rPr>
        <w:t xml:space="preserve"> (</w:t>
      </w:r>
      <w:r w:rsidR="00744E62" w:rsidRPr="00246D27">
        <w:rPr>
          <w:rFonts w:ascii="Calibri" w:hAnsi="Calibri" w:cs="Calibri"/>
          <w:sz w:val="22"/>
          <w:szCs w:val="22"/>
          <w:shd w:val="clear" w:color="auto" w:fill="FFFFFF"/>
        </w:rPr>
        <w:t>três</w:t>
      </w:r>
      <w:r w:rsidRPr="00246D27">
        <w:rPr>
          <w:rFonts w:ascii="Calibri" w:hAnsi="Calibri" w:cs="Calibri"/>
          <w:sz w:val="22"/>
          <w:szCs w:val="22"/>
          <w:shd w:val="clear" w:color="auto" w:fill="FFFFFF"/>
        </w:rPr>
        <w:t>) em Guaraí/TO, 7 (sete) em Porto Nacional/TO</w:t>
      </w:r>
      <w:r w:rsidR="00744E62" w:rsidRPr="00246D27">
        <w:rPr>
          <w:rFonts w:ascii="Calibri" w:hAnsi="Calibri" w:cs="Calibri"/>
          <w:sz w:val="22"/>
          <w:szCs w:val="22"/>
          <w:shd w:val="clear" w:color="auto" w:fill="FFFFFF"/>
        </w:rPr>
        <w:t xml:space="preserve"> e</w:t>
      </w:r>
      <w:r w:rsidRPr="00246D27">
        <w:rPr>
          <w:rFonts w:ascii="Calibri" w:hAnsi="Calibri" w:cs="Calibri"/>
          <w:sz w:val="22"/>
          <w:szCs w:val="22"/>
          <w:shd w:val="clear" w:color="auto" w:fill="FFFFFF"/>
        </w:rPr>
        <w:t xml:space="preserve"> 1 (um) em Gurupi/TO</w:t>
      </w:r>
      <w:r w:rsidR="00744E62" w:rsidRPr="00246D27">
        <w:rPr>
          <w:rFonts w:ascii="Calibri" w:hAnsi="Calibri" w:cs="Calibri"/>
          <w:sz w:val="22"/>
          <w:szCs w:val="22"/>
          <w:shd w:val="clear" w:color="auto" w:fill="FFFFFF"/>
        </w:rPr>
        <w:t>.</w:t>
      </w:r>
      <w:r w:rsidRPr="00246D27">
        <w:rPr>
          <w:rFonts w:ascii="Calibri" w:hAnsi="Calibri" w:cs="Calibri"/>
          <w:sz w:val="22"/>
          <w:szCs w:val="22"/>
          <w:shd w:val="clear" w:color="auto" w:fill="FFFFFF"/>
        </w:rPr>
        <w:t xml:space="preserve"> Dentre as outorgas estão: Termos de Permissão de Uso, Contratos de Arrendamentos, Contratos de Permissões de Uso e Contratos de Concessões de Uso.</w:t>
      </w:r>
    </w:p>
    <w:p w14:paraId="490D27C1" w14:textId="3A04908B" w:rsidR="00246D27" w:rsidRPr="00246D27" w:rsidRDefault="00246D27" w:rsidP="00246D27">
      <w:pPr>
        <w:autoSpaceDE w:val="0"/>
        <w:autoSpaceDN w:val="0"/>
        <w:adjustRightInd w:val="0"/>
        <w:spacing w:after="120"/>
        <w:jc w:val="both"/>
        <w:rPr>
          <w:rFonts w:ascii="Calibri" w:hAnsi="Calibri" w:cs="Calibri"/>
          <w:b/>
          <w:sz w:val="22"/>
          <w:szCs w:val="22"/>
          <w:shd w:val="clear" w:color="auto" w:fill="FFFFFF"/>
        </w:rPr>
      </w:pPr>
      <w:r w:rsidRPr="00246D27">
        <w:rPr>
          <w:rFonts w:ascii="Calibri" w:hAnsi="Calibri" w:cs="Calibri"/>
          <w:b/>
          <w:sz w:val="22"/>
          <w:szCs w:val="22"/>
          <w:shd w:val="clear" w:color="auto" w:fill="FFFFFF"/>
        </w:rPr>
        <w:t>VI – ESTUDOS</w:t>
      </w:r>
      <w:r w:rsidR="00DD5010">
        <w:rPr>
          <w:rFonts w:ascii="Calibri" w:hAnsi="Calibri" w:cs="Calibri"/>
          <w:b/>
          <w:sz w:val="22"/>
          <w:szCs w:val="22"/>
          <w:shd w:val="clear" w:color="auto" w:fill="FFFFFF"/>
        </w:rPr>
        <w:t>,</w:t>
      </w:r>
      <w:r w:rsidRPr="00246D27">
        <w:rPr>
          <w:rFonts w:ascii="Calibri" w:hAnsi="Calibri" w:cs="Calibri"/>
          <w:b/>
          <w:sz w:val="22"/>
          <w:szCs w:val="22"/>
          <w:shd w:val="clear" w:color="auto" w:fill="FFFFFF"/>
        </w:rPr>
        <w:t xml:space="preserve"> PROJETOS</w:t>
      </w:r>
      <w:r w:rsidR="00DD5010" w:rsidRPr="00DD5010">
        <w:t xml:space="preserve"> </w:t>
      </w:r>
      <w:r w:rsidR="00DD5010" w:rsidRPr="00DD5010">
        <w:rPr>
          <w:rFonts w:ascii="Calibri" w:hAnsi="Calibri" w:cs="Calibri"/>
          <w:b/>
          <w:sz w:val="22"/>
          <w:szCs w:val="22"/>
          <w:shd w:val="clear" w:color="auto" w:fill="FFFFFF"/>
        </w:rPr>
        <w:t>E LICENCIAMENTO AMBIENTAL</w:t>
      </w:r>
    </w:p>
    <w:p w14:paraId="59C05F14" w14:textId="2BE90A5E" w:rsidR="00246D27" w:rsidRDefault="00246D27" w:rsidP="00246D27">
      <w:pPr>
        <w:autoSpaceDE w:val="0"/>
        <w:autoSpaceDN w:val="0"/>
        <w:adjustRightInd w:val="0"/>
        <w:spacing w:after="120"/>
        <w:jc w:val="both"/>
        <w:rPr>
          <w:rFonts w:ascii="Calibri" w:hAnsi="Calibri" w:cs="Calibri"/>
          <w:sz w:val="22"/>
          <w:szCs w:val="22"/>
          <w:shd w:val="clear" w:color="auto" w:fill="FFFFFF"/>
        </w:rPr>
      </w:pPr>
      <w:r w:rsidRPr="00246D27">
        <w:rPr>
          <w:rFonts w:ascii="Calibri" w:hAnsi="Calibri" w:cs="Calibri"/>
          <w:sz w:val="22"/>
          <w:szCs w:val="22"/>
          <w:shd w:val="clear" w:color="auto" w:fill="FFFFFF"/>
        </w:rPr>
        <w:t>Com a incorporação da EPL, a empresa passou a contar com novos serviços em seu portifólio, quais sejam: prestação serviços na área de projetos, estudos e pesquisas destinados a subsidiar o planejamento da infraestrutura, da logística e dos transportes no País</w:t>
      </w:r>
      <w:r w:rsidR="00DD5010">
        <w:rPr>
          <w:rFonts w:ascii="Calibri" w:hAnsi="Calibri" w:cs="Calibri"/>
          <w:sz w:val="22"/>
          <w:szCs w:val="22"/>
          <w:shd w:val="clear" w:color="auto" w:fill="FFFFFF"/>
        </w:rPr>
        <w:t>,</w:t>
      </w:r>
      <w:r w:rsidRPr="00246D27">
        <w:rPr>
          <w:rFonts w:ascii="Calibri" w:hAnsi="Calibri" w:cs="Calibri"/>
          <w:sz w:val="22"/>
          <w:szCs w:val="22"/>
          <w:shd w:val="clear" w:color="auto" w:fill="FFFFFF"/>
        </w:rPr>
        <w:t xml:space="preserve"> </w:t>
      </w:r>
      <w:r w:rsidR="00DD5010">
        <w:rPr>
          <w:rFonts w:ascii="Calibri" w:hAnsi="Calibri" w:cs="Calibri"/>
          <w:sz w:val="22"/>
          <w:szCs w:val="22"/>
          <w:shd w:val="clear" w:color="auto" w:fill="FFFFFF"/>
        </w:rPr>
        <w:t xml:space="preserve">visando a </w:t>
      </w:r>
      <w:r w:rsidRPr="00246D27">
        <w:rPr>
          <w:rFonts w:ascii="Calibri" w:hAnsi="Calibri" w:cs="Calibri"/>
          <w:sz w:val="22"/>
          <w:szCs w:val="22"/>
          <w:shd w:val="clear" w:color="auto" w:fill="FFFFFF"/>
        </w:rPr>
        <w:t>integra</w:t>
      </w:r>
      <w:r w:rsidR="00DD5010">
        <w:rPr>
          <w:rFonts w:ascii="Calibri" w:hAnsi="Calibri" w:cs="Calibri"/>
          <w:sz w:val="22"/>
          <w:szCs w:val="22"/>
          <w:shd w:val="clear" w:color="auto" w:fill="FFFFFF"/>
        </w:rPr>
        <w:t>ção</w:t>
      </w:r>
      <w:r w:rsidRPr="00246D27">
        <w:rPr>
          <w:rFonts w:ascii="Calibri" w:hAnsi="Calibri" w:cs="Calibri"/>
          <w:sz w:val="22"/>
          <w:szCs w:val="22"/>
          <w:shd w:val="clear" w:color="auto" w:fill="FFFFFF"/>
        </w:rPr>
        <w:t xml:space="preserve"> </w:t>
      </w:r>
      <w:r w:rsidR="00DD5010">
        <w:rPr>
          <w:rFonts w:ascii="Calibri" w:hAnsi="Calibri" w:cs="Calibri"/>
          <w:sz w:val="22"/>
          <w:szCs w:val="22"/>
          <w:shd w:val="clear" w:color="auto" w:fill="FFFFFF"/>
        </w:rPr>
        <w:t>do</w:t>
      </w:r>
      <w:r w:rsidRPr="00246D27">
        <w:rPr>
          <w:rFonts w:ascii="Calibri" w:hAnsi="Calibri" w:cs="Calibri"/>
          <w:sz w:val="22"/>
          <w:szCs w:val="22"/>
          <w:shd w:val="clear" w:color="auto" w:fill="FFFFFF"/>
        </w:rPr>
        <w:t>s</w:t>
      </w:r>
      <w:r w:rsidR="00DD5010">
        <w:rPr>
          <w:rFonts w:ascii="Calibri" w:hAnsi="Calibri" w:cs="Calibri"/>
          <w:sz w:val="22"/>
          <w:szCs w:val="22"/>
          <w:shd w:val="clear" w:color="auto" w:fill="FFFFFF"/>
        </w:rPr>
        <w:t xml:space="preserve"> diferentes</w:t>
      </w:r>
      <w:r w:rsidRPr="00246D27">
        <w:rPr>
          <w:rFonts w:ascii="Calibri" w:hAnsi="Calibri" w:cs="Calibri"/>
          <w:sz w:val="22"/>
          <w:szCs w:val="22"/>
          <w:shd w:val="clear" w:color="auto" w:fill="FFFFFF"/>
        </w:rPr>
        <w:t xml:space="preserve"> moda</w:t>
      </w:r>
      <w:r w:rsidR="00DD5010">
        <w:rPr>
          <w:rFonts w:ascii="Calibri" w:hAnsi="Calibri" w:cs="Calibri"/>
          <w:sz w:val="22"/>
          <w:szCs w:val="22"/>
          <w:shd w:val="clear" w:color="auto" w:fill="FFFFFF"/>
        </w:rPr>
        <w:t>is</w:t>
      </w:r>
      <w:r w:rsidRPr="00246D27">
        <w:rPr>
          <w:rFonts w:ascii="Calibri" w:hAnsi="Calibri" w:cs="Calibri"/>
          <w:sz w:val="22"/>
          <w:szCs w:val="22"/>
          <w:shd w:val="clear" w:color="auto" w:fill="FFFFFF"/>
        </w:rPr>
        <w:t xml:space="preserve"> de transporte.</w:t>
      </w:r>
    </w:p>
    <w:p w14:paraId="49B922A3" w14:textId="120EABC2" w:rsidR="003772E3" w:rsidRPr="002E2B5B" w:rsidRDefault="003772E3" w:rsidP="00937ED9">
      <w:pPr>
        <w:pStyle w:val="Ttulo4"/>
        <w:spacing w:after="120" w:line="240" w:lineRule="auto"/>
        <w:rPr>
          <w:rFonts w:ascii="Calibri" w:hAnsi="Calibri" w:cs="Calibri"/>
          <w:bCs w:val="0"/>
          <w:sz w:val="22"/>
          <w:szCs w:val="22"/>
        </w:rPr>
      </w:pPr>
      <w:r w:rsidRPr="002E2B5B">
        <w:rPr>
          <w:rFonts w:ascii="Calibri" w:hAnsi="Calibri" w:cs="Calibri"/>
          <w:bCs w:val="0"/>
          <w:sz w:val="22"/>
          <w:szCs w:val="22"/>
        </w:rPr>
        <w:t xml:space="preserve">NOTA 2 – </w:t>
      </w:r>
      <w:r w:rsidR="007E5CEC" w:rsidRPr="002E2B5B">
        <w:rPr>
          <w:rFonts w:ascii="Calibri" w:hAnsi="Calibri" w:cs="Calibri"/>
          <w:bCs w:val="0"/>
          <w:sz w:val="22"/>
          <w:szCs w:val="22"/>
        </w:rPr>
        <w:t>BASE DE PREPARAÇÃO</w:t>
      </w:r>
      <w:r w:rsidR="00CF73D2" w:rsidRPr="002E2B5B">
        <w:rPr>
          <w:rFonts w:ascii="Calibri" w:hAnsi="Calibri" w:cs="Calibri"/>
          <w:bCs w:val="0"/>
          <w:sz w:val="22"/>
          <w:szCs w:val="22"/>
        </w:rPr>
        <w:t xml:space="preserve"> DAS DEMONSTRAÇÕES E PRINCIPAIS PRÁTICAS CONTÁBEIS </w:t>
      </w:r>
    </w:p>
    <w:p w14:paraId="21A9E458" w14:textId="31CD182E" w:rsidR="009B67A2" w:rsidRPr="002A3367" w:rsidRDefault="009B67A2" w:rsidP="009B67A2">
      <w:pPr>
        <w:numPr>
          <w:ilvl w:val="0"/>
          <w:numId w:val="32"/>
        </w:numPr>
        <w:spacing w:after="120"/>
        <w:ind w:left="714" w:hanging="357"/>
        <w:jc w:val="both"/>
        <w:rPr>
          <w:rFonts w:ascii="Calibri" w:hAnsi="Calibri" w:cs="Calibri"/>
          <w:sz w:val="22"/>
          <w:szCs w:val="22"/>
        </w:rPr>
      </w:pPr>
      <w:r w:rsidRPr="002A3367">
        <w:rPr>
          <w:rFonts w:ascii="Calibri" w:hAnsi="Calibri" w:cs="Calibri"/>
          <w:sz w:val="22"/>
          <w:szCs w:val="22"/>
        </w:rPr>
        <w:t>A autorização para a conclusão destas demonstrações contábeis foi dada pel</w:t>
      </w:r>
      <w:r w:rsidR="00B81404">
        <w:rPr>
          <w:rFonts w:ascii="Calibri" w:hAnsi="Calibri" w:cs="Calibri"/>
          <w:sz w:val="22"/>
          <w:szCs w:val="22"/>
        </w:rPr>
        <w:t>o</w:t>
      </w:r>
      <w:r w:rsidRPr="002A3367">
        <w:rPr>
          <w:rFonts w:ascii="Calibri" w:hAnsi="Calibri" w:cs="Calibri"/>
          <w:sz w:val="22"/>
          <w:szCs w:val="22"/>
        </w:rPr>
        <w:t xml:space="preserve"> Conselho de Administração em </w:t>
      </w:r>
      <w:r w:rsidR="00683B08">
        <w:rPr>
          <w:rFonts w:ascii="Calibri" w:hAnsi="Calibri" w:cs="Calibri"/>
          <w:sz w:val="22"/>
          <w:szCs w:val="22"/>
        </w:rPr>
        <w:t>31 de janeiro de 2023.</w:t>
      </w:r>
    </w:p>
    <w:p w14:paraId="5E72AE3D" w14:textId="0B3F97A9" w:rsidR="00356063" w:rsidRPr="002E2B5B" w:rsidRDefault="00356063" w:rsidP="00937ED9">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lastRenderedPageBreak/>
        <w:t xml:space="preserve">As demonstrações contábeis fundamentam-se de acordo </w:t>
      </w:r>
      <w:r w:rsidR="00A100E5" w:rsidRPr="002E2B5B">
        <w:rPr>
          <w:rFonts w:ascii="Calibri" w:hAnsi="Calibri" w:cs="Calibri"/>
          <w:sz w:val="22"/>
          <w:szCs w:val="22"/>
        </w:rPr>
        <w:t xml:space="preserve">com as </w:t>
      </w:r>
      <w:r w:rsidRPr="002E2B5B">
        <w:rPr>
          <w:rFonts w:ascii="Calibri" w:hAnsi="Calibri" w:cs="Calibri"/>
          <w:sz w:val="22"/>
          <w:szCs w:val="22"/>
        </w:rPr>
        <w:t>práticas</w:t>
      </w:r>
      <w:r w:rsidR="00A100E5" w:rsidRPr="002E2B5B">
        <w:rPr>
          <w:rFonts w:ascii="Calibri" w:hAnsi="Calibri" w:cs="Calibri"/>
          <w:sz w:val="22"/>
          <w:szCs w:val="22"/>
        </w:rPr>
        <w:t xml:space="preserve"> contábeis</w:t>
      </w:r>
      <w:r w:rsidRPr="002E2B5B">
        <w:rPr>
          <w:rFonts w:ascii="Calibri" w:hAnsi="Calibri" w:cs="Calibri"/>
          <w:sz w:val="22"/>
          <w:szCs w:val="22"/>
        </w:rPr>
        <w:t xml:space="preserve"> adotadas no Brasil</w:t>
      </w:r>
      <w:r w:rsidR="00B60EFF" w:rsidRPr="002E2B5B">
        <w:rPr>
          <w:rFonts w:ascii="Calibri" w:hAnsi="Calibri" w:cs="Calibri"/>
          <w:sz w:val="22"/>
          <w:szCs w:val="22"/>
        </w:rPr>
        <w:t xml:space="preserve">, </w:t>
      </w:r>
      <w:r w:rsidR="00A100E5" w:rsidRPr="002E2B5B">
        <w:rPr>
          <w:rFonts w:ascii="Calibri" w:hAnsi="Calibri" w:cs="Calibri"/>
          <w:sz w:val="22"/>
          <w:szCs w:val="22"/>
        </w:rPr>
        <w:t>por meio das</w:t>
      </w:r>
      <w:r w:rsidRPr="002E2B5B">
        <w:rPr>
          <w:rFonts w:ascii="Calibri" w:hAnsi="Calibri" w:cs="Calibri"/>
          <w:sz w:val="22"/>
          <w:szCs w:val="22"/>
        </w:rPr>
        <w:t xml:space="preserve"> Normas Brasileiras de Contabilidade expedidas pelo Conselho Federal de Contabilidade </w:t>
      </w:r>
      <w:r w:rsidR="00E73235" w:rsidRPr="002E2B5B">
        <w:rPr>
          <w:rFonts w:ascii="Calibri" w:hAnsi="Calibri" w:cs="Calibri"/>
          <w:sz w:val="22"/>
          <w:szCs w:val="22"/>
        </w:rPr>
        <w:t xml:space="preserve">- </w:t>
      </w:r>
      <w:r w:rsidRPr="002E2B5B">
        <w:rPr>
          <w:rFonts w:ascii="Calibri" w:hAnsi="Calibri" w:cs="Calibri"/>
          <w:sz w:val="22"/>
          <w:szCs w:val="22"/>
        </w:rPr>
        <w:t xml:space="preserve">CFC e os Pronunciamentos do Comitê de Pronunciamentos Contábeis </w:t>
      </w:r>
      <w:r w:rsidR="004B5BEE" w:rsidRPr="002E2B5B">
        <w:rPr>
          <w:rFonts w:ascii="Calibri" w:hAnsi="Calibri" w:cs="Calibri"/>
          <w:sz w:val="22"/>
          <w:szCs w:val="22"/>
        </w:rPr>
        <w:t>–</w:t>
      </w:r>
      <w:r w:rsidR="00E73235" w:rsidRPr="002E2B5B">
        <w:rPr>
          <w:rFonts w:ascii="Calibri" w:hAnsi="Calibri" w:cs="Calibri"/>
          <w:sz w:val="22"/>
          <w:szCs w:val="22"/>
        </w:rPr>
        <w:t xml:space="preserve"> </w:t>
      </w:r>
      <w:r w:rsidRPr="002E2B5B">
        <w:rPr>
          <w:rFonts w:ascii="Calibri" w:hAnsi="Calibri" w:cs="Calibri"/>
          <w:sz w:val="22"/>
          <w:szCs w:val="22"/>
        </w:rPr>
        <w:t>CPC</w:t>
      </w:r>
      <w:r w:rsidR="004B5BEE" w:rsidRPr="002E2B5B">
        <w:rPr>
          <w:rFonts w:ascii="Calibri" w:hAnsi="Calibri" w:cs="Calibri"/>
          <w:sz w:val="22"/>
          <w:szCs w:val="22"/>
        </w:rPr>
        <w:t>;</w:t>
      </w:r>
    </w:p>
    <w:p w14:paraId="709350FE" w14:textId="08813A58" w:rsidR="00356063" w:rsidRPr="002E2B5B" w:rsidRDefault="00356063" w:rsidP="00937ED9">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As demonstrações contábeis originam-se de fatos contábeis vinculados ao Registro pelo Valor Original e os saldos estão disponibilizados </w:t>
      </w:r>
      <w:r w:rsidR="00173EAD" w:rsidRPr="002E2B5B">
        <w:rPr>
          <w:rFonts w:ascii="Calibri" w:hAnsi="Calibri" w:cs="Calibri"/>
          <w:sz w:val="22"/>
          <w:szCs w:val="22"/>
        </w:rPr>
        <w:t>em unidade de Real (R$ 1)</w:t>
      </w:r>
      <w:r w:rsidRPr="002E2B5B">
        <w:rPr>
          <w:rFonts w:ascii="Calibri" w:hAnsi="Calibri" w:cs="Calibri"/>
          <w:sz w:val="22"/>
          <w:szCs w:val="22"/>
        </w:rPr>
        <w:t xml:space="preserve">, </w:t>
      </w:r>
      <w:r w:rsidR="00A100E5" w:rsidRPr="002E2B5B">
        <w:rPr>
          <w:rFonts w:ascii="Calibri" w:hAnsi="Calibri" w:cs="Calibri"/>
          <w:sz w:val="22"/>
          <w:szCs w:val="22"/>
        </w:rPr>
        <w:t xml:space="preserve">exceto quando indicado de outra forma, </w:t>
      </w:r>
      <w:r w:rsidRPr="002E2B5B">
        <w:rPr>
          <w:rFonts w:ascii="Calibri" w:hAnsi="Calibri" w:cs="Calibri"/>
          <w:sz w:val="22"/>
          <w:szCs w:val="22"/>
        </w:rPr>
        <w:t xml:space="preserve">sendo </w:t>
      </w:r>
      <w:r w:rsidR="008F7883" w:rsidRPr="002E2B5B">
        <w:rPr>
          <w:rFonts w:ascii="Calibri" w:hAnsi="Calibri" w:cs="Calibri"/>
          <w:sz w:val="22"/>
          <w:szCs w:val="22"/>
        </w:rPr>
        <w:t>o Real</w:t>
      </w:r>
      <w:r w:rsidRPr="002E2B5B">
        <w:rPr>
          <w:rFonts w:ascii="Calibri" w:hAnsi="Calibri" w:cs="Calibri"/>
          <w:sz w:val="22"/>
          <w:szCs w:val="22"/>
        </w:rPr>
        <w:t xml:space="preserve"> a moeda funcional e de apresentação da </w:t>
      </w:r>
      <w:r w:rsidR="00E11BEF">
        <w:rPr>
          <w:rFonts w:ascii="Calibri" w:hAnsi="Calibri" w:cs="Calibri"/>
          <w:sz w:val="22"/>
          <w:szCs w:val="22"/>
        </w:rPr>
        <w:t>Infra</w:t>
      </w:r>
      <w:r w:rsidR="00B16566">
        <w:rPr>
          <w:rFonts w:ascii="Calibri" w:hAnsi="Calibri" w:cs="Calibri"/>
          <w:sz w:val="22"/>
          <w:szCs w:val="22"/>
        </w:rPr>
        <w:t xml:space="preserve"> S.A.</w:t>
      </w:r>
      <w:r w:rsidR="004B5BEE" w:rsidRPr="002E2B5B">
        <w:rPr>
          <w:rFonts w:ascii="Calibri" w:hAnsi="Calibri" w:cs="Calibri"/>
          <w:sz w:val="22"/>
          <w:szCs w:val="22"/>
        </w:rPr>
        <w:t>;</w:t>
      </w:r>
    </w:p>
    <w:p w14:paraId="5E97239F" w14:textId="214DEE87" w:rsidR="00356063" w:rsidRDefault="00356063" w:rsidP="00937ED9">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A </w:t>
      </w:r>
      <w:r w:rsidR="00D60F6A">
        <w:rPr>
          <w:rFonts w:ascii="Calibri" w:hAnsi="Calibri" w:cs="Calibri"/>
          <w:sz w:val="22"/>
          <w:szCs w:val="22"/>
        </w:rPr>
        <w:t>Infra</w:t>
      </w:r>
      <w:r w:rsidR="00B406C5">
        <w:rPr>
          <w:rFonts w:ascii="Calibri" w:hAnsi="Calibri" w:cs="Calibri"/>
          <w:sz w:val="22"/>
          <w:szCs w:val="22"/>
        </w:rPr>
        <w:t xml:space="preserve"> S.A.</w:t>
      </w:r>
      <w:r w:rsidRPr="002E2B5B">
        <w:rPr>
          <w:rFonts w:ascii="Calibri" w:hAnsi="Calibri" w:cs="Calibri"/>
          <w:sz w:val="22"/>
          <w:szCs w:val="22"/>
        </w:rPr>
        <w:t xml:space="preserve"> integra o Sistema Integrado de Administração Financeira do Governo Federal - SIAFI, na modalidade total em relação ao orçamento, conforme disposto na Lei nº 4.320, de </w:t>
      </w:r>
      <w:r w:rsidR="0066652D" w:rsidRPr="002E2B5B">
        <w:rPr>
          <w:rFonts w:ascii="Calibri" w:hAnsi="Calibri" w:cs="Calibri"/>
          <w:sz w:val="22"/>
          <w:szCs w:val="22"/>
        </w:rPr>
        <w:t>17 de março de 1964</w:t>
      </w:r>
      <w:r w:rsidRPr="002E2B5B">
        <w:rPr>
          <w:rFonts w:ascii="Calibri" w:hAnsi="Calibri" w:cs="Calibri"/>
          <w:sz w:val="22"/>
          <w:szCs w:val="22"/>
        </w:rPr>
        <w:t xml:space="preserve"> e aspectos societários da Lei n° 6.404</w:t>
      </w:r>
      <w:r w:rsidR="00B9667A" w:rsidRPr="002E2B5B">
        <w:rPr>
          <w:rFonts w:ascii="Calibri" w:hAnsi="Calibri" w:cs="Calibri"/>
          <w:sz w:val="22"/>
          <w:szCs w:val="22"/>
        </w:rPr>
        <w:t>, de 15 de dezembro de 1976,</w:t>
      </w:r>
      <w:r w:rsidRPr="002E2B5B">
        <w:rPr>
          <w:rFonts w:ascii="Calibri" w:hAnsi="Calibri" w:cs="Calibri"/>
          <w:sz w:val="22"/>
          <w:szCs w:val="22"/>
        </w:rPr>
        <w:t xml:space="preserve"> em relação à apresentação das Demonstrações Contábeis, com as alterações promovidas pelas Leis nºs 11.638</w:t>
      </w:r>
      <w:r w:rsidR="00B9667A" w:rsidRPr="002E2B5B">
        <w:rPr>
          <w:rFonts w:ascii="Calibri" w:hAnsi="Calibri" w:cs="Calibri"/>
          <w:sz w:val="22"/>
          <w:szCs w:val="22"/>
        </w:rPr>
        <w:t>, de 28 de dezembro de 2007,</w:t>
      </w:r>
      <w:r w:rsidRPr="002E2B5B">
        <w:rPr>
          <w:rFonts w:ascii="Calibri" w:hAnsi="Calibri" w:cs="Calibri"/>
          <w:sz w:val="22"/>
          <w:szCs w:val="22"/>
        </w:rPr>
        <w:t xml:space="preserve"> e 11.941</w:t>
      </w:r>
      <w:r w:rsidR="00B9667A" w:rsidRPr="002E2B5B">
        <w:rPr>
          <w:rFonts w:ascii="Calibri" w:hAnsi="Calibri" w:cs="Calibri"/>
          <w:sz w:val="22"/>
          <w:szCs w:val="22"/>
        </w:rPr>
        <w:t>, de 27 de maio de 20</w:t>
      </w:r>
      <w:r w:rsidRPr="002E2B5B">
        <w:rPr>
          <w:rFonts w:ascii="Calibri" w:hAnsi="Calibri" w:cs="Calibri"/>
          <w:sz w:val="22"/>
          <w:szCs w:val="22"/>
        </w:rPr>
        <w:t>09;</w:t>
      </w:r>
    </w:p>
    <w:p w14:paraId="18F23962" w14:textId="0BE00906" w:rsidR="009B67A2" w:rsidRPr="004759D4" w:rsidRDefault="009B67A2" w:rsidP="00937ED9">
      <w:pPr>
        <w:numPr>
          <w:ilvl w:val="0"/>
          <w:numId w:val="32"/>
        </w:numPr>
        <w:spacing w:after="120"/>
        <w:ind w:left="714" w:hanging="357"/>
        <w:jc w:val="both"/>
        <w:rPr>
          <w:rFonts w:ascii="Calibri" w:hAnsi="Calibri" w:cs="Calibri"/>
          <w:sz w:val="22"/>
          <w:szCs w:val="22"/>
        </w:rPr>
      </w:pPr>
      <w:r w:rsidRPr="004759D4">
        <w:rPr>
          <w:rFonts w:ascii="Calibri" w:hAnsi="Calibri" w:cs="Calibri"/>
          <w:sz w:val="22"/>
          <w:szCs w:val="22"/>
        </w:rPr>
        <w:t xml:space="preserve">Os registros contábeis da empresa são realizados por meio do Sistema Integrado de Administração Financeira do Governo Federal (SIAFI) conforme as normas aplicadas </w:t>
      </w:r>
      <w:r w:rsidR="00B64DBB" w:rsidRPr="004759D4">
        <w:rPr>
          <w:rFonts w:ascii="Calibri" w:hAnsi="Calibri" w:cs="Calibri"/>
          <w:sz w:val="22"/>
          <w:szCs w:val="22"/>
        </w:rPr>
        <w:t>à</w:t>
      </w:r>
      <w:r w:rsidRPr="004759D4">
        <w:rPr>
          <w:rFonts w:ascii="Calibri" w:hAnsi="Calibri" w:cs="Calibri"/>
          <w:sz w:val="22"/>
          <w:szCs w:val="22"/>
        </w:rPr>
        <w:t xml:space="preserve"> contabilidade do Setor Público e, posteriormente, são conciliados para atender às normas aplicadas à Contabilidade Societária. A conciliação é realizada “off-book”, por meio de planilhas de </w:t>
      </w:r>
      <w:r w:rsidR="00B64DBB" w:rsidRPr="004759D4">
        <w:rPr>
          <w:rFonts w:ascii="Calibri" w:hAnsi="Calibri" w:cs="Calibri"/>
          <w:sz w:val="22"/>
          <w:szCs w:val="22"/>
        </w:rPr>
        <w:t>E</w:t>
      </w:r>
      <w:r w:rsidRPr="004759D4">
        <w:rPr>
          <w:rFonts w:ascii="Calibri" w:hAnsi="Calibri" w:cs="Calibri"/>
          <w:sz w:val="22"/>
          <w:szCs w:val="22"/>
        </w:rPr>
        <w:t>xcel</w:t>
      </w:r>
      <w:r w:rsidR="00B64DBB" w:rsidRPr="004759D4">
        <w:rPr>
          <w:rFonts w:ascii="Calibri" w:hAnsi="Calibri" w:cs="Calibri"/>
          <w:sz w:val="22"/>
          <w:szCs w:val="22"/>
        </w:rPr>
        <w:t xml:space="preserve"> e são </w:t>
      </w:r>
      <w:r w:rsidRPr="004759D4">
        <w:rPr>
          <w:rFonts w:ascii="Calibri" w:hAnsi="Calibri" w:cs="Calibri"/>
          <w:sz w:val="22"/>
          <w:szCs w:val="22"/>
        </w:rPr>
        <w:t xml:space="preserve">necessárias devido </w:t>
      </w:r>
      <w:r w:rsidR="00B64DBB" w:rsidRPr="004759D4">
        <w:rPr>
          <w:rFonts w:ascii="Calibri" w:hAnsi="Calibri" w:cs="Calibri"/>
          <w:sz w:val="22"/>
          <w:szCs w:val="22"/>
        </w:rPr>
        <w:t>às</w:t>
      </w:r>
      <w:r w:rsidRPr="004759D4">
        <w:rPr>
          <w:rFonts w:ascii="Calibri" w:hAnsi="Calibri" w:cs="Calibri"/>
          <w:sz w:val="22"/>
          <w:szCs w:val="22"/>
        </w:rPr>
        <w:t xml:space="preserve"> diferenças temporais e </w:t>
      </w:r>
      <w:r w:rsidR="00B64DBB" w:rsidRPr="004759D4">
        <w:rPr>
          <w:rFonts w:ascii="Calibri" w:hAnsi="Calibri" w:cs="Calibri"/>
          <w:sz w:val="22"/>
          <w:szCs w:val="22"/>
        </w:rPr>
        <w:t>normativas</w:t>
      </w:r>
      <w:r w:rsidRPr="004759D4">
        <w:rPr>
          <w:rFonts w:ascii="Calibri" w:hAnsi="Calibri" w:cs="Calibri"/>
          <w:sz w:val="22"/>
          <w:szCs w:val="22"/>
        </w:rPr>
        <w:t xml:space="preserve"> </w:t>
      </w:r>
      <w:r w:rsidR="00B64DBB" w:rsidRPr="004759D4">
        <w:rPr>
          <w:rFonts w:ascii="Calibri" w:hAnsi="Calibri" w:cs="Calibri"/>
          <w:sz w:val="22"/>
          <w:szCs w:val="22"/>
        </w:rPr>
        <w:t>entre contabilidade pública e societária</w:t>
      </w:r>
      <w:r w:rsidR="004759D4" w:rsidRPr="004759D4">
        <w:rPr>
          <w:rFonts w:ascii="Calibri" w:hAnsi="Calibri" w:cs="Calibri"/>
          <w:sz w:val="22"/>
          <w:szCs w:val="22"/>
        </w:rPr>
        <w:t>;</w:t>
      </w:r>
    </w:p>
    <w:p w14:paraId="620D5DF1" w14:textId="159802D1" w:rsidR="00356063" w:rsidRPr="00B80638" w:rsidRDefault="00356063" w:rsidP="00937ED9">
      <w:pPr>
        <w:numPr>
          <w:ilvl w:val="0"/>
          <w:numId w:val="32"/>
        </w:numPr>
        <w:spacing w:after="120"/>
        <w:ind w:left="714" w:hanging="357"/>
        <w:jc w:val="both"/>
        <w:rPr>
          <w:rFonts w:ascii="Calibri" w:hAnsi="Calibri" w:cs="Calibri"/>
          <w:sz w:val="22"/>
          <w:szCs w:val="22"/>
        </w:rPr>
      </w:pPr>
      <w:r w:rsidRPr="00B80638">
        <w:rPr>
          <w:rFonts w:ascii="Calibri" w:hAnsi="Calibri" w:cs="Calibri"/>
          <w:sz w:val="22"/>
          <w:szCs w:val="22"/>
        </w:rPr>
        <w:t>As receitas e despesas são apropriadas pelo regime de competência, observando-se o critério de liquidez e natureza financeira, incluindo os efeitos das variações monetárias computados sobre ativos e passivos indexados;</w:t>
      </w:r>
    </w:p>
    <w:p w14:paraId="35D9C064" w14:textId="77777777" w:rsidR="0026417F" w:rsidRPr="002E2B5B" w:rsidRDefault="00356063" w:rsidP="00937ED9">
      <w:pPr>
        <w:numPr>
          <w:ilvl w:val="0"/>
          <w:numId w:val="32"/>
        </w:numPr>
        <w:spacing w:after="120"/>
        <w:ind w:left="714" w:hanging="357"/>
        <w:jc w:val="both"/>
        <w:rPr>
          <w:rFonts w:ascii="Calibri" w:hAnsi="Calibri" w:cs="Calibri"/>
          <w:sz w:val="22"/>
          <w:szCs w:val="22"/>
        </w:rPr>
      </w:pPr>
      <w:r w:rsidRPr="002E2B5B">
        <w:rPr>
          <w:rFonts w:ascii="Calibri" w:hAnsi="Calibri" w:cs="Calibri"/>
          <w:sz w:val="22"/>
          <w:szCs w:val="22"/>
        </w:rPr>
        <w:t xml:space="preserve">Os ativos </w:t>
      </w:r>
      <w:r w:rsidR="00341FD7" w:rsidRPr="002E2B5B">
        <w:rPr>
          <w:rFonts w:ascii="Calibri" w:hAnsi="Calibri" w:cs="Calibri"/>
          <w:sz w:val="22"/>
          <w:szCs w:val="22"/>
        </w:rPr>
        <w:t>circulantes</w:t>
      </w:r>
      <w:r w:rsidR="0026417F" w:rsidRPr="002E2B5B">
        <w:rPr>
          <w:rFonts w:ascii="Calibri" w:hAnsi="Calibri" w:cs="Calibri"/>
          <w:sz w:val="22"/>
          <w:szCs w:val="22"/>
        </w:rPr>
        <w:t xml:space="preserve"> e realiz</w:t>
      </w:r>
      <w:r w:rsidR="00092D86" w:rsidRPr="002E2B5B">
        <w:rPr>
          <w:rFonts w:ascii="Calibri" w:hAnsi="Calibri" w:cs="Calibri"/>
          <w:sz w:val="22"/>
          <w:szCs w:val="22"/>
        </w:rPr>
        <w:t>áve</w:t>
      </w:r>
      <w:r w:rsidR="00464FF8" w:rsidRPr="002E2B5B">
        <w:rPr>
          <w:rFonts w:ascii="Calibri" w:hAnsi="Calibri" w:cs="Calibri"/>
          <w:sz w:val="22"/>
          <w:szCs w:val="22"/>
        </w:rPr>
        <w:t>is</w:t>
      </w:r>
      <w:r w:rsidR="00092D86" w:rsidRPr="002E2B5B">
        <w:rPr>
          <w:rFonts w:ascii="Calibri" w:hAnsi="Calibri" w:cs="Calibri"/>
          <w:sz w:val="22"/>
          <w:szCs w:val="22"/>
        </w:rPr>
        <w:t xml:space="preserve"> a longo prazo</w:t>
      </w:r>
      <w:r w:rsidR="00341FD7" w:rsidRPr="002E2B5B">
        <w:rPr>
          <w:rFonts w:ascii="Calibri" w:hAnsi="Calibri" w:cs="Calibri"/>
          <w:sz w:val="22"/>
          <w:szCs w:val="22"/>
        </w:rPr>
        <w:t xml:space="preserve"> </w:t>
      </w:r>
      <w:r w:rsidRPr="002E2B5B">
        <w:rPr>
          <w:rFonts w:ascii="Calibri" w:hAnsi="Calibri" w:cs="Calibri"/>
          <w:sz w:val="22"/>
          <w:szCs w:val="22"/>
        </w:rPr>
        <w:t>são demonstrados pelos valores de realização</w:t>
      </w:r>
      <w:r w:rsidR="00341FD7" w:rsidRPr="002E2B5B">
        <w:rPr>
          <w:rFonts w:ascii="Calibri" w:hAnsi="Calibri" w:cs="Calibri"/>
          <w:sz w:val="22"/>
          <w:szCs w:val="22"/>
        </w:rPr>
        <w:t xml:space="preserve"> e</w:t>
      </w:r>
      <w:r w:rsidRPr="002E2B5B">
        <w:rPr>
          <w:rFonts w:ascii="Calibri" w:hAnsi="Calibri" w:cs="Calibri"/>
          <w:sz w:val="22"/>
          <w:szCs w:val="22"/>
        </w:rPr>
        <w:t xml:space="preserve"> os passivos </w:t>
      </w:r>
      <w:r w:rsidR="00341FD7" w:rsidRPr="002E2B5B">
        <w:rPr>
          <w:rFonts w:ascii="Calibri" w:hAnsi="Calibri" w:cs="Calibri"/>
          <w:sz w:val="22"/>
          <w:szCs w:val="22"/>
        </w:rPr>
        <w:t>circulantes</w:t>
      </w:r>
      <w:r w:rsidR="00092D86" w:rsidRPr="002E2B5B">
        <w:rPr>
          <w:rFonts w:ascii="Calibri" w:hAnsi="Calibri" w:cs="Calibri"/>
          <w:sz w:val="22"/>
          <w:szCs w:val="22"/>
        </w:rPr>
        <w:t xml:space="preserve"> e não circulantes</w:t>
      </w:r>
      <w:r w:rsidR="00341FD7" w:rsidRPr="002E2B5B">
        <w:rPr>
          <w:rFonts w:ascii="Calibri" w:hAnsi="Calibri" w:cs="Calibri"/>
          <w:sz w:val="22"/>
          <w:szCs w:val="22"/>
        </w:rPr>
        <w:t xml:space="preserve">, </w:t>
      </w:r>
      <w:r w:rsidRPr="002E2B5B">
        <w:rPr>
          <w:rFonts w:ascii="Calibri" w:hAnsi="Calibri" w:cs="Calibri"/>
          <w:sz w:val="22"/>
          <w:szCs w:val="22"/>
        </w:rPr>
        <w:t>pelos valores conhecidos ou calculáveis, incluindo quando aplicáveis os rendimentos e/ou encargos correspondentes, calculados a índices ou taxas oficiais, bem como, os efeitos de ajustes de ativo para valor de mercado ou de realização</w:t>
      </w:r>
      <w:r w:rsidR="0026417F" w:rsidRPr="002E2B5B">
        <w:rPr>
          <w:rFonts w:ascii="Calibri" w:hAnsi="Calibri" w:cs="Calibri"/>
          <w:sz w:val="22"/>
          <w:szCs w:val="22"/>
        </w:rPr>
        <w:t>;</w:t>
      </w:r>
      <w:r w:rsidRPr="002E2B5B">
        <w:rPr>
          <w:rFonts w:ascii="Calibri" w:hAnsi="Calibri" w:cs="Calibri"/>
          <w:sz w:val="22"/>
          <w:szCs w:val="22"/>
        </w:rPr>
        <w:t xml:space="preserve"> </w:t>
      </w:r>
    </w:p>
    <w:p w14:paraId="7DB68DFF" w14:textId="09298F2F" w:rsidR="00356063" w:rsidRPr="00B23D01" w:rsidRDefault="00356063"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 xml:space="preserve">O ativo imobilizado </w:t>
      </w:r>
      <w:r w:rsidR="009F6D22" w:rsidRPr="002E2B5B">
        <w:rPr>
          <w:rFonts w:ascii="Calibri" w:hAnsi="Calibri" w:cs="Calibri"/>
          <w:sz w:val="22"/>
          <w:szCs w:val="22"/>
        </w:rPr>
        <w:t>é</w:t>
      </w:r>
      <w:r w:rsidRPr="002E2B5B">
        <w:rPr>
          <w:rFonts w:ascii="Calibri" w:hAnsi="Calibri" w:cs="Calibri"/>
          <w:sz w:val="22"/>
          <w:szCs w:val="22"/>
        </w:rPr>
        <w:t xml:space="preserve"> reconhecid</w:t>
      </w:r>
      <w:r w:rsidR="009F6D22" w:rsidRPr="002E2B5B">
        <w:rPr>
          <w:rFonts w:ascii="Calibri" w:hAnsi="Calibri" w:cs="Calibri"/>
          <w:sz w:val="22"/>
          <w:szCs w:val="22"/>
        </w:rPr>
        <w:t>o</w:t>
      </w:r>
      <w:r w:rsidRPr="002E2B5B">
        <w:rPr>
          <w:rFonts w:ascii="Calibri" w:hAnsi="Calibri" w:cs="Calibri"/>
          <w:sz w:val="22"/>
          <w:szCs w:val="22"/>
        </w:rPr>
        <w:t xml:space="preserve"> pelo custo de aquisição deduzido das respectivas depreciações acumuladas, calculadas pelo método linear de acordo com a vida útil estimada dos bens, </w:t>
      </w:r>
      <w:r w:rsidRPr="00750CA7">
        <w:rPr>
          <w:rFonts w:ascii="Calibri" w:hAnsi="Calibri" w:cs="Calibri"/>
          <w:sz w:val="22"/>
          <w:szCs w:val="22"/>
        </w:rPr>
        <w:t xml:space="preserve">conforme </w:t>
      </w:r>
      <w:r w:rsidR="002E3C51" w:rsidRPr="00572476">
        <w:rPr>
          <w:rFonts w:ascii="Calibri" w:hAnsi="Calibri" w:cs="Calibri"/>
          <w:sz w:val="22"/>
          <w:szCs w:val="22"/>
        </w:rPr>
        <w:t xml:space="preserve">Nota </w:t>
      </w:r>
      <w:r w:rsidR="00572476" w:rsidRPr="00572476">
        <w:rPr>
          <w:rFonts w:ascii="Calibri" w:hAnsi="Calibri" w:cs="Calibri"/>
          <w:sz w:val="22"/>
          <w:szCs w:val="22"/>
        </w:rPr>
        <w:t>9</w:t>
      </w:r>
      <w:r w:rsidR="00882107" w:rsidRPr="00572476">
        <w:rPr>
          <w:rFonts w:ascii="Calibri" w:hAnsi="Calibri" w:cs="Calibri"/>
          <w:sz w:val="22"/>
          <w:szCs w:val="22"/>
        </w:rPr>
        <w:t>;</w:t>
      </w:r>
    </w:p>
    <w:p w14:paraId="5F726F63" w14:textId="1B200AAE" w:rsidR="00163A22" w:rsidRPr="00750CA7" w:rsidRDefault="00D45E93" w:rsidP="00937ED9">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t xml:space="preserve">Após análise do valor recuperável pela </w:t>
      </w:r>
      <w:r w:rsidR="00D60F6A">
        <w:rPr>
          <w:rFonts w:ascii="Calibri" w:hAnsi="Calibri" w:cs="Calibri"/>
          <w:sz w:val="22"/>
          <w:szCs w:val="22"/>
        </w:rPr>
        <w:t>Infra</w:t>
      </w:r>
      <w:r w:rsidR="00B406C5">
        <w:rPr>
          <w:rFonts w:ascii="Calibri" w:hAnsi="Calibri" w:cs="Calibri"/>
          <w:sz w:val="22"/>
          <w:szCs w:val="22"/>
        </w:rPr>
        <w:t xml:space="preserve"> S.A.</w:t>
      </w:r>
      <w:r w:rsidRPr="00750CA7">
        <w:rPr>
          <w:rFonts w:ascii="Calibri" w:hAnsi="Calibri" w:cs="Calibri"/>
          <w:sz w:val="22"/>
          <w:szCs w:val="22"/>
        </w:rPr>
        <w:t xml:space="preserve"> referente à Ferrovia Norte Sul já subconcedida pelo período de 30 anos, foi realizad</w:t>
      </w:r>
      <w:r w:rsidR="009F6D22" w:rsidRPr="00750CA7">
        <w:rPr>
          <w:rFonts w:ascii="Calibri" w:hAnsi="Calibri" w:cs="Calibri"/>
          <w:sz w:val="22"/>
          <w:szCs w:val="22"/>
        </w:rPr>
        <w:t>o</w:t>
      </w:r>
      <w:r w:rsidRPr="00750CA7">
        <w:rPr>
          <w:rFonts w:ascii="Calibri" w:hAnsi="Calibri" w:cs="Calibri"/>
          <w:sz w:val="22"/>
          <w:szCs w:val="22"/>
        </w:rPr>
        <w:t xml:space="preserve"> o reconhecimento d</w:t>
      </w:r>
      <w:r w:rsidR="00C47374" w:rsidRPr="00750CA7">
        <w:rPr>
          <w:rFonts w:ascii="Calibri" w:hAnsi="Calibri" w:cs="Calibri"/>
          <w:sz w:val="22"/>
          <w:szCs w:val="22"/>
        </w:rPr>
        <w:t xml:space="preserve">a provisão de perda ao valor recuperável </w:t>
      </w:r>
      <w:r w:rsidRPr="00750CA7">
        <w:rPr>
          <w:rFonts w:ascii="Calibri" w:hAnsi="Calibri" w:cs="Calibri"/>
          <w:sz w:val="22"/>
          <w:szCs w:val="22"/>
        </w:rPr>
        <w:t>no ativo imobilizado da empresa, em consonância com o CPC – 01 (R1) – Redução ao Valor Recuperável de Ativos</w:t>
      </w:r>
      <w:r w:rsidR="00750CA7" w:rsidRPr="00750CA7">
        <w:rPr>
          <w:rFonts w:ascii="Calibri" w:hAnsi="Calibri" w:cs="Calibri"/>
          <w:sz w:val="22"/>
          <w:szCs w:val="22"/>
        </w:rPr>
        <w:t>;</w:t>
      </w:r>
    </w:p>
    <w:p w14:paraId="44281DA1" w14:textId="5B6F8423" w:rsidR="009F6D22" w:rsidRDefault="009F6D22" w:rsidP="00937ED9">
      <w:pPr>
        <w:numPr>
          <w:ilvl w:val="0"/>
          <w:numId w:val="32"/>
        </w:numPr>
        <w:autoSpaceDE w:val="0"/>
        <w:autoSpaceDN w:val="0"/>
        <w:spacing w:after="120"/>
        <w:ind w:left="714" w:hanging="357"/>
        <w:jc w:val="both"/>
        <w:rPr>
          <w:rFonts w:ascii="Calibri" w:hAnsi="Calibri" w:cs="Calibri"/>
          <w:sz w:val="22"/>
          <w:szCs w:val="22"/>
        </w:rPr>
      </w:pPr>
      <w:r w:rsidRPr="00750CA7">
        <w:rPr>
          <w:rFonts w:ascii="Calibri" w:hAnsi="Calibri" w:cs="Calibri"/>
          <w:sz w:val="22"/>
          <w:szCs w:val="22"/>
        </w:rPr>
        <w:t xml:space="preserve">Após o Leilão para Subconcessão do Trecho da Ferrovia de Integração Oeste Leste, denominado FIOL I, foi realizada a análise do valor recuperável de ativos e reconhecida </w:t>
      </w:r>
      <w:r w:rsidR="00C47374" w:rsidRPr="00750CA7">
        <w:rPr>
          <w:rFonts w:ascii="Calibri" w:hAnsi="Calibri" w:cs="Calibri"/>
          <w:sz w:val="22"/>
          <w:szCs w:val="22"/>
        </w:rPr>
        <w:t xml:space="preserve">provisão de perda ao valor recuperável </w:t>
      </w:r>
      <w:r w:rsidRPr="00750CA7">
        <w:rPr>
          <w:rFonts w:ascii="Calibri" w:hAnsi="Calibri" w:cs="Calibri"/>
          <w:sz w:val="22"/>
          <w:szCs w:val="22"/>
        </w:rPr>
        <w:t>no ativo imobilizado da empresa, em consonância com o CPC – 01 (R1) – Redução ao Valor Recuperável de Ativos</w:t>
      </w:r>
      <w:r w:rsidR="00C47374" w:rsidRPr="00750CA7">
        <w:rPr>
          <w:rFonts w:ascii="Calibri" w:hAnsi="Calibri" w:cs="Calibri"/>
          <w:sz w:val="22"/>
          <w:szCs w:val="22"/>
        </w:rPr>
        <w:t>;</w:t>
      </w:r>
    </w:p>
    <w:p w14:paraId="602D068F" w14:textId="02FCCBBE" w:rsidR="007074D2" w:rsidRPr="00425FC3" w:rsidRDefault="007074D2" w:rsidP="00937ED9">
      <w:pPr>
        <w:numPr>
          <w:ilvl w:val="0"/>
          <w:numId w:val="32"/>
        </w:numPr>
        <w:autoSpaceDE w:val="0"/>
        <w:autoSpaceDN w:val="0"/>
        <w:spacing w:after="120"/>
        <w:ind w:left="714" w:hanging="357"/>
        <w:jc w:val="both"/>
        <w:rPr>
          <w:rFonts w:ascii="Calibri" w:hAnsi="Calibri" w:cs="Calibri"/>
          <w:sz w:val="22"/>
          <w:szCs w:val="22"/>
        </w:rPr>
      </w:pPr>
      <w:r w:rsidRPr="00425FC3">
        <w:rPr>
          <w:rFonts w:ascii="Calibri" w:hAnsi="Calibri" w:cs="Calibri"/>
          <w:sz w:val="22"/>
          <w:szCs w:val="22"/>
        </w:rPr>
        <w:t xml:space="preserve">As demonstrações contábeis de 2019 e 2020 foram aprovadas em Assembleia Geral Ordinária em agosto e outubro de 2021, respectivamente. Assim, os </w:t>
      </w:r>
      <w:r w:rsidR="000F4B0D" w:rsidRPr="00425FC3">
        <w:rPr>
          <w:rFonts w:ascii="Calibri" w:hAnsi="Calibri" w:cs="Calibri"/>
          <w:sz w:val="22"/>
          <w:szCs w:val="22"/>
        </w:rPr>
        <w:t xml:space="preserve">efeitos dos testes de recuperabilidade da Ferrovia Norte e Sul e da Ferrovia de Integração Oeste Leste foram reconhecidos ainda nas demonstrações de 2019 e 2020. </w:t>
      </w:r>
      <w:r w:rsidR="00425FC3" w:rsidRPr="00425FC3">
        <w:rPr>
          <w:rFonts w:ascii="Calibri" w:hAnsi="Calibri" w:cs="Calibri"/>
          <w:sz w:val="22"/>
          <w:szCs w:val="22"/>
        </w:rPr>
        <w:t>N</w:t>
      </w:r>
      <w:r w:rsidR="000F4B0D" w:rsidRPr="00425FC3">
        <w:rPr>
          <w:rFonts w:ascii="Calibri" w:hAnsi="Calibri" w:cs="Calibri"/>
          <w:sz w:val="22"/>
          <w:szCs w:val="22"/>
        </w:rPr>
        <w:t xml:space="preserve">o exercício de 2021, </w:t>
      </w:r>
      <w:r w:rsidR="00D279E3" w:rsidRPr="00425FC3">
        <w:rPr>
          <w:rFonts w:ascii="Calibri" w:hAnsi="Calibri" w:cs="Calibri"/>
          <w:sz w:val="22"/>
          <w:szCs w:val="22"/>
        </w:rPr>
        <w:t>foram</w:t>
      </w:r>
      <w:r w:rsidR="000F4B0D" w:rsidRPr="00425FC3">
        <w:rPr>
          <w:rFonts w:ascii="Calibri" w:hAnsi="Calibri" w:cs="Calibri"/>
          <w:sz w:val="22"/>
          <w:szCs w:val="22"/>
        </w:rPr>
        <w:t xml:space="preserve"> efetuados novos testes de recuperabilidade e os respectivos efeitos </w:t>
      </w:r>
      <w:r w:rsidR="00D279E3" w:rsidRPr="00425FC3">
        <w:rPr>
          <w:rFonts w:ascii="Calibri" w:hAnsi="Calibri" w:cs="Calibri"/>
          <w:sz w:val="22"/>
          <w:szCs w:val="22"/>
        </w:rPr>
        <w:t>foram</w:t>
      </w:r>
      <w:r w:rsidR="000F4B0D" w:rsidRPr="00425FC3">
        <w:rPr>
          <w:rFonts w:ascii="Calibri" w:hAnsi="Calibri" w:cs="Calibri"/>
          <w:sz w:val="22"/>
          <w:szCs w:val="22"/>
        </w:rPr>
        <w:t xml:space="preserve"> reconhecidos nas demonstrações contábeis;</w:t>
      </w:r>
    </w:p>
    <w:p w14:paraId="377AEB79" w14:textId="12023101" w:rsidR="00356063" w:rsidRPr="00F20DF9" w:rsidRDefault="00356063" w:rsidP="00937ED9">
      <w:pPr>
        <w:numPr>
          <w:ilvl w:val="0"/>
          <w:numId w:val="32"/>
        </w:numPr>
        <w:autoSpaceDE w:val="0"/>
        <w:autoSpaceDN w:val="0"/>
        <w:spacing w:after="120"/>
        <w:ind w:left="714" w:hanging="357"/>
        <w:jc w:val="both"/>
        <w:rPr>
          <w:rFonts w:ascii="Calibri" w:hAnsi="Calibri" w:cs="Calibri"/>
          <w:sz w:val="22"/>
          <w:szCs w:val="22"/>
        </w:rPr>
      </w:pPr>
      <w:r w:rsidRPr="002E2B5B">
        <w:rPr>
          <w:rFonts w:ascii="Calibri" w:hAnsi="Calibri" w:cs="Calibri"/>
          <w:sz w:val="22"/>
          <w:szCs w:val="22"/>
        </w:rPr>
        <w:t>O ativo intangível composto por direito de uso</w:t>
      </w:r>
      <w:r w:rsidR="00237B51">
        <w:rPr>
          <w:rFonts w:ascii="Calibri" w:hAnsi="Calibri" w:cs="Calibri"/>
          <w:sz w:val="22"/>
          <w:szCs w:val="22"/>
        </w:rPr>
        <w:t xml:space="preserve"> e</w:t>
      </w:r>
      <w:r w:rsidRPr="002E2B5B">
        <w:rPr>
          <w:rFonts w:ascii="Calibri" w:hAnsi="Calibri" w:cs="Calibri"/>
          <w:sz w:val="22"/>
          <w:szCs w:val="22"/>
        </w:rPr>
        <w:t xml:space="preserve"> programas de software</w:t>
      </w:r>
      <w:r w:rsidR="00237B51">
        <w:rPr>
          <w:rFonts w:ascii="Calibri" w:hAnsi="Calibri" w:cs="Calibri"/>
          <w:sz w:val="22"/>
          <w:szCs w:val="22"/>
        </w:rPr>
        <w:t xml:space="preserve">, </w:t>
      </w:r>
      <w:r w:rsidR="00F34D29" w:rsidRPr="00572476">
        <w:rPr>
          <w:rFonts w:ascii="Calibri" w:hAnsi="Calibri" w:cs="Calibri"/>
          <w:sz w:val="22"/>
          <w:szCs w:val="22"/>
        </w:rPr>
        <w:t xml:space="preserve">conforme </w:t>
      </w:r>
      <w:r w:rsidR="002E3C51" w:rsidRPr="00572476">
        <w:rPr>
          <w:rFonts w:ascii="Calibri" w:hAnsi="Calibri" w:cs="Calibri"/>
          <w:sz w:val="22"/>
          <w:szCs w:val="22"/>
        </w:rPr>
        <w:t xml:space="preserve">Nota </w:t>
      </w:r>
      <w:r w:rsidR="00572476" w:rsidRPr="00572476">
        <w:rPr>
          <w:rFonts w:ascii="Calibri" w:hAnsi="Calibri" w:cs="Calibri"/>
          <w:sz w:val="22"/>
          <w:szCs w:val="22"/>
        </w:rPr>
        <w:t>10</w:t>
      </w:r>
      <w:r w:rsidRPr="00572476">
        <w:rPr>
          <w:rFonts w:ascii="Calibri" w:hAnsi="Calibri" w:cs="Calibri"/>
          <w:sz w:val="22"/>
          <w:szCs w:val="22"/>
        </w:rPr>
        <w:t>, é demonstrado</w:t>
      </w:r>
      <w:r w:rsidRPr="00B23D01">
        <w:rPr>
          <w:rFonts w:ascii="Calibri" w:hAnsi="Calibri" w:cs="Calibri"/>
          <w:sz w:val="22"/>
          <w:szCs w:val="22"/>
        </w:rPr>
        <w:t xml:space="preserve"> pelo custo de aquisição deduzido das respectivas amortizações acumuladas, calculadas pelo método linear de </w:t>
      </w:r>
      <w:r w:rsidRPr="00F20DF9">
        <w:rPr>
          <w:rFonts w:ascii="Calibri" w:hAnsi="Calibri" w:cs="Calibri"/>
          <w:sz w:val="22"/>
          <w:szCs w:val="22"/>
        </w:rPr>
        <w:t>acordo com a legislação e devem ser</w:t>
      </w:r>
      <w:r w:rsidR="000D74D4" w:rsidRPr="00F20DF9">
        <w:rPr>
          <w:rFonts w:ascii="Calibri" w:hAnsi="Calibri" w:cs="Calibri"/>
          <w:sz w:val="22"/>
          <w:szCs w:val="22"/>
        </w:rPr>
        <w:t xml:space="preserve"> mantidas neste grupo até a </w:t>
      </w:r>
      <w:r w:rsidRPr="00F20DF9">
        <w:rPr>
          <w:rFonts w:ascii="Calibri" w:hAnsi="Calibri" w:cs="Calibri"/>
          <w:sz w:val="22"/>
          <w:szCs w:val="22"/>
        </w:rPr>
        <w:t>efetiva baixa</w:t>
      </w:r>
      <w:r w:rsidR="00237B51">
        <w:rPr>
          <w:rFonts w:ascii="Calibri" w:hAnsi="Calibri" w:cs="Calibri"/>
          <w:sz w:val="22"/>
          <w:szCs w:val="22"/>
        </w:rPr>
        <w:t xml:space="preserve">. Além disso também são registrados nessa rubrica </w:t>
      </w:r>
      <w:r w:rsidR="00237B51" w:rsidRPr="00237B51">
        <w:rPr>
          <w:rFonts w:ascii="Calibri" w:hAnsi="Calibri" w:cs="Calibri"/>
          <w:sz w:val="22"/>
          <w:szCs w:val="22"/>
        </w:rPr>
        <w:t>os estudos e projetos em andamento, advindos da incorporação da EPL</w:t>
      </w:r>
      <w:r w:rsidR="00237B51">
        <w:rPr>
          <w:rFonts w:ascii="Calibri" w:hAnsi="Calibri" w:cs="Calibri"/>
          <w:sz w:val="22"/>
          <w:szCs w:val="22"/>
        </w:rPr>
        <w:t>; e</w:t>
      </w:r>
    </w:p>
    <w:p w14:paraId="33CCA8FB" w14:textId="19169A7F" w:rsidR="004B5BEE" w:rsidRPr="003B2ACE" w:rsidRDefault="00356063" w:rsidP="003B2ACE">
      <w:pPr>
        <w:numPr>
          <w:ilvl w:val="0"/>
          <w:numId w:val="32"/>
        </w:numPr>
        <w:autoSpaceDE w:val="0"/>
        <w:autoSpaceDN w:val="0"/>
        <w:spacing w:after="120"/>
        <w:ind w:left="714" w:hanging="357"/>
        <w:jc w:val="both"/>
        <w:rPr>
          <w:rFonts w:ascii="Calibri" w:hAnsi="Calibri" w:cs="Calibri"/>
          <w:sz w:val="22"/>
          <w:szCs w:val="22"/>
        </w:rPr>
      </w:pPr>
      <w:r w:rsidRPr="00F20DF9">
        <w:rPr>
          <w:rFonts w:ascii="Calibri" w:hAnsi="Calibri" w:cs="Calibri"/>
          <w:sz w:val="22"/>
          <w:szCs w:val="22"/>
        </w:rPr>
        <w:t xml:space="preserve">As provisões para contingências </w:t>
      </w:r>
      <w:r w:rsidR="000D74D4" w:rsidRPr="00F20DF9">
        <w:rPr>
          <w:rFonts w:ascii="Calibri" w:hAnsi="Calibri" w:cs="Calibri"/>
          <w:sz w:val="22"/>
          <w:szCs w:val="22"/>
        </w:rPr>
        <w:t>são contabilizadas,</w:t>
      </w:r>
      <w:r w:rsidRPr="00F20DF9">
        <w:rPr>
          <w:rFonts w:ascii="Calibri" w:hAnsi="Calibri" w:cs="Calibri"/>
          <w:sz w:val="22"/>
          <w:szCs w:val="22"/>
        </w:rPr>
        <w:t xml:space="preserve"> com base na </w:t>
      </w:r>
      <w:r w:rsidR="00341FD7" w:rsidRPr="00F20DF9">
        <w:rPr>
          <w:rFonts w:ascii="Calibri" w:hAnsi="Calibri" w:cs="Calibri"/>
          <w:sz w:val="22"/>
          <w:szCs w:val="22"/>
        </w:rPr>
        <w:t xml:space="preserve">posição </w:t>
      </w:r>
      <w:r w:rsidRPr="00F20DF9">
        <w:rPr>
          <w:rFonts w:ascii="Calibri" w:hAnsi="Calibri" w:cs="Calibri"/>
          <w:sz w:val="22"/>
          <w:szCs w:val="22"/>
        </w:rPr>
        <w:t xml:space="preserve">da </w:t>
      </w:r>
      <w:r w:rsidR="00FA0D6A" w:rsidRPr="00F20DF9">
        <w:rPr>
          <w:rFonts w:ascii="Calibri" w:hAnsi="Calibri" w:cs="Calibri"/>
          <w:sz w:val="22"/>
          <w:szCs w:val="22"/>
        </w:rPr>
        <w:t>Procuradoria</w:t>
      </w:r>
      <w:r w:rsidRPr="00F20DF9">
        <w:rPr>
          <w:rFonts w:ascii="Calibri" w:hAnsi="Calibri" w:cs="Calibri"/>
          <w:sz w:val="22"/>
          <w:szCs w:val="22"/>
        </w:rPr>
        <w:t xml:space="preserve"> Jurídica</w:t>
      </w:r>
      <w:r w:rsidR="00341FD7" w:rsidRPr="00F20DF9">
        <w:rPr>
          <w:rFonts w:ascii="Calibri" w:hAnsi="Calibri" w:cs="Calibri"/>
          <w:sz w:val="22"/>
          <w:szCs w:val="22"/>
        </w:rPr>
        <w:t xml:space="preserve">, a qual é formulada </w:t>
      </w:r>
      <w:r w:rsidR="00412855" w:rsidRPr="00F20DF9">
        <w:rPr>
          <w:rFonts w:ascii="Calibri" w:hAnsi="Calibri" w:cs="Calibri"/>
          <w:sz w:val="22"/>
          <w:szCs w:val="22"/>
        </w:rPr>
        <w:t>na análise técnica individual dos advogados</w:t>
      </w:r>
      <w:r w:rsidRPr="00F20DF9">
        <w:rPr>
          <w:rFonts w:ascii="Calibri" w:hAnsi="Calibri" w:cs="Calibri"/>
          <w:sz w:val="22"/>
          <w:szCs w:val="22"/>
        </w:rPr>
        <w:t>, quando for considerado provável o risco de perda de uma ação judicial ou administrativa</w:t>
      </w:r>
      <w:r w:rsidR="00A548B5" w:rsidRPr="00F20DF9">
        <w:rPr>
          <w:rFonts w:ascii="Calibri" w:hAnsi="Calibri" w:cs="Calibri"/>
          <w:sz w:val="22"/>
          <w:szCs w:val="22"/>
        </w:rPr>
        <w:t>,</w:t>
      </w:r>
      <w:r w:rsidRPr="00F20DF9">
        <w:rPr>
          <w:rFonts w:ascii="Calibri" w:hAnsi="Calibri" w:cs="Calibri"/>
          <w:sz w:val="22"/>
          <w:szCs w:val="22"/>
        </w:rPr>
        <w:t xml:space="preserve"> e sempre que os montantes envolvidos forem mensuráveis com suficiente segurança</w:t>
      </w:r>
      <w:r w:rsidR="00860A37" w:rsidRPr="00F20DF9">
        <w:rPr>
          <w:rFonts w:ascii="Calibri" w:hAnsi="Calibri" w:cs="Calibri"/>
          <w:sz w:val="22"/>
          <w:szCs w:val="22"/>
        </w:rPr>
        <w:t xml:space="preserve">, </w:t>
      </w:r>
      <w:r w:rsidR="00860A37" w:rsidRPr="00572476">
        <w:rPr>
          <w:rFonts w:ascii="Calibri" w:hAnsi="Calibri" w:cs="Calibri"/>
          <w:sz w:val="22"/>
          <w:szCs w:val="22"/>
        </w:rPr>
        <w:t>conforme Nota 1</w:t>
      </w:r>
      <w:r w:rsidR="00572476">
        <w:rPr>
          <w:rFonts w:ascii="Calibri" w:hAnsi="Calibri" w:cs="Calibri"/>
          <w:sz w:val="22"/>
          <w:szCs w:val="22"/>
        </w:rPr>
        <w:t>2</w:t>
      </w:r>
      <w:r w:rsidR="00860A37" w:rsidRPr="00572476">
        <w:rPr>
          <w:rFonts w:ascii="Calibri" w:hAnsi="Calibri" w:cs="Calibri"/>
          <w:sz w:val="22"/>
          <w:szCs w:val="22"/>
        </w:rPr>
        <w:t>b</w:t>
      </w:r>
      <w:r w:rsidRPr="00572476">
        <w:rPr>
          <w:rFonts w:ascii="Calibri" w:hAnsi="Calibri" w:cs="Calibri"/>
          <w:sz w:val="22"/>
          <w:szCs w:val="22"/>
        </w:rPr>
        <w:t>. As</w:t>
      </w:r>
      <w:r w:rsidRPr="00F20DF9">
        <w:rPr>
          <w:rFonts w:ascii="Calibri" w:hAnsi="Calibri" w:cs="Calibri"/>
          <w:sz w:val="22"/>
          <w:szCs w:val="22"/>
        </w:rPr>
        <w:t xml:space="preserve"> provisões classificadas como perdas possíveis pela </w:t>
      </w:r>
      <w:r w:rsidR="00FA0D6A" w:rsidRPr="00F20DF9">
        <w:rPr>
          <w:rFonts w:ascii="Calibri" w:hAnsi="Calibri" w:cs="Calibri"/>
          <w:sz w:val="22"/>
          <w:szCs w:val="22"/>
        </w:rPr>
        <w:t>Procuradoria</w:t>
      </w:r>
      <w:r w:rsidRPr="00F20DF9">
        <w:rPr>
          <w:rFonts w:ascii="Calibri" w:hAnsi="Calibri" w:cs="Calibri"/>
          <w:sz w:val="22"/>
          <w:szCs w:val="22"/>
        </w:rPr>
        <w:t xml:space="preserve"> Jurídica </w:t>
      </w:r>
      <w:r w:rsidR="002F5633" w:rsidRPr="00F20DF9">
        <w:rPr>
          <w:rFonts w:ascii="Calibri" w:hAnsi="Calibri" w:cs="Calibri"/>
          <w:sz w:val="22"/>
          <w:szCs w:val="22"/>
        </w:rPr>
        <w:t xml:space="preserve">são </w:t>
      </w:r>
      <w:r w:rsidRPr="00F20DF9">
        <w:rPr>
          <w:rFonts w:ascii="Calibri" w:hAnsi="Calibri" w:cs="Calibri"/>
          <w:sz w:val="22"/>
          <w:szCs w:val="22"/>
        </w:rPr>
        <w:t xml:space="preserve">divulgadas com base na perda histórica, enquanto aquelas classificadas como perda remota não são </w:t>
      </w:r>
      <w:r w:rsidRPr="00F20DF9">
        <w:rPr>
          <w:rFonts w:ascii="Calibri" w:hAnsi="Calibri" w:cs="Calibri"/>
          <w:sz w:val="22"/>
          <w:szCs w:val="22"/>
        </w:rPr>
        <w:lastRenderedPageBreak/>
        <w:t xml:space="preserve">passíveis de provisão </w:t>
      </w:r>
      <w:r w:rsidR="00DA710C" w:rsidRPr="00F20DF9">
        <w:rPr>
          <w:rFonts w:ascii="Calibri" w:hAnsi="Calibri" w:cs="Calibri"/>
          <w:sz w:val="22"/>
          <w:szCs w:val="22"/>
        </w:rPr>
        <w:t>e</w:t>
      </w:r>
      <w:r w:rsidR="00F510A3" w:rsidRPr="00F20DF9">
        <w:rPr>
          <w:rFonts w:ascii="Calibri" w:hAnsi="Calibri" w:cs="Calibri"/>
          <w:sz w:val="22"/>
          <w:szCs w:val="22"/>
        </w:rPr>
        <w:t xml:space="preserve"> divulgação</w:t>
      </w:r>
      <w:r w:rsidR="003B2ACE">
        <w:rPr>
          <w:rFonts w:ascii="Calibri" w:hAnsi="Calibri" w:cs="Calibri"/>
          <w:sz w:val="22"/>
          <w:szCs w:val="22"/>
        </w:rPr>
        <w:t xml:space="preserve">, </w:t>
      </w:r>
      <w:r w:rsidR="004B5BEE" w:rsidRPr="003B2ACE">
        <w:rPr>
          <w:rFonts w:ascii="Calibri" w:hAnsi="Calibri" w:cs="Calibri"/>
          <w:sz w:val="22"/>
          <w:szCs w:val="22"/>
        </w:rPr>
        <w:t>atende</w:t>
      </w:r>
      <w:r w:rsidR="003B2ACE">
        <w:rPr>
          <w:rFonts w:ascii="Calibri" w:hAnsi="Calibri" w:cs="Calibri"/>
          <w:sz w:val="22"/>
          <w:szCs w:val="22"/>
        </w:rPr>
        <w:t>ndo ao</w:t>
      </w:r>
      <w:r w:rsidR="004B5BEE" w:rsidRPr="003B2ACE">
        <w:rPr>
          <w:rFonts w:ascii="Calibri" w:hAnsi="Calibri" w:cs="Calibri"/>
          <w:sz w:val="22"/>
          <w:szCs w:val="22"/>
        </w:rPr>
        <w:t xml:space="preserve"> disposto no CPC nº 25</w:t>
      </w:r>
      <w:r w:rsidR="000703BF" w:rsidRPr="003B2ACE">
        <w:rPr>
          <w:rFonts w:ascii="Calibri" w:hAnsi="Calibri" w:cs="Calibri"/>
          <w:sz w:val="22"/>
          <w:szCs w:val="22"/>
        </w:rPr>
        <w:t xml:space="preserve"> – Provisões, </w:t>
      </w:r>
      <w:r w:rsidR="00FA0D6A" w:rsidRPr="003B2ACE">
        <w:rPr>
          <w:rFonts w:ascii="Calibri" w:hAnsi="Calibri" w:cs="Calibri"/>
          <w:sz w:val="22"/>
          <w:szCs w:val="22"/>
        </w:rPr>
        <w:t>P</w:t>
      </w:r>
      <w:r w:rsidR="000703BF" w:rsidRPr="003B2ACE">
        <w:rPr>
          <w:rFonts w:ascii="Calibri" w:hAnsi="Calibri" w:cs="Calibri"/>
          <w:sz w:val="22"/>
          <w:szCs w:val="22"/>
        </w:rPr>
        <w:t>assivos Contingentes e Ativos Contingentes</w:t>
      </w:r>
      <w:r w:rsidR="00237B51">
        <w:rPr>
          <w:rFonts w:ascii="Calibri" w:hAnsi="Calibri" w:cs="Calibri"/>
          <w:sz w:val="22"/>
          <w:szCs w:val="22"/>
        </w:rPr>
        <w:t>.</w:t>
      </w:r>
    </w:p>
    <w:p w14:paraId="65714187" w14:textId="0C7F4747" w:rsidR="00A66979" w:rsidRPr="002E2B5B" w:rsidRDefault="00D22F5E" w:rsidP="00937ED9">
      <w:pPr>
        <w:spacing w:after="120"/>
        <w:jc w:val="both"/>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3</w:t>
      </w:r>
      <w:r w:rsidR="007F70B5" w:rsidRPr="002E2B5B">
        <w:rPr>
          <w:rFonts w:ascii="Calibri" w:hAnsi="Calibri" w:cs="Calibri"/>
          <w:b/>
          <w:sz w:val="22"/>
          <w:szCs w:val="22"/>
        </w:rPr>
        <w:t xml:space="preserve"> </w:t>
      </w:r>
      <w:r w:rsidR="006927EB" w:rsidRPr="002E2B5B">
        <w:rPr>
          <w:rFonts w:ascii="Calibri" w:hAnsi="Calibri" w:cs="Calibri"/>
          <w:b/>
          <w:sz w:val="22"/>
          <w:szCs w:val="22"/>
        </w:rPr>
        <w:t>–</w:t>
      </w:r>
      <w:r w:rsidR="007F70B5" w:rsidRPr="002E2B5B">
        <w:rPr>
          <w:rFonts w:ascii="Calibri" w:hAnsi="Calibri" w:cs="Calibri"/>
          <w:b/>
          <w:sz w:val="22"/>
          <w:szCs w:val="22"/>
        </w:rPr>
        <w:t xml:space="preserve"> </w:t>
      </w:r>
      <w:r w:rsidR="006927EB" w:rsidRPr="002E2B5B">
        <w:rPr>
          <w:rFonts w:ascii="Calibri" w:hAnsi="Calibri" w:cs="Calibri"/>
          <w:b/>
          <w:sz w:val="22"/>
          <w:szCs w:val="22"/>
        </w:rPr>
        <w:t xml:space="preserve">CAIXA E EQUIVALENTE DE CAIXA - </w:t>
      </w:r>
      <w:r w:rsidR="000643B0" w:rsidRPr="002E2B5B">
        <w:rPr>
          <w:rFonts w:ascii="Calibri" w:hAnsi="Calibri" w:cs="Calibri"/>
          <w:b/>
          <w:sz w:val="22"/>
          <w:szCs w:val="22"/>
        </w:rPr>
        <w:t xml:space="preserve">CONTA VINCULADA - </w:t>
      </w:r>
      <w:r w:rsidR="002069FD" w:rsidRPr="002E2B5B">
        <w:rPr>
          <w:rFonts w:ascii="Calibri" w:hAnsi="Calibri" w:cs="Calibri"/>
          <w:b/>
          <w:sz w:val="22"/>
          <w:szCs w:val="22"/>
        </w:rPr>
        <w:t>LIMITE DE SAQUE COM VINCULAÇÃO DE PAGAMENTO</w:t>
      </w:r>
      <w:r w:rsidR="00E50CF7" w:rsidRPr="002E2B5B">
        <w:rPr>
          <w:rFonts w:ascii="Calibri" w:hAnsi="Calibri" w:cs="Calibri"/>
          <w:b/>
          <w:sz w:val="22"/>
          <w:szCs w:val="22"/>
        </w:rPr>
        <w:t xml:space="preserve"> </w:t>
      </w:r>
    </w:p>
    <w:p w14:paraId="1989F6D6" w14:textId="0F3E2E03" w:rsidR="00D4582D" w:rsidRPr="002E2B5B" w:rsidRDefault="000643B0" w:rsidP="00937ED9">
      <w:pPr>
        <w:spacing w:after="120"/>
        <w:jc w:val="both"/>
        <w:rPr>
          <w:rFonts w:ascii="Calibri" w:hAnsi="Calibri" w:cs="Calibri"/>
          <w:sz w:val="22"/>
          <w:szCs w:val="22"/>
        </w:rPr>
      </w:pPr>
      <w:r w:rsidRPr="002E2B5B">
        <w:rPr>
          <w:rFonts w:ascii="Calibri" w:hAnsi="Calibri" w:cs="Calibri"/>
          <w:sz w:val="22"/>
          <w:szCs w:val="22"/>
        </w:rPr>
        <w:t>Ne</w:t>
      </w:r>
      <w:r w:rsidR="0041556E" w:rsidRPr="002E2B5B">
        <w:rPr>
          <w:rFonts w:ascii="Calibri" w:hAnsi="Calibri" w:cs="Calibri"/>
          <w:sz w:val="22"/>
          <w:szCs w:val="22"/>
        </w:rPr>
        <w:t>s</w:t>
      </w:r>
      <w:r w:rsidR="004F6D01" w:rsidRPr="002E2B5B">
        <w:rPr>
          <w:rFonts w:ascii="Calibri" w:hAnsi="Calibri" w:cs="Calibri"/>
          <w:sz w:val="22"/>
          <w:szCs w:val="22"/>
        </w:rPr>
        <w:t>t</w:t>
      </w:r>
      <w:r w:rsidR="0041556E" w:rsidRPr="002E2B5B">
        <w:rPr>
          <w:rFonts w:ascii="Calibri" w:hAnsi="Calibri" w:cs="Calibri"/>
          <w:sz w:val="22"/>
          <w:szCs w:val="22"/>
        </w:rPr>
        <w:t>a</w:t>
      </w:r>
      <w:r w:rsidR="006B4425" w:rsidRPr="002E2B5B">
        <w:rPr>
          <w:rFonts w:ascii="Calibri" w:hAnsi="Calibri" w:cs="Calibri"/>
          <w:sz w:val="22"/>
          <w:szCs w:val="22"/>
        </w:rPr>
        <w:t xml:space="preserve"> conta </w:t>
      </w:r>
      <w:r w:rsidRPr="002E2B5B">
        <w:rPr>
          <w:rFonts w:ascii="Calibri" w:hAnsi="Calibri" w:cs="Calibri"/>
          <w:sz w:val="22"/>
          <w:szCs w:val="22"/>
        </w:rPr>
        <w:t xml:space="preserve">é </w:t>
      </w:r>
      <w:r w:rsidR="006B4425" w:rsidRPr="002E2B5B">
        <w:rPr>
          <w:rFonts w:ascii="Calibri" w:hAnsi="Calibri" w:cs="Calibri"/>
          <w:sz w:val="22"/>
          <w:szCs w:val="22"/>
        </w:rPr>
        <w:t>registra</w:t>
      </w:r>
      <w:r w:rsidRPr="002E2B5B">
        <w:rPr>
          <w:rFonts w:ascii="Calibri" w:hAnsi="Calibri" w:cs="Calibri"/>
          <w:sz w:val="22"/>
          <w:szCs w:val="22"/>
        </w:rPr>
        <w:t>do</w:t>
      </w:r>
      <w:r w:rsidR="006B4425" w:rsidRPr="002E2B5B">
        <w:rPr>
          <w:rFonts w:ascii="Calibri" w:hAnsi="Calibri" w:cs="Calibri"/>
          <w:sz w:val="22"/>
          <w:szCs w:val="22"/>
        </w:rPr>
        <w:t xml:space="preserve"> o valor do</w:t>
      </w:r>
      <w:r w:rsidR="001F6377" w:rsidRPr="002E2B5B">
        <w:rPr>
          <w:rFonts w:ascii="Calibri" w:hAnsi="Calibri" w:cs="Calibri"/>
          <w:sz w:val="22"/>
          <w:szCs w:val="22"/>
        </w:rPr>
        <w:t xml:space="preserve"> limite de saque da Conta Única do Tesouro Nacional, estabelecido pelo órgão central de programação financeira, para at</w:t>
      </w:r>
      <w:r w:rsidR="00F63ADC" w:rsidRPr="002E2B5B">
        <w:rPr>
          <w:rFonts w:ascii="Calibri" w:hAnsi="Calibri" w:cs="Calibri"/>
          <w:sz w:val="22"/>
          <w:szCs w:val="22"/>
        </w:rPr>
        <w:t>ender as despesas com vinculações</w:t>
      </w:r>
      <w:r w:rsidR="001F6377" w:rsidRPr="002E2B5B">
        <w:rPr>
          <w:rFonts w:ascii="Calibri" w:hAnsi="Calibri" w:cs="Calibri"/>
          <w:sz w:val="22"/>
          <w:szCs w:val="22"/>
        </w:rPr>
        <w:t xml:space="preserve"> de pagamento</w:t>
      </w:r>
      <w:r w:rsidR="00F63ADC" w:rsidRPr="002E2B5B">
        <w:rPr>
          <w:rFonts w:ascii="Calibri" w:hAnsi="Calibri" w:cs="Calibri"/>
          <w:sz w:val="22"/>
          <w:szCs w:val="22"/>
        </w:rPr>
        <w:t>s</w:t>
      </w:r>
      <w:r w:rsidR="001F6377" w:rsidRPr="002E2B5B">
        <w:rPr>
          <w:rFonts w:ascii="Calibri" w:hAnsi="Calibri" w:cs="Calibri"/>
          <w:sz w:val="22"/>
          <w:szCs w:val="22"/>
        </w:rPr>
        <w:t xml:space="preserve"> divididas nas seguintes categorias:</w:t>
      </w:r>
    </w:p>
    <w:p w14:paraId="23026688" w14:textId="77777777" w:rsidR="00EE345F" w:rsidRPr="002E2B5B" w:rsidRDefault="00146DAB" w:rsidP="00937ED9">
      <w:pPr>
        <w:spacing w:after="120"/>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Pessoal e Encargos Sociais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D80B1F" w:rsidRPr="002E2B5B">
        <w:rPr>
          <w:rFonts w:ascii="Calibri" w:hAnsi="Calibri" w:cs="Calibri"/>
          <w:sz w:val="22"/>
          <w:szCs w:val="22"/>
        </w:rPr>
        <w:t>(</w:t>
      </w:r>
      <w:r w:rsidR="00141E08" w:rsidRPr="002E2B5B">
        <w:rPr>
          <w:rFonts w:ascii="Calibri" w:hAnsi="Calibri" w:cs="Calibri"/>
          <w:sz w:val="22"/>
          <w:szCs w:val="22"/>
        </w:rPr>
        <w:t>A</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130,</w:t>
      </w:r>
      <w:r w:rsidR="009609C9" w:rsidRPr="002E2B5B">
        <w:rPr>
          <w:rFonts w:ascii="Calibri" w:hAnsi="Calibri" w:cs="Calibri"/>
          <w:sz w:val="22"/>
          <w:szCs w:val="22"/>
        </w:rPr>
        <w:t xml:space="preserve"> </w:t>
      </w:r>
      <w:r w:rsidR="00EE345F" w:rsidRPr="002E2B5B">
        <w:rPr>
          <w:rFonts w:ascii="Calibri" w:hAnsi="Calibri" w:cs="Calibri"/>
          <w:sz w:val="22"/>
          <w:szCs w:val="22"/>
        </w:rPr>
        <w:t>307,</w:t>
      </w:r>
      <w:r w:rsidR="009609C9" w:rsidRPr="002E2B5B">
        <w:rPr>
          <w:rFonts w:ascii="Calibri" w:hAnsi="Calibri" w:cs="Calibri"/>
          <w:sz w:val="22"/>
          <w:szCs w:val="22"/>
        </w:rPr>
        <w:t xml:space="preserve"> </w:t>
      </w:r>
      <w:r w:rsidR="00EE345F" w:rsidRPr="002E2B5B">
        <w:rPr>
          <w:rFonts w:ascii="Calibri" w:hAnsi="Calibri" w:cs="Calibri"/>
          <w:sz w:val="22"/>
          <w:szCs w:val="22"/>
        </w:rPr>
        <w:t>308,</w:t>
      </w:r>
      <w:r w:rsidR="009609C9" w:rsidRPr="002E2B5B">
        <w:rPr>
          <w:rFonts w:ascii="Calibri" w:hAnsi="Calibri" w:cs="Calibri"/>
          <w:sz w:val="22"/>
          <w:szCs w:val="22"/>
        </w:rPr>
        <w:t xml:space="preserve"> </w:t>
      </w:r>
      <w:r w:rsidR="00EE345F" w:rsidRPr="002E2B5B">
        <w:rPr>
          <w:rFonts w:ascii="Calibri" w:hAnsi="Calibri" w:cs="Calibri"/>
          <w:sz w:val="22"/>
          <w:szCs w:val="22"/>
        </w:rPr>
        <w:t>310</w:t>
      </w:r>
      <w:r w:rsidR="000643B0" w:rsidRPr="002E2B5B">
        <w:rPr>
          <w:rFonts w:ascii="Calibri" w:hAnsi="Calibri" w:cs="Calibri"/>
          <w:sz w:val="22"/>
          <w:szCs w:val="22"/>
        </w:rPr>
        <w:t>.</w:t>
      </w:r>
      <w:r w:rsidR="00EE345F" w:rsidRPr="002E2B5B">
        <w:rPr>
          <w:rFonts w:ascii="Calibri" w:hAnsi="Calibri" w:cs="Calibri"/>
          <w:sz w:val="22"/>
          <w:szCs w:val="22"/>
        </w:rPr>
        <w:t xml:space="preserve"> </w:t>
      </w:r>
    </w:p>
    <w:p w14:paraId="2E243684" w14:textId="77777777" w:rsidR="00141E08" w:rsidRPr="002E2B5B" w:rsidRDefault="00146DAB" w:rsidP="00937ED9">
      <w:pPr>
        <w:spacing w:after="120"/>
        <w:ind w:left="708" w:right="-226" w:hanging="708"/>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Custeio/Investimento</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9609C9"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C</w:t>
      </w:r>
      <w:r w:rsidR="00D80B1F" w:rsidRPr="002E2B5B">
        <w:rPr>
          <w:rFonts w:ascii="Calibri" w:hAnsi="Calibri" w:cs="Calibri"/>
          <w:sz w:val="22"/>
          <w:szCs w:val="22"/>
        </w:rPr>
        <w:t>)</w:t>
      </w:r>
      <w:r w:rsidR="00EE345F" w:rsidRPr="002E2B5B">
        <w:rPr>
          <w:rFonts w:ascii="Calibri" w:hAnsi="Calibri" w:cs="Calibri"/>
          <w:sz w:val="22"/>
          <w:szCs w:val="22"/>
        </w:rPr>
        <w:t xml:space="preserve"> V</w:t>
      </w:r>
      <w:r w:rsidR="00D80B1F" w:rsidRPr="002E2B5B">
        <w:rPr>
          <w:rFonts w:ascii="Calibri" w:hAnsi="Calibri" w:cs="Calibri"/>
          <w:sz w:val="22"/>
          <w:szCs w:val="22"/>
        </w:rPr>
        <w:t>inculações:</w:t>
      </w:r>
      <w:r w:rsidR="00EE345F" w:rsidRPr="002E2B5B">
        <w:rPr>
          <w:rFonts w:ascii="Calibri" w:hAnsi="Calibri" w:cs="Calibri"/>
          <w:sz w:val="22"/>
          <w:szCs w:val="22"/>
        </w:rPr>
        <w:t xml:space="preserve"> </w:t>
      </w:r>
      <w:r w:rsidR="009B4B66" w:rsidRPr="002E2B5B">
        <w:rPr>
          <w:rFonts w:ascii="Calibri" w:hAnsi="Calibri" w:cs="Calibri"/>
          <w:sz w:val="22"/>
          <w:szCs w:val="22"/>
        </w:rPr>
        <w:t xml:space="preserve">340, </w:t>
      </w:r>
      <w:r w:rsidR="009609C9" w:rsidRPr="002E2B5B">
        <w:rPr>
          <w:rFonts w:ascii="Calibri" w:hAnsi="Calibri" w:cs="Calibri"/>
          <w:sz w:val="22"/>
          <w:szCs w:val="22"/>
        </w:rPr>
        <w:t>400,</w:t>
      </w:r>
      <w:r w:rsidR="004644A3" w:rsidRPr="002E2B5B">
        <w:rPr>
          <w:rFonts w:ascii="Calibri" w:hAnsi="Calibri" w:cs="Calibri"/>
          <w:sz w:val="22"/>
          <w:szCs w:val="22"/>
        </w:rPr>
        <w:t xml:space="preserve"> 404,</w:t>
      </w:r>
      <w:r w:rsidR="009B4B66" w:rsidRPr="002E2B5B">
        <w:rPr>
          <w:rFonts w:ascii="Calibri" w:hAnsi="Calibri" w:cs="Calibri"/>
          <w:sz w:val="22"/>
          <w:szCs w:val="22"/>
        </w:rPr>
        <w:t xml:space="preserve"> </w:t>
      </w:r>
      <w:r w:rsidR="00FA0D6A" w:rsidRPr="002E2B5B">
        <w:rPr>
          <w:rFonts w:ascii="Calibri" w:hAnsi="Calibri" w:cs="Calibri"/>
          <w:sz w:val="22"/>
          <w:szCs w:val="22"/>
        </w:rPr>
        <w:t xml:space="preserve">409, </w:t>
      </w:r>
      <w:r w:rsidR="009B4B66" w:rsidRPr="002E2B5B">
        <w:rPr>
          <w:rFonts w:ascii="Calibri" w:hAnsi="Calibri" w:cs="Calibri"/>
          <w:sz w:val="22"/>
          <w:szCs w:val="22"/>
        </w:rPr>
        <w:t>412,</w:t>
      </w:r>
      <w:r w:rsidR="009609C9" w:rsidRPr="002E2B5B">
        <w:rPr>
          <w:rFonts w:ascii="Calibri" w:hAnsi="Calibri" w:cs="Calibri"/>
          <w:sz w:val="22"/>
          <w:szCs w:val="22"/>
        </w:rPr>
        <w:t xml:space="preserve"> </w:t>
      </w:r>
      <w:r w:rsidR="00EE345F" w:rsidRPr="002E2B5B">
        <w:rPr>
          <w:rFonts w:ascii="Calibri" w:hAnsi="Calibri" w:cs="Calibri"/>
          <w:sz w:val="22"/>
          <w:szCs w:val="22"/>
        </w:rPr>
        <w:t>415,</w:t>
      </w:r>
      <w:r w:rsidR="009609C9" w:rsidRPr="002E2B5B">
        <w:rPr>
          <w:rFonts w:ascii="Calibri" w:hAnsi="Calibri" w:cs="Calibri"/>
          <w:sz w:val="22"/>
          <w:szCs w:val="22"/>
        </w:rPr>
        <w:t xml:space="preserve"> </w:t>
      </w:r>
      <w:r w:rsidR="002726DB" w:rsidRPr="002E2B5B">
        <w:rPr>
          <w:rFonts w:ascii="Calibri" w:hAnsi="Calibri" w:cs="Calibri"/>
          <w:sz w:val="22"/>
          <w:szCs w:val="22"/>
        </w:rPr>
        <w:t>50</w:t>
      </w:r>
      <w:r w:rsidR="00EE345F" w:rsidRPr="002E2B5B">
        <w:rPr>
          <w:rFonts w:ascii="Calibri" w:hAnsi="Calibri" w:cs="Calibri"/>
          <w:sz w:val="22"/>
          <w:szCs w:val="22"/>
        </w:rPr>
        <w:t>0</w:t>
      </w:r>
      <w:r w:rsidR="002726DB" w:rsidRPr="002E2B5B">
        <w:rPr>
          <w:rFonts w:ascii="Calibri" w:hAnsi="Calibri" w:cs="Calibri"/>
          <w:sz w:val="22"/>
          <w:szCs w:val="22"/>
        </w:rPr>
        <w:t>, 51</w:t>
      </w:r>
      <w:r w:rsidR="0064431B" w:rsidRPr="002E2B5B">
        <w:rPr>
          <w:rFonts w:ascii="Calibri" w:hAnsi="Calibri" w:cs="Calibri"/>
          <w:sz w:val="22"/>
          <w:szCs w:val="22"/>
        </w:rPr>
        <w:t xml:space="preserve">0, </w:t>
      </w:r>
      <w:r w:rsidR="00403538" w:rsidRPr="002E2B5B">
        <w:rPr>
          <w:rFonts w:ascii="Calibri" w:hAnsi="Calibri" w:cs="Calibri"/>
          <w:sz w:val="22"/>
          <w:szCs w:val="22"/>
        </w:rPr>
        <w:t xml:space="preserve">514, </w:t>
      </w:r>
      <w:r w:rsidR="0064431B" w:rsidRPr="002E2B5B">
        <w:rPr>
          <w:rFonts w:ascii="Calibri" w:hAnsi="Calibri" w:cs="Calibri"/>
          <w:sz w:val="22"/>
          <w:szCs w:val="22"/>
        </w:rPr>
        <w:t>551</w:t>
      </w:r>
      <w:r w:rsidR="000643B0" w:rsidRPr="002E2B5B">
        <w:rPr>
          <w:rFonts w:ascii="Calibri" w:hAnsi="Calibri" w:cs="Calibri"/>
          <w:sz w:val="22"/>
          <w:szCs w:val="22"/>
        </w:rPr>
        <w:t>.</w:t>
      </w:r>
    </w:p>
    <w:p w14:paraId="134FF875" w14:textId="1FFD7679" w:rsidR="00D4582D" w:rsidRDefault="00146DAB" w:rsidP="00937ED9">
      <w:pPr>
        <w:spacing w:after="120"/>
        <w:rPr>
          <w:rFonts w:ascii="Calibri" w:hAnsi="Calibri" w:cs="Calibri"/>
          <w:sz w:val="22"/>
          <w:szCs w:val="22"/>
        </w:rPr>
      </w:pPr>
      <w:r w:rsidRPr="002E2B5B">
        <w:rPr>
          <w:rFonts w:ascii="Calibri" w:hAnsi="Calibri" w:cs="Calibri"/>
          <w:sz w:val="22"/>
          <w:szCs w:val="22"/>
        </w:rPr>
        <w:t>Categoria de</w:t>
      </w:r>
      <w:r w:rsidR="00141E08" w:rsidRPr="002E2B5B">
        <w:rPr>
          <w:rFonts w:ascii="Calibri" w:hAnsi="Calibri" w:cs="Calibri"/>
          <w:sz w:val="22"/>
          <w:szCs w:val="22"/>
        </w:rPr>
        <w:t xml:space="preserve"> Gasto</w:t>
      </w:r>
      <w:r w:rsidR="00D80B1F" w:rsidRPr="002E2B5B">
        <w:rPr>
          <w:rFonts w:ascii="Calibri" w:hAnsi="Calibri" w:cs="Calibri"/>
          <w:sz w:val="22"/>
          <w:szCs w:val="22"/>
        </w:rPr>
        <w:t xml:space="preserve"> com Investimentos (Obras)</w:t>
      </w:r>
      <w:r w:rsidR="00141E08" w:rsidRPr="002E2B5B">
        <w:rPr>
          <w:rFonts w:ascii="Calibri" w:hAnsi="Calibri" w:cs="Calibri"/>
          <w:sz w:val="22"/>
          <w:szCs w:val="22"/>
        </w:rPr>
        <w:t xml:space="preserve"> </w:t>
      </w:r>
      <w:r w:rsidR="00EE345F" w:rsidRPr="002E2B5B">
        <w:rPr>
          <w:rFonts w:ascii="Calibri" w:hAnsi="Calibri" w:cs="Calibri"/>
          <w:sz w:val="22"/>
          <w:szCs w:val="22"/>
        </w:rPr>
        <w:t>–</w:t>
      </w:r>
      <w:r w:rsidR="00141E08" w:rsidRPr="002E2B5B">
        <w:rPr>
          <w:rFonts w:ascii="Calibri" w:hAnsi="Calibri" w:cs="Calibri"/>
          <w:sz w:val="22"/>
          <w:szCs w:val="22"/>
        </w:rPr>
        <w:t xml:space="preserve"> </w:t>
      </w:r>
      <w:r w:rsidR="000643B0" w:rsidRPr="002E2B5B">
        <w:rPr>
          <w:rFonts w:ascii="Calibri" w:hAnsi="Calibri" w:cs="Calibri"/>
          <w:sz w:val="22"/>
          <w:szCs w:val="22"/>
        </w:rPr>
        <w:t>(</w:t>
      </w:r>
      <w:r w:rsidR="00141E08" w:rsidRPr="002E2B5B">
        <w:rPr>
          <w:rFonts w:ascii="Calibri" w:hAnsi="Calibri" w:cs="Calibri"/>
          <w:sz w:val="22"/>
          <w:szCs w:val="22"/>
        </w:rPr>
        <w:t>D</w:t>
      </w:r>
      <w:r w:rsidR="00D80B1F" w:rsidRPr="002E2B5B">
        <w:rPr>
          <w:rFonts w:ascii="Calibri" w:hAnsi="Calibri" w:cs="Calibri"/>
          <w:sz w:val="22"/>
          <w:szCs w:val="22"/>
        </w:rPr>
        <w:t>) Vinculações:</w:t>
      </w:r>
      <w:r w:rsidR="00EE345F" w:rsidRPr="002E2B5B">
        <w:rPr>
          <w:rFonts w:ascii="Calibri" w:hAnsi="Calibri" w:cs="Calibri"/>
          <w:sz w:val="22"/>
          <w:szCs w:val="22"/>
        </w:rPr>
        <w:t xml:space="preserve"> – 400,</w:t>
      </w:r>
      <w:r w:rsidR="00F85376" w:rsidRPr="002E2B5B">
        <w:rPr>
          <w:rFonts w:ascii="Calibri" w:hAnsi="Calibri" w:cs="Calibri"/>
          <w:sz w:val="22"/>
          <w:szCs w:val="22"/>
        </w:rPr>
        <w:t xml:space="preserve"> </w:t>
      </w:r>
      <w:r w:rsidR="00EE345F" w:rsidRPr="002E2B5B">
        <w:rPr>
          <w:rFonts w:ascii="Calibri" w:hAnsi="Calibri" w:cs="Calibri"/>
          <w:sz w:val="22"/>
          <w:szCs w:val="22"/>
        </w:rPr>
        <w:t>415</w:t>
      </w:r>
      <w:r w:rsidR="0064431B" w:rsidRPr="002E2B5B">
        <w:rPr>
          <w:rFonts w:ascii="Calibri" w:hAnsi="Calibri" w:cs="Calibri"/>
          <w:sz w:val="22"/>
          <w:szCs w:val="22"/>
        </w:rPr>
        <w:t>, 500</w:t>
      </w:r>
      <w:r w:rsidR="000643B0" w:rsidRPr="002E2B5B">
        <w:rPr>
          <w:rFonts w:ascii="Calibri" w:hAnsi="Calibri" w:cs="Calibri"/>
          <w:sz w:val="22"/>
          <w:szCs w:val="22"/>
        </w:rPr>
        <w:t>.</w:t>
      </w:r>
    </w:p>
    <w:p w14:paraId="59B6D05B" w14:textId="74E438A9" w:rsidR="00804C16" w:rsidRPr="002E2B5B" w:rsidRDefault="00804C16" w:rsidP="00937ED9">
      <w:pPr>
        <w:spacing w:after="120"/>
        <w:rPr>
          <w:rFonts w:ascii="Calibri" w:hAnsi="Calibri" w:cs="Calibri"/>
          <w:sz w:val="22"/>
          <w:szCs w:val="22"/>
        </w:rPr>
      </w:pPr>
      <w:r>
        <w:rPr>
          <w:rFonts w:ascii="Calibri" w:hAnsi="Calibri" w:cs="Calibri"/>
          <w:sz w:val="22"/>
          <w:szCs w:val="22"/>
        </w:rPr>
        <w:t>Devolução de Despesa - 987</w:t>
      </w:r>
    </w:p>
    <w:p w14:paraId="1E64F84E" w14:textId="55CC9588" w:rsidR="00F376DC" w:rsidRDefault="00A63F68" w:rsidP="00937ED9">
      <w:pPr>
        <w:spacing w:after="120"/>
        <w:jc w:val="both"/>
        <w:rPr>
          <w:rFonts w:ascii="Calibri" w:hAnsi="Calibri" w:cs="Calibri"/>
          <w:sz w:val="22"/>
          <w:szCs w:val="22"/>
        </w:rPr>
      </w:pPr>
      <w:r w:rsidRPr="002E2B5B">
        <w:rPr>
          <w:rFonts w:ascii="Calibri" w:hAnsi="Calibri" w:cs="Calibri"/>
          <w:sz w:val="22"/>
          <w:szCs w:val="22"/>
        </w:rPr>
        <w:t xml:space="preserve">A conta </w:t>
      </w:r>
      <w:r w:rsidR="00D45F66" w:rsidRPr="002E2B5B">
        <w:rPr>
          <w:rFonts w:ascii="Calibri" w:hAnsi="Calibri" w:cs="Calibri"/>
          <w:sz w:val="22"/>
          <w:szCs w:val="22"/>
        </w:rPr>
        <w:t xml:space="preserve">Limite de Saque </w:t>
      </w:r>
      <w:r w:rsidR="00904E3E" w:rsidRPr="002E2B5B">
        <w:rPr>
          <w:rFonts w:ascii="Calibri" w:hAnsi="Calibri" w:cs="Calibri"/>
          <w:sz w:val="22"/>
          <w:szCs w:val="22"/>
        </w:rPr>
        <w:t xml:space="preserve">com Vinculação de Pagamento </w:t>
      </w:r>
      <w:r w:rsidR="00C50895" w:rsidRPr="002E2B5B">
        <w:rPr>
          <w:rFonts w:ascii="Calibri" w:hAnsi="Calibri" w:cs="Calibri"/>
          <w:sz w:val="22"/>
          <w:szCs w:val="22"/>
        </w:rPr>
        <w:t xml:space="preserve">registra o valor do limite de saque da Conta Única da União, estabelecido pelo órgão Central de Programação Financeira </w:t>
      </w:r>
      <w:r w:rsidR="00F67C01" w:rsidRPr="002E2B5B">
        <w:rPr>
          <w:rFonts w:ascii="Calibri" w:hAnsi="Calibri" w:cs="Calibri"/>
          <w:sz w:val="22"/>
          <w:szCs w:val="22"/>
        </w:rPr>
        <w:t xml:space="preserve">para atender às despesas com vinculação de pagamentos. Portanto, representa a </w:t>
      </w:r>
      <w:r w:rsidR="00904E3E" w:rsidRPr="002E2B5B">
        <w:rPr>
          <w:rFonts w:ascii="Calibri" w:hAnsi="Calibri" w:cs="Calibri"/>
          <w:sz w:val="22"/>
          <w:szCs w:val="22"/>
        </w:rPr>
        <w:t>conta</w:t>
      </w:r>
      <w:r w:rsidR="00F67C01" w:rsidRPr="002E2B5B">
        <w:rPr>
          <w:rFonts w:ascii="Calibri" w:hAnsi="Calibri" w:cs="Calibri"/>
          <w:sz w:val="22"/>
          <w:szCs w:val="22"/>
        </w:rPr>
        <w:t xml:space="preserve"> </w:t>
      </w:r>
      <w:r w:rsidR="00904E3E" w:rsidRPr="002E2B5B">
        <w:rPr>
          <w:rFonts w:ascii="Calibri" w:hAnsi="Calibri" w:cs="Calibri"/>
          <w:sz w:val="22"/>
          <w:szCs w:val="22"/>
        </w:rPr>
        <w:t xml:space="preserve">utilizada para movimentação financeira, na qual a Setorial Financeira do Ministério da </w:t>
      </w:r>
      <w:r w:rsidR="00E11BEF">
        <w:rPr>
          <w:rFonts w:ascii="Calibri" w:hAnsi="Calibri" w:cs="Calibri"/>
          <w:sz w:val="22"/>
          <w:szCs w:val="22"/>
        </w:rPr>
        <w:t>Infra</w:t>
      </w:r>
      <w:r w:rsidR="00904E3E" w:rsidRPr="002E2B5B">
        <w:rPr>
          <w:rFonts w:ascii="Calibri" w:hAnsi="Calibri" w:cs="Calibri"/>
          <w:sz w:val="22"/>
          <w:szCs w:val="22"/>
        </w:rPr>
        <w:t xml:space="preserve">estrutura disponibiliza os recursos financeiros para pagamentos efetuados diariamente pela </w:t>
      </w:r>
      <w:r w:rsidR="00E11BEF">
        <w:rPr>
          <w:rFonts w:ascii="Calibri" w:hAnsi="Calibri" w:cs="Calibri"/>
          <w:sz w:val="22"/>
          <w:szCs w:val="22"/>
        </w:rPr>
        <w:t>Infra</w:t>
      </w:r>
      <w:r w:rsidR="00804C16">
        <w:rPr>
          <w:rFonts w:ascii="Calibri" w:hAnsi="Calibri" w:cs="Calibri"/>
          <w:sz w:val="22"/>
          <w:szCs w:val="22"/>
        </w:rPr>
        <w:t xml:space="preserve"> S.A</w:t>
      </w:r>
      <w:r w:rsidR="00D60F6A">
        <w:rPr>
          <w:rFonts w:ascii="Calibri" w:hAnsi="Calibri" w:cs="Calibri"/>
          <w:sz w:val="22"/>
          <w:szCs w:val="22"/>
        </w:rPr>
        <w:t>.</w:t>
      </w:r>
      <w:r w:rsidR="00804C16" w:rsidRPr="002E2B5B">
        <w:rPr>
          <w:rFonts w:ascii="Calibri" w:hAnsi="Calibri" w:cs="Calibri"/>
          <w:sz w:val="22"/>
          <w:szCs w:val="22"/>
        </w:rPr>
        <w:t xml:space="preserve"> Esta</w:t>
      </w:r>
      <w:r w:rsidR="00904E3E" w:rsidRPr="002E2B5B">
        <w:rPr>
          <w:rFonts w:ascii="Calibri" w:hAnsi="Calibri" w:cs="Calibri"/>
          <w:sz w:val="22"/>
          <w:szCs w:val="22"/>
        </w:rPr>
        <w:t xml:space="preserve"> conta </w:t>
      </w:r>
      <w:r w:rsidR="00266AF3" w:rsidRPr="002E2B5B">
        <w:rPr>
          <w:rFonts w:ascii="Calibri" w:hAnsi="Calibri" w:cs="Calibri"/>
          <w:sz w:val="22"/>
          <w:szCs w:val="22"/>
        </w:rPr>
        <w:t xml:space="preserve">apresenta o seguinte saldo em </w:t>
      </w:r>
      <w:r w:rsidR="00CE6832">
        <w:rPr>
          <w:rFonts w:ascii="Calibri" w:hAnsi="Calibri" w:cs="Calibri"/>
          <w:sz w:val="22"/>
          <w:szCs w:val="22"/>
        </w:rPr>
        <w:t>3</w:t>
      </w:r>
      <w:r w:rsidR="00E60A1B">
        <w:rPr>
          <w:rFonts w:ascii="Calibri" w:hAnsi="Calibri" w:cs="Calibri"/>
          <w:sz w:val="22"/>
          <w:szCs w:val="22"/>
        </w:rPr>
        <w:t>0</w:t>
      </w:r>
      <w:r w:rsidR="00CE6832">
        <w:rPr>
          <w:rFonts w:ascii="Calibri" w:hAnsi="Calibri" w:cs="Calibri"/>
          <w:sz w:val="22"/>
          <w:szCs w:val="22"/>
        </w:rPr>
        <w:t xml:space="preserve"> de </w:t>
      </w:r>
      <w:r w:rsidR="00804C16">
        <w:rPr>
          <w:rFonts w:ascii="Calibri" w:hAnsi="Calibri" w:cs="Calibri"/>
          <w:sz w:val="22"/>
          <w:szCs w:val="22"/>
        </w:rPr>
        <w:t>setembr</w:t>
      </w:r>
      <w:r w:rsidR="00E60A1B">
        <w:rPr>
          <w:rFonts w:ascii="Calibri" w:hAnsi="Calibri" w:cs="Calibri"/>
          <w:sz w:val="22"/>
          <w:szCs w:val="22"/>
        </w:rPr>
        <w:t>o</w:t>
      </w:r>
      <w:r w:rsidR="00E14AA9">
        <w:rPr>
          <w:rFonts w:ascii="Calibri" w:hAnsi="Calibri" w:cs="Calibri"/>
          <w:sz w:val="22"/>
          <w:szCs w:val="22"/>
        </w:rPr>
        <w:t xml:space="preserve"> de 202</w:t>
      </w:r>
      <w:r w:rsidR="0046490D">
        <w:rPr>
          <w:rFonts w:ascii="Calibri" w:hAnsi="Calibri" w:cs="Calibri"/>
          <w:sz w:val="22"/>
          <w:szCs w:val="22"/>
        </w:rPr>
        <w:t>2</w:t>
      </w:r>
      <w:r w:rsidRPr="002E2B5B">
        <w:rPr>
          <w:rFonts w:ascii="Calibri" w:hAnsi="Calibri" w:cs="Calibri"/>
          <w:sz w:val="22"/>
          <w:szCs w:val="22"/>
        </w:rPr>
        <w:t>:</w:t>
      </w:r>
    </w:p>
    <w:tbl>
      <w:tblPr>
        <w:tblW w:w="5000" w:type="pct"/>
        <w:jc w:val="center"/>
        <w:tblCellMar>
          <w:left w:w="70" w:type="dxa"/>
          <w:right w:w="70" w:type="dxa"/>
        </w:tblCellMar>
        <w:tblLook w:val="04A0" w:firstRow="1" w:lastRow="0" w:firstColumn="1" w:lastColumn="0" w:noHBand="0" w:noVBand="1"/>
      </w:tblPr>
      <w:tblGrid>
        <w:gridCol w:w="1441"/>
        <w:gridCol w:w="1431"/>
        <w:gridCol w:w="2315"/>
        <w:gridCol w:w="2311"/>
        <w:gridCol w:w="6"/>
        <w:gridCol w:w="193"/>
        <w:gridCol w:w="6"/>
        <w:gridCol w:w="193"/>
        <w:gridCol w:w="6"/>
        <w:gridCol w:w="193"/>
        <w:gridCol w:w="6"/>
        <w:gridCol w:w="193"/>
        <w:gridCol w:w="7"/>
        <w:gridCol w:w="1126"/>
        <w:gridCol w:w="1032"/>
        <w:gridCol w:w="8"/>
      </w:tblGrid>
      <w:tr w:rsidR="00ED472A" w:rsidRPr="00F376DC" w14:paraId="495DCC45" w14:textId="77777777" w:rsidTr="00F52368">
        <w:trPr>
          <w:trHeight w:hRule="exact" w:val="227"/>
          <w:jc w:val="center"/>
        </w:trPr>
        <w:tc>
          <w:tcPr>
            <w:tcW w:w="688" w:type="pct"/>
            <w:tcBorders>
              <w:top w:val="nil"/>
              <w:left w:val="nil"/>
              <w:bottom w:val="single" w:sz="8" w:space="0" w:color="auto"/>
              <w:right w:val="nil"/>
            </w:tcBorders>
            <w:shd w:val="clear" w:color="000000" w:fill="FFFFFF"/>
            <w:noWrap/>
            <w:vAlign w:val="center"/>
            <w:hideMark/>
          </w:tcPr>
          <w:p w14:paraId="201FBCAD" w14:textId="77777777" w:rsidR="00F376DC" w:rsidRPr="00F376DC" w:rsidRDefault="00F376DC" w:rsidP="00937ED9">
            <w:pPr>
              <w:spacing w:after="120"/>
              <w:jc w:val="center"/>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VINCULAÇÃO</w:t>
            </w:r>
          </w:p>
        </w:tc>
        <w:tc>
          <w:tcPr>
            <w:tcW w:w="2893" w:type="pct"/>
            <w:gridSpan w:val="3"/>
            <w:tcBorders>
              <w:top w:val="nil"/>
              <w:left w:val="nil"/>
              <w:bottom w:val="single" w:sz="8" w:space="0" w:color="auto"/>
              <w:right w:val="nil"/>
            </w:tcBorders>
            <w:shd w:val="clear" w:color="000000" w:fill="FFFFFF"/>
            <w:noWrap/>
            <w:vAlign w:val="center"/>
            <w:hideMark/>
          </w:tcPr>
          <w:p w14:paraId="7C9602E0" w14:textId="77777777" w:rsidR="00F376DC" w:rsidRPr="00F376DC" w:rsidRDefault="00F376DC" w:rsidP="00937ED9">
            <w:pPr>
              <w:spacing w:after="120"/>
              <w:jc w:val="both"/>
              <w:rPr>
                <w:rFonts w:asciiTheme="minorHAnsi" w:hAnsiTheme="minorHAnsi" w:cstheme="minorHAnsi"/>
                <w:b/>
                <w:bCs/>
                <w:color w:val="000000"/>
                <w:sz w:val="16"/>
                <w:szCs w:val="16"/>
              </w:rPr>
            </w:pPr>
            <w:r w:rsidRPr="00F376DC">
              <w:rPr>
                <w:rFonts w:asciiTheme="minorHAnsi" w:hAnsiTheme="minorHAnsi" w:cstheme="minorHAnsi"/>
                <w:b/>
                <w:bCs/>
                <w:sz w:val="16"/>
                <w:szCs w:val="16"/>
              </w:rPr>
              <w:t xml:space="preserve"> DESCRIÇÃO DA VINCULAÇÃO</w:t>
            </w:r>
          </w:p>
        </w:tc>
        <w:tc>
          <w:tcPr>
            <w:tcW w:w="95" w:type="pct"/>
            <w:gridSpan w:val="2"/>
            <w:tcBorders>
              <w:top w:val="nil"/>
              <w:left w:val="nil"/>
              <w:bottom w:val="single" w:sz="8" w:space="0" w:color="auto"/>
              <w:right w:val="nil"/>
            </w:tcBorders>
            <w:shd w:val="clear" w:color="000000" w:fill="FFFFFF"/>
            <w:vAlign w:val="center"/>
            <w:hideMark/>
          </w:tcPr>
          <w:p w14:paraId="21F936E6"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95" w:type="pct"/>
            <w:gridSpan w:val="2"/>
            <w:tcBorders>
              <w:top w:val="nil"/>
              <w:left w:val="nil"/>
              <w:bottom w:val="single" w:sz="8" w:space="0" w:color="auto"/>
              <w:right w:val="nil"/>
            </w:tcBorders>
            <w:shd w:val="clear" w:color="000000" w:fill="FFFFFF"/>
            <w:vAlign w:val="center"/>
            <w:hideMark/>
          </w:tcPr>
          <w:p w14:paraId="70BBE234"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95" w:type="pct"/>
            <w:gridSpan w:val="2"/>
            <w:tcBorders>
              <w:top w:val="nil"/>
              <w:left w:val="nil"/>
              <w:bottom w:val="single" w:sz="8" w:space="0" w:color="auto"/>
              <w:right w:val="nil"/>
            </w:tcBorders>
            <w:shd w:val="clear" w:color="000000" w:fill="FFFFFF"/>
            <w:noWrap/>
            <w:vAlign w:val="center"/>
            <w:hideMark/>
          </w:tcPr>
          <w:p w14:paraId="72E1DE1F"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95" w:type="pct"/>
            <w:gridSpan w:val="2"/>
            <w:tcBorders>
              <w:top w:val="nil"/>
              <w:left w:val="nil"/>
              <w:bottom w:val="single" w:sz="8" w:space="0" w:color="auto"/>
              <w:right w:val="nil"/>
            </w:tcBorders>
            <w:shd w:val="clear" w:color="000000" w:fill="FFFFFF"/>
            <w:vAlign w:val="center"/>
            <w:hideMark/>
          </w:tcPr>
          <w:p w14:paraId="5E134791" w14:textId="77777777"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541" w:type="pct"/>
            <w:gridSpan w:val="2"/>
            <w:tcBorders>
              <w:top w:val="nil"/>
              <w:left w:val="nil"/>
              <w:bottom w:val="single" w:sz="8" w:space="0" w:color="auto"/>
              <w:right w:val="nil"/>
            </w:tcBorders>
            <w:shd w:val="clear" w:color="000000" w:fill="FFFFFF"/>
            <w:vAlign w:val="center"/>
            <w:hideMark/>
          </w:tcPr>
          <w:p w14:paraId="24AD6CB4" w14:textId="505E0289"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w:t>
            </w:r>
            <w:r w:rsidR="00E60A1B">
              <w:rPr>
                <w:rFonts w:asciiTheme="minorHAnsi" w:hAnsiTheme="minorHAnsi" w:cstheme="minorHAnsi"/>
                <w:b/>
                <w:bCs/>
                <w:sz w:val="16"/>
                <w:szCs w:val="16"/>
              </w:rPr>
              <w:t>0</w:t>
            </w:r>
            <w:r w:rsidRPr="00F376DC">
              <w:rPr>
                <w:rFonts w:asciiTheme="minorHAnsi" w:hAnsiTheme="minorHAnsi" w:cstheme="minorHAnsi"/>
                <w:b/>
                <w:bCs/>
                <w:sz w:val="16"/>
                <w:szCs w:val="16"/>
              </w:rPr>
              <w:t>/</w:t>
            </w:r>
            <w:r w:rsidR="00F46E79">
              <w:rPr>
                <w:rFonts w:asciiTheme="minorHAnsi" w:hAnsiTheme="minorHAnsi" w:cstheme="minorHAnsi"/>
                <w:b/>
                <w:bCs/>
                <w:sz w:val="16"/>
                <w:szCs w:val="16"/>
              </w:rPr>
              <w:t>0</w:t>
            </w:r>
            <w:r w:rsidR="00804C16">
              <w:rPr>
                <w:rFonts w:asciiTheme="minorHAnsi" w:hAnsiTheme="minorHAnsi" w:cstheme="minorHAnsi"/>
                <w:b/>
                <w:bCs/>
                <w:sz w:val="16"/>
                <w:szCs w:val="16"/>
              </w:rPr>
              <w:t>9</w:t>
            </w:r>
            <w:r w:rsidRPr="00F376DC">
              <w:rPr>
                <w:rFonts w:asciiTheme="minorHAnsi" w:hAnsiTheme="minorHAnsi" w:cstheme="minorHAnsi"/>
                <w:b/>
                <w:bCs/>
                <w:sz w:val="16"/>
                <w:szCs w:val="16"/>
              </w:rPr>
              <w:t>/202</w:t>
            </w:r>
            <w:r w:rsidR="00F46E79">
              <w:rPr>
                <w:rFonts w:asciiTheme="minorHAnsi" w:hAnsiTheme="minorHAnsi" w:cstheme="minorHAnsi"/>
                <w:b/>
                <w:bCs/>
                <w:sz w:val="16"/>
                <w:szCs w:val="16"/>
              </w:rPr>
              <w:t>2</w:t>
            </w:r>
          </w:p>
        </w:tc>
        <w:tc>
          <w:tcPr>
            <w:tcW w:w="497" w:type="pct"/>
            <w:gridSpan w:val="2"/>
            <w:tcBorders>
              <w:top w:val="nil"/>
              <w:left w:val="nil"/>
              <w:bottom w:val="single" w:sz="8" w:space="0" w:color="auto"/>
              <w:right w:val="nil"/>
            </w:tcBorders>
            <w:shd w:val="clear" w:color="000000" w:fill="FFFFFF"/>
            <w:vAlign w:val="center"/>
            <w:hideMark/>
          </w:tcPr>
          <w:p w14:paraId="2C3005DD" w14:textId="576F2EC5" w:rsidR="00F376DC" w:rsidRPr="00F376DC" w:rsidRDefault="00F376DC" w:rsidP="00937ED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sz w:val="16"/>
                <w:szCs w:val="16"/>
              </w:rPr>
              <w:t>31/12/2</w:t>
            </w:r>
            <w:r w:rsidR="00F52368">
              <w:rPr>
                <w:rFonts w:asciiTheme="minorHAnsi" w:hAnsiTheme="minorHAnsi" w:cstheme="minorHAnsi"/>
                <w:b/>
                <w:bCs/>
                <w:sz w:val="16"/>
                <w:szCs w:val="16"/>
              </w:rPr>
              <w:t>02</w:t>
            </w:r>
            <w:r w:rsidR="00F46E79">
              <w:rPr>
                <w:rFonts w:asciiTheme="minorHAnsi" w:hAnsiTheme="minorHAnsi" w:cstheme="minorHAnsi"/>
                <w:b/>
                <w:bCs/>
                <w:sz w:val="16"/>
                <w:szCs w:val="16"/>
              </w:rPr>
              <w:t>1</w:t>
            </w:r>
          </w:p>
        </w:tc>
      </w:tr>
      <w:tr w:rsidR="00ED472A" w:rsidRPr="00F376DC" w14:paraId="3E346F06" w14:textId="77777777" w:rsidTr="00F52368">
        <w:trPr>
          <w:trHeight w:hRule="exact" w:val="227"/>
          <w:jc w:val="center"/>
        </w:trPr>
        <w:tc>
          <w:tcPr>
            <w:tcW w:w="688" w:type="pct"/>
            <w:tcBorders>
              <w:top w:val="nil"/>
              <w:left w:val="nil"/>
              <w:bottom w:val="nil"/>
              <w:right w:val="nil"/>
            </w:tcBorders>
            <w:shd w:val="clear" w:color="000000" w:fill="FFFFFF"/>
            <w:noWrap/>
            <w:vAlign w:val="center"/>
          </w:tcPr>
          <w:p w14:paraId="231CF7DD" w14:textId="7A72E9B0" w:rsidR="00F46E79" w:rsidRPr="00F376DC" w:rsidRDefault="00F46E79" w:rsidP="00F46E79">
            <w:pPr>
              <w:spacing w:after="120"/>
              <w:jc w:val="center"/>
              <w:rPr>
                <w:rFonts w:asciiTheme="minorHAnsi" w:hAnsiTheme="minorHAnsi" w:cstheme="minorHAnsi"/>
                <w:sz w:val="16"/>
                <w:szCs w:val="16"/>
              </w:rPr>
            </w:pPr>
            <w:r>
              <w:rPr>
                <w:rFonts w:asciiTheme="minorHAnsi" w:hAnsiTheme="minorHAnsi" w:cstheme="minorHAnsi"/>
                <w:sz w:val="16"/>
                <w:szCs w:val="16"/>
              </w:rPr>
              <w:t>130</w:t>
            </w:r>
          </w:p>
        </w:tc>
        <w:tc>
          <w:tcPr>
            <w:tcW w:w="2893" w:type="pct"/>
            <w:gridSpan w:val="3"/>
            <w:tcBorders>
              <w:top w:val="nil"/>
              <w:left w:val="nil"/>
              <w:bottom w:val="nil"/>
              <w:right w:val="nil"/>
            </w:tcBorders>
            <w:shd w:val="clear" w:color="000000" w:fill="FFFFFF"/>
            <w:noWrap/>
            <w:vAlign w:val="center"/>
          </w:tcPr>
          <w:p w14:paraId="295D99CD" w14:textId="649433E0" w:rsidR="00F46E79" w:rsidRPr="00F376DC" w:rsidRDefault="00F46E79" w:rsidP="00F46E79">
            <w:pPr>
              <w:spacing w:after="120"/>
              <w:jc w:val="both"/>
              <w:rPr>
                <w:rFonts w:asciiTheme="minorHAnsi" w:hAnsiTheme="minorHAnsi" w:cstheme="minorHAnsi"/>
                <w:sz w:val="16"/>
                <w:szCs w:val="16"/>
              </w:rPr>
            </w:pPr>
            <w:r w:rsidRPr="002E2B5B">
              <w:rPr>
                <w:rFonts w:ascii="Calibri" w:hAnsi="Calibri" w:cs="Calibri"/>
                <w:sz w:val="16"/>
                <w:szCs w:val="16"/>
              </w:rPr>
              <w:t>Pessoal-sentenças judiciais</w:t>
            </w:r>
          </w:p>
        </w:tc>
        <w:tc>
          <w:tcPr>
            <w:tcW w:w="95" w:type="pct"/>
            <w:gridSpan w:val="2"/>
            <w:tcBorders>
              <w:top w:val="nil"/>
              <w:left w:val="nil"/>
              <w:bottom w:val="nil"/>
              <w:right w:val="nil"/>
            </w:tcBorders>
            <w:shd w:val="clear" w:color="auto" w:fill="auto"/>
            <w:vAlign w:val="center"/>
          </w:tcPr>
          <w:p w14:paraId="06E21003" w14:textId="77777777" w:rsidR="00F46E79" w:rsidRPr="00F376DC" w:rsidRDefault="00F46E79" w:rsidP="00F46E79">
            <w:pPr>
              <w:spacing w:after="120"/>
              <w:jc w:val="both"/>
              <w:rPr>
                <w:rFonts w:asciiTheme="minorHAnsi" w:hAnsiTheme="minorHAnsi" w:cstheme="minorHAnsi"/>
                <w:color w:val="000000"/>
                <w:sz w:val="16"/>
                <w:szCs w:val="16"/>
              </w:rPr>
            </w:pPr>
          </w:p>
        </w:tc>
        <w:tc>
          <w:tcPr>
            <w:tcW w:w="95" w:type="pct"/>
            <w:gridSpan w:val="2"/>
            <w:tcBorders>
              <w:top w:val="nil"/>
              <w:left w:val="nil"/>
              <w:bottom w:val="nil"/>
              <w:right w:val="nil"/>
            </w:tcBorders>
            <w:shd w:val="clear" w:color="auto" w:fill="auto"/>
            <w:vAlign w:val="center"/>
          </w:tcPr>
          <w:p w14:paraId="298D01F5"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noWrap/>
            <w:vAlign w:val="center"/>
          </w:tcPr>
          <w:p w14:paraId="2190D6B1"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vAlign w:val="center"/>
          </w:tcPr>
          <w:p w14:paraId="4C89111A" w14:textId="77777777" w:rsidR="00F46E79" w:rsidRPr="00F376DC" w:rsidRDefault="00F46E79" w:rsidP="00F46E79">
            <w:pPr>
              <w:spacing w:after="120"/>
              <w:jc w:val="right"/>
              <w:rPr>
                <w:rFonts w:asciiTheme="minorHAnsi" w:hAnsiTheme="minorHAnsi" w:cstheme="minorHAnsi"/>
                <w:sz w:val="16"/>
                <w:szCs w:val="16"/>
              </w:rPr>
            </w:pPr>
          </w:p>
        </w:tc>
        <w:tc>
          <w:tcPr>
            <w:tcW w:w="541" w:type="pct"/>
            <w:gridSpan w:val="2"/>
            <w:tcBorders>
              <w:top w:val="nil"/>
              <w:left w:val="nil"/>
              <w:bottom w:val="nil"/>
              <w:right w:val="nil"/>
            </w:tcBorders>
            <w:shd w:val="clear" w:color="auto" w:fill="auto"/>
            <w:vAlign w:val="center"/>
          </w:tcPr>
          <w:p w14:paraId="4161F341" w14:textId="53BADA52" w:rsidR="00F46E79" w:rsidRDefault="00405C1F"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189.495</w:t>
            </w:r>
          </w:p>
        </w:tc>
        <w:tc>
          <w:tcPr>
            <w:tcW w:w="497" w:type="pct"/>
            <w:gridSpan w:val="2"/>
            <w:tcBorders>
              <w:top w:val="nil"/>
              <w:left w:val="nil"/>
              <w:bottom w:val="nil"/>
              <w:right w:val="nil"/>
            </w:tcBorders>
            <w:shd w:val="clear" w:color="auto" w:fill="auto"/>
            <w:vAlign w:val="center"/>
          </w:tcPr>
          <w:p w14:paraId="65BDD229" w14:textId="493FF922" w:rsidR="00F46E79"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ED472A" w:rsidRPr="00F376DC" w14:paraId="4EEF529E" w14:textId="77777777" w:rsidTr="00F52368">
        <w:trPr>
          <w:trHeight w:hRule="exact" w:val="227"/>
          <w:jc w:val="center"/>
        </w:trPr>
        <w:tc>
          <w:tcPr>
            <w:tcW w:w="688" w:type="pct"/>
            <w:tcBorders>
              <w:top w:val="nil"/>
              <w:left w:val="nil"/>
              <w:bottom w:val="nil"/>
              <w:right w:val="nil"/>
            </w:tcBorders>
            <w:shd w:val="clear" w:color="000000" w:fill="FFFFFF"/>
            <w:noWrap/>
            <w:vAlign w:val="center"/>
          </w:tcPr>
          <w:p w14:paraId="35A6B669" w14:textId="2541D6E1" w:rsidR="00F46E79" w:rsidRPr="00F376DC" w:rsidRDefault="00F46E79" w:rsidP="00F46E79">
            <w:pPr>
              <w:spacing w:after="120"/>
              <w:jc w:val="center"/>
              <w:rPr>
                <w:rFonts w:asciiTheme="minorHAnsi" w:hAnsiTheme="minorHAnsi" w:cstheme="minorHAnsi"/>
                <w:sz w:val="16"/>
                <w:szCs w:val="16"/>
              </w:rPr>
            </w:pPr>
            <w:r>
              <w:rPr>
                <w:rFonts w:asciiTheme="minorHAnsi" w:hAnsiTheme="minorHAnsi" w:cstheme="minorHAnsi"/>
                <w:sz w:val="16"/>
                <w:szCs w:val="16"/>
              </w:rPr>
              <w:t>307</w:t>
            </w:r>
          </w:p>
        </w:tc>
        <w:tc>
          <w:tcPr>
            <w:tcW w:w="2893" w:type="pct"/>
            <w:gridSpan w:val="3"/>
            <w:tcBorders>
              <w:top w:val="nil"/>
              <w:left w:val="nil"/>
              <w:bottom w:val="nil"/>
              <w:right w:val="nil"/>
            </w:tcBorders>
            <w:shd w:val="clear" w:color="000000" w:fill="FFFFFF"/>
            <w:noWrap/>
            <w:vAlign w:val="center"/>
          </w:tcPr>
          <w:p w14:paraId="57B0B661" w14:textId="068A805C" w:rsidR="00F46E79" w:rsidRPr="00F376DC" w:rsidRDefault="00F46E79" w:rsidP="00F46E79">
            <w:pPr>
              <w:spacing w:after="120"/>
              <w:jc w:val="both"/>
              <w:rPr>
                <w:rFonts w:asciiTheme="minorHAnsi" w:hAnsiTheme="minorHAnsi" w:cstheme="minorHAnsi"/>
                <w:sz w:val="16"/>
                <w:szCs w:val="16"/>
              </w:rPr>
            </w:pPr>
            <w:r w:rsidRPr="002E2B5B">
              <w:rPr>
                <w:rFonts w:ascii="Calibri" w:hAnsi="Calibri" w:cs="Calibri"/>
                <w:sz w:val="16"/>
                <w:szCs w:val="16"/>
              </w:rPr>
              <w:t>Outros pag. pessoais - órgãos integrantes SIAPE</w:t>
            </w:r>
          </w:p>
        </w:tc>
        <w:tc>
          <w:tcPr>
            <w:tcW w:w="95" w:type="pct"/>
            <w:gridSpan w:val="2"/>
            <w:tcBorders>
              <w:top w:val="nil"/>
              <w:left w:val="nil"/>
              <w:bottom w:val="nil"/>
              <w:right w:val="nil"/>
            </w:tcBorders>
            <w:shd w:val="clear" w:color="auto" w:fill="auto"/>
            <w:vAlign w:val="center"/>
          </w:tcPr>
          <w:p w14:paraId="31519815" w14:textId="77777777" w:rsidR="00F46E79" w:rsidRPr="00F376DC" w:rsidRDefault="00F46E79" w:rsidP="00F46E79">
            <w:pPr>
              <w:spacing w:after="120"/>
              <w:jc w:val="both"/>
              <w:rPr>
                <w:rFonts w:asciiTheme="minorHAnsi" w:hAnsiTheme="minorHAnsi" w:cstheme="minorHAnsi"/>
                <w:color w:val="000000"/>
                <w:sz w:val="16"/>
                <w:szCs w:val="16"/>
              </w:rPr>
            </w:pPr>
          </w:p>
        </w:tc>
        <w:tc>
          <w:tcPr>
            <w:tcW w:w="95" w:type="pct"/>
            <w:gridSpan w:val="2"/>
            <w:tcBorders>
              <w:top w:val="nil"/>
              <w:left w:val="nil"/>
              <w:bottom w:val="nil"/>
              <w:right w:val="nil"/>
            </w:tcBorders>
            <w:shd w:val="clear" w:color="auto" w:fill="auto"/>
            <w:vAlign w:val="center"/>
          </w:tcPr>
          <w:p w14:paraId="2244263D"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noWrap/>
            <w:vAlign w:val="center"/>
          </w:tcPr>
          <w:p w14:paraId="2B7BA603"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vAlign w:val="center"/>
          </w:tcPr>
          <w:p w14:paraId="419C8F3E" w14:textId="77777777" w:rsidR="00F46E79" w:rsidRPr="00F376DC" w:rsidRDefault="00F46E79" w:rsidP="00F46E79">
            <w:pPr>
              <w:spacing w:after="120"/>
              <w:jc w:val="right"/>
              <w:rPr>
                <w:rFonts w:asciiTheme="minorHAnsi" w:hAnsiTheme="minorHAnsi" w:cstheme="minorHAnsi"/>
                <w:sz w:val="16"/>
                <w:szCs w:val="16"/>
              </w:rPr>
            </w:pPr>
          </w:p>
        </w:tc>
        <w:tc>
          <w:tcPr>
            <w:tcW w:w="541" w:type="pct"/>
            <w:gridSpan w:val="2"/>
            <w:tcBorders>
              <w:top w:val="nil"/>
              <w:left w:val="nil"/>
              <w:bottom w:val="nil"/>
              <w:right w:val="nil"/>
            </w:tcBorders>
            <w:shd w:val="clear" w:color="auto" w:fill="auto"/>
            <w:vAlign w:val="center"/>
          </w:tcPr>
          <w:p w14:paraId="2E30024F" w14:textId="5368FAB4" w:rsidR="00F46E79" w:rsidRDefault="007760E0"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748.991</w:t>
            </w:r>
          </w:p>
        </w:tc>
        <w:tc>
          <w:tcPr>
            <w:tcW w:w="497" w:type="pct"/>
            <w:gridSpan w:val="2"/>
            <w:tcBorders>
              <w:top w:val="nil"/>
              <w:left w:val="nil"/>
              <w:bottom w:val="nil"/>
              <w:right w:val="nil"/>
            </w:tcBorders>
            <w:shd w:val="clear" w:color="auto" w:fill="auto"/>
            <w:vAlign w:val="center"/>
          </w:tcPr>
          <w:p w14:paraId="02D560CD" w14:textId="36457714" w:rsidR="00F46E79"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ED472A" w:rsidRPr="00F376DC" w14:paraId="4D9A41E9" w14:textId="77777777" w:rsidTr="00F52368">
        <w:trPr>
          <w:trHeight w:hRule="exact" w:val="227"/>
          <w:jc w:val="center"/>
        </w:trPr>
        <w:tc>
          <w:tcPr>
            <w:tcW w:w="688" w:type="pct"/>
            <w:tcBorders>
              <w:top w:val="nil"/>
              <w:left w:val="nil"/>
              <w:bottom w:val="nil"/>
              <w:right w:val="nil"/>
            </w:tcBorders>
            <w:shd w:val="clear" w:color="000000" w:fill="FFFFFF"/>
            <w:noWrap/>
            <w:vAlign w:val="center"/>
            <w:hideMark/>
          </w:tcPr>
          <w:p w14:paraId="2BA7CDAD"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308</w:t>
            </w:r>
          </w:p>
        </w:tc>
        <w:tc>
          <w:tcPr>
            <w:tcW w:w="2893" w:type="pct"/>
            <w:gridSpan w:val="3"/>
            <w:tcBorders>
              <w:top w:val="nil"/>
              <w:left w:val="nil"/>
              <w:bottom w:val="nil"/>
              <w:right w:val="nil"/>
            </w:tcBorders>
            <w:shd w:val="clear" w:color="000000" w:fill="FFFFFF"/>
            <w:noWrap/>
            <w:vAlign w:val="center"/>
            <w:hideMark/>
          </w:tcPr>
          <w:p w14:paraId="5F8A1F77"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Contribuição previdência fechada     </w:t>
            </w:r>
          </w:p>
        </w:tc>
        <w:tc>
          <w:tcPr>
            <w:tcW w:w="95" w:type="pct"/>
            <w:gridSpan w:val="2"/>
            <w:tcBorders>
              <w:top w:val="nil"/>
              <w:left w:val="nil"/>
              <w:bottom w:val="nil"/>
              <w:right w:val="nil"/>
            </w:tcBorders>
            <w:shd w:val="clear" w:color="auto" w:fill="auto"/>
            <w:vAlign w:val="center"/>
            <w:hideMark/>
          </w:tcPr>
          <w:p w14:paraId="50E60C38" w14:textId="77777777" w:rsidR="00F46E79" w:rsidRPr="00F376DC" w:rsidRDefault="00F46E79" w:rsidP="00F46E79">
            <w:pPr>
              <w:spacing w:after="120"/>
              <w:jc w:val="both"/>
              <w:rPr>
                <w:rFonts w:asciiTheme="minorHAnsi" w:hAnsiTheme="minorHAnsi" w:cstheme="minorHAnsi"/>
                <w:color w:val="000000"/>
                <w:sz w:val="16"/>
                <w:szCs w:val="16"/>
              </w:rPr>
            </w:pPr>
          </w:p>
        </w:tc>
        <w:tc>
          <w:tcPr>
            <w:tcW w:w="95" w:type="pct"/>
            <w:gridSpan w:val="2"/>
            <w:tcBorders>
              <w:top w:val="nil"/>
              <w:left w:val="nil"/>
              <w:bottom w:val="nil"/>
              <w:right w:val="nil"/>
            </w:tcBorders>
            <w:shd w:val="clear" w:color="auto" w:fill="auto"/>
            <w:vAlign w:val="center"/>
            <w:hideMark/>
          </w:tcPr>
          <w:p w14:paraId="246FA114"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noWrap/>
            <w:vAlign w:val="center"/>
            <w:hideMark/>
          </w:tcPr>
          <w:p w14:paraId="698342D9"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vAlign w:val="center"/>
            <w:hideMark/>
          </w:tcPr>
          <w:p w14:paraId="6BA85CB7" w14:textId="77777777" w:rsidR="00F46E79" w:rsidRPr="00F376DC" w:rsidRDefault="00F46E79" w:rsidP="00F46E79">
            <w:pPr>
              <w:spacing w:after="120"/>
              <w:jc w:val="right"/>
              <w:rPr>
                <w:rFonts w:asciiTheme="minorHAnsi" w:hAnsiTheme="minorHAnsi" w:cstheme="minorHAnsi"/>
                <w:sz w:val="16"/>
                <w:szCs w:val="16"/>
              </w:rPr>
            </w:pPr>
          </w:p>
        </w:tc>
        <w:tc>
          <w:tcPr>
            <w:tcW w:w="541" w:type="pct"/>
            <w:gridSpan w:val="2"/>
            <w:tcBorders>
              <w:top w:val="nil"/>
              <w:left w:val="nil"/>
              <w:bottom w:val="nil"/>
              <w:right w:val="nil"/>
            </w:tcBorders>
            <w:shd w:val="clear" w:color="auto" w:fill="auto"/>
            <w:vAlign w:val="center"/>
            <w:hideMark/>
          </w:tcPr>
          <w:p w14:paraId="4410DB0E" w14:textId="25693A52" w:rsidR="00F46E79" w:rsidRDefault="007760E0"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82.611</w:t>
            </w:r>
          </w:p>
          <w:p w14:paraId="34F9C92C" w14:textId="2D37785A" w:rsidR="00937F34" w:rsidRPr="00F376DC" w:rsidRDefault="00937F34" w:rsidP="00F46E79">
            <w:pPr>
              <w:spacing w:after="120"/>
              <w:jc w:val="right"/>
              <w:rPr>
                <w:rFonts w:asciiTheme="minorHAnsi" w:hAnsiTheme="minorHAnsi" w:cstheme="minorHAnsi"/>
                <w:color w:val="000000"/>
                <w:sz w:val="16"/>
                <w:szCs w:val="16"/>
              </w:rPr>
            </w:pPr>
          </w:p>
        </w:tc>
        <w:tc>
          <w:tcPr>
            <w:tcW w:w="497" w:type="pct"/>
            <w:gridSpan w:val="2"/>
            <w:tcBorders>
              <w:top w:val="nil"/>
              <w:left w:val="nil"/>
              <w:bottom w:val="nil"/>
              <w:right w:val="nil"/>
            </w:tcBorders>
            <w:shd w:val="clear" w:color="auto" w:fill="auto"/>
            <w:vAlign w:val="center"/>
            <w:hideMark/>
          </w:tcPr>
          <w:p w14:paraId="6DA77E04" w14:textId="24D19C66"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65.083</w:t>
            </w:r>
          </w:p>
        </w:tc>
      </w:tr>
      <w:tr w:rsidR="00ED472A" w:rsidRPr="00F376DC" w14:paraId="12635C70" w14:textId="77777777" w:rsidTr="00F52368">
        <w:trPr>
          <w:trHeight w:hRule="exact" w:val="227"/>
          <w:jc w:val="center"/>
        </w:trPr>
        <w:tc>
          <w:tcPr>
            <w:tcW w:w="688" w:type="pct"/>
            <w:tcBorders>
              <w:top w:val="nil"/>
              <w:left w:val="nil"/>
              <w:bottom w:val="nil"/>
              <w:right w:val="nil"/>
            </w:tcBorders>
            <w:shd w:val="clear" w:color="000000" w:fill="FFFFFF"/>
            <w:noWrap/>
            <w:vAlign w:val="center"/>
            <w:hideMark/>
          </w:tcPr>
          <w:p w14:paraId="31DF5532"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310</w:t>
            </w:r>
          </w:p>
        </w:tc>
        <w:tc>
          <w:tcPr>
            <w:tcW w:w="2893" w:type="pct"/>
            <w:gridSpan w:val="3"/>
            <w:tcBorders>
              <w:top w:val="nil"/>
              <w:left w:val="nil"/>
              <w:bottom w:val="nil"/>
              <w:right w:val="nil"/>
            </w:tcBorders>
            <w:shd w:val="clear" w:color="000000" w:fill="FFFFFF"/>
            <w:noWrap/>
            <w:vAlign w:val="center"/>
            <w:hideMark/>
          </w:tcPr>
          <w:p w14:paraId="5FD438ED" w14:textId="77777777" w:rsidR="00F46E79" w:rsidRPr="00F376DC" w:rsidRDefault="00F46E79" w:rsidP="00F46E79">
            <w:pPr>
              <w:spacing w:after="120"/>
              <w:rPr>
                <w:rFonts w:asciiTheme="minorHAnsi" w:hAnsiTheme="minorHAnsi" w:cstheme="minorHAnsi"/>
                <w:color w:val="000000"/>
                <w:sz w:val="16"/>
                <w:szCs w:val="16"/>
              </w:rPr>
            </w:pPr>
            <w:r w:rsidRPr="00F376DC">
              <w:rPr>
                <w:rFonts w:asciiTheme="minorHAnsi" w:hAnsiTheme="minorHAnsi" w:cstheme="minorHAnsi"/>
                <w:sz w:val="16"/>
                <w:szCs w:val="16"/>
              </w:rPr>
              <w:t xml:space="preserve">Pagamento pessoal                    </w:t>
            </w:r>
          </w:p>
        </w:tc>
        <w:tc>
          <w:tcPr>
            <w:tcW w:w="95" w:type="pct"/>
            <w:gridSpan w:val="2"/>
            <w:tcBorders>
              <w:top w:val="nil"/>
              <w:left w:val="nil"/>
              <w:bottom w:val="nil"/>
              <w:right w:val="nil"/>
            </w:tcBorders>
            <w:shd w:val="clear" w:color="auto" w:fill="auto"/>
            <w:vAlign w:val="center"/>
            <w:hideMark/>
          </w:tcPr>
          <w:p w14:paraId="6B98CD2A" w14:textId="77777777" w:rsidR="00F46E79" w:rsidRPr="00F376DC" w:rsidRDefault="00F46E79" w:rsidP="00F46E79">
            <w:pPr>
              <w:spacing w:after="120"/>
              <w:rPr>
                <w:rFonts w:asciiTheme="minorHAnsi" w:hAnsiTheme="minorHAnsi" w:cstheme="minorHAnsi"/>
                <w:color w:val="000000"/>
                <w:sz w:val="16"/>
                <w:szCs w:val="16"/>
              </w:rPr>
            </w:pPr>
          </w:p>
        </w:tc>
        <w:tc>
          <w:tcPr>
            <w:tcW w:w="95" w:type="pct"/>
            <w:gridSpan w:val="2"/>
            <w:tcBorders>
              <w:top w:val="nil"/>
              <w:left w:val="nil"/>
              <w:bottom w:val="nil"/>
              <w:right w:val="nil"/>
            </w:tcBorders>
            <w:shd w:val="clear" w:color="auto" w:fill="auto"/>
            <w:vAlign w:val="center"/>
            <w:hideMark/>
          </w:tcPr>
          <w:p w14:paraId="6003A1C4" w14:textId="77777777" w:rsidR="00F46E79" w:rsidRPr="00F376DC" w:rsidRDefault="00F46E79" w:rsidP="00F46E79">
            <w:pPr>
              <w:spacing w:after="120"/>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noWrap/>
            <w:vAlign w:val="center"/>
            <w:hideMark/>
          </w:tcPr>
          <w:p w14:paraId="0661D06C" w14:textId="77777777" w:rsidR="00F46E79" w:rsidRPr="00F376DC" w:rsidRDefault="00F46E79" w:rsidP="00F46E79">
            <w:pPr>
              <w:spacing w:after="120"/>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vAlign w:val="center"/>
            <w:hideMark/>
          </w:tcPr>
          <w:p w14:paraId="71856824" w14:textId="77777777" w:rsidR="00F46E79" w:rsidRPr="00F376DC" w:rsidRDefault="00F46E79" w:rsidP="00F46E79">
            <w:pPr>
              <w:spacing w:after="120"/>
              <w:rPr>
                <w:rFonts w:asciiTheme="minorHAnsi" w:hAnsiTheme="minorHAnsi" w:cstheme="minorHAnsi"/>
                <w:sz w:val="16"/>
                <w:szCs w:val="16"/>
              </w:rPr>
            </w:pPr>
          </w:p>
        </w:tc>
        <w:tc>
          <w:tcPr>
            <w:tcW w:w="541" w:type="pct"/>
            <w:gridSpan w:val="2"/>
            <w:tcBorders>
              <w:top w:val="nil"/>
              <w:left w:val="nil"/>
              <w:bottom w:val="nil"/>
              <w:right w:val="nil"/>
            </w:tcBorders>
            <w:shd w:val="clear" w:color="auto" w:fill="auto"/>
            <w:vAlign w:val="center"/>
            <w:hideMark/>
          </w:tcPr>
          <w:p w14:paraId="25F93407" w14:textId="03469A98" w:rsidR="00F46E79" w:rsidRPr="00F376DC" w:rsidRDefault="007760E0"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8.115.391</w:t>
            </w:r>
          </w:p>
        </w:tc>
        <w:tc>
          <w:tcPr>
            <w:tcW w:w="497" w:type="pct"/>
            <w:gridSpan w:val="2"/>
            <w:tcBorders>
              <w:top w:val="nil"/>
              <w:left w:val="nil"/>
              <w:bottom w:val="nil"/>
              <w:right w:val="nil"/>
            </w:tcBorders>
            <w:shd w:val="clear" w:color="auto" w:fill="auto"/>
            <w:vAlign w:val="center"/>
            <w:hideMark/>
          </w:tcPr>
          <w:p w14:paraId="644DA943" w14:textId="2A05A8F9"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6.141.722</w:t>
            </w:r>
          </w:p>
        </w:tc>
      </w:tr>
      <w:tr w:rsidR="00ED472A" w:rsidRPr="00F376DC" w14:paraId="5A7684E3" w14:textId="77777777" w:rsidTr="00F52368">
        <w:trPr>
          <w:trHeight w:hRule="exact" w:val="227"/>
          <w:jc w:val="center"/>
        </w:trPr>
        <w:tc>
          <w:tcPr>
            <w:tcW w:w="688" w:type="pct"/>
            <w:tcBorders>
              <w:top w:val="nil"/>
              <w:left w:val="nil"/>
              <w:bottom w:val="nil"/>
              <w:right w:val="nil"/>
            </w:tcBorders>
            <w:shd w:val="clear" w:color="000000" w:fill="FFFFFF"/>
            <w:noWrap/>
            <w:vAlign w:val="center"/>
          </w:tcPr>
          <w:p w14:paraId="65D8E2CC" w14:textId="1BE84AD5" w:rsidR="00F46E79" w:rsidRPr="00F376DC" w:rsidRDefault="00F46E79" w:rsidP="00F46E79">
            <w:pPr>
              <w:spacing w:after="120"/>
              <w:jc w:val="center"/>
              <w:rPr>
                <w:rFonts w:asciiTheme="minorHAnsi" w:hAnsiTheme="minorHAnsi" w:cstheme="minorHAnsi"/>
                <w:sz w:val="16"/>
                <w:szCs w:val="16"/>
              </w:rPr>
            </w:pPr>
            <w:r>
              <w:rPr>
                <w:rFonts w:asciiTheme="minorHAnsi" w:hAnsiTheme="minorHAnsi" w:cstheme="minorHAnsi"/>
                <w:sz w:val="16"/>
                <w:szCs w:val="16"/>
              </w:rPr>
              <w:t>340</w:t>
            </w:r>
          </w:p>
        </w:tc>
        <w:tc>
          <w:tcPr>
            <w:tcW w:w="2893" w:type="pct"/>
            <w:gridSpan w:val="3"/>
            <w:tcBorders>
              <w:top w:val="nil"/>
              <w:left w:val="nil"/>
              <w:bottom w:val="nil"/>
              <w:right w:val="nil"/>
            </w:tcBorders>
            <w:shd w:val="clear" w:color="000000" w:fill="FFFFFF"/>
            <w:noWrap/>
            <w:vAlign w:val="center"/>
          </w:tcPr>
          <w:p w14:paraId="4C819FB9" w14:textId="6E4DD775" w:rsidR="00F46E79" w:rsidRPr="00F376DC" w:rsidRDefault="00F46E79" w:rsidP="00F46E79">
            <w:pPr>
              <w:spacing w:after="120"/>
              <w:jc w:val="both"/>
              <w:rPr>
                <w:rFonts w:asciiTheme="minorHAnsi" w:hAnsiTheme="minorHAnsi" w:cstheme="minorHAnsi"/>
                <w:sz w:val="16"/>
                <w:szCs w:val="16"/>
              </w:rPr>
            </w:pPr>
            <w:r w:rsidRPr="002E2B5B">
              <w:rPr>
                <w:rFonts w:ascii="Calibri" w:hAnsi="Calibri" w:cs="Calibri"/>
                <w:sz w:val="16"/>
                <w:szCs w:val="16"/>
              </w:rPr>
              <w:t>Custeio sentenças judiciais</w:t>
            </w:r>
          </w:p>
        </w:tc>
        <w:tc>
          <w:tcPr>
            <w:tcW w:w="95" w:type="pct"/>
            <w:gridSpan w:val="2"/>
            <w:tcBorders>
              <w:top w:val="nil"/>
              <w:left w:val="nil"/>
              <w:bottom w:val="nil"/>
              <w:right w:val="nil"/>
            </w:tcBorders>
            <w:shd w:val="clear" w:color="auto" w:fill="auto"/>
            <w:vAlign w:val="center"/>
          </w:tcPr>
          <w:p w14:paraId="23D96077" w14:textId="77777777" w:rsidR="00F46E79" w:rsidRPr="00F376DC" w:rsidRDefault="00F46E79" w:rsidP="00F46E79">
            <w:pPr>
              <w:spacing w:after="120"/>
              <w:jc w:val="both"/>
              <w:rPr>
                <w:rFonts w:asciiTheme="minorHAnsi" w:hAnsiTheme="minorHAnsi" w:cstheme="minorHAnsi"/>
                <w:color w:val="000000"/>
                <w:sz w:val="16"/>
                <w:szCs w:val="16"/>
              </w:rPr>
            </w:pPr>
          </w:p>
        </w:tc>
        <w:tc>
          <w:tcPr>
            <w:tcW w:w="95" w:type="pct"/>
            <w:gridSpan w:val="2"/>
            <w:tcBorders>
              <w:top w:val="nil"/>
              <w:left w:val="nil"/>
              <w:bottom w:val="nil"/>
              <w:right w:val="nil"/>
            </w:tcBorders>
            <w:shd w:val="clear" w:color="auto" w:fill="auto"/>
            <w:vAlign w:val="center"/>
          </w:tcPr>
          <w:p w14:paraId="65566A0E"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noWrap/>
            <w:vAlign w:val="center"/>
          </w:tcPr>
          <w:p w14:paraId="3F2F7719"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vAlign w:val="center"/>
          </w:tcPr>
          <w:p w14:paraId="1AF8D606" w14:textId="77777777" w:rsidR="00F46E79" w:rsidRPr="00F376DC" w:rsidRDefault="00F46E79" w:rsidP="00F46E79">
            <w:pPr>
              <w:spacing w:after="120"/>
              <w:jc w:val="right"/>
              <w:rPr>
                <w:rFonts w:asciiTheme="minorHAnsi" w:hAnsiTheme="minorHAnsi" w:cstheme="minorHAnsi"/>
                <w:sz w:val="16"/>
                <w:szCs w:val="16"/>
              </w:rPr>
            </w:pPr>
          </w:p>
        </w:tc>
        <w:tc>
          <w:tcPr>
            <w:tcW w:w="541" w:type="pct"/>
            <w:gridSpan w:val="2"/>
            <w:tcBorders>
              <w:top w:val="nil"/>
              <w:left w:val="nil"/>
              <w:bottom w:val="nil"/>
              <w:right w:val="nil"/>
            </w:tcBorders>
            <w:shd w:val="clear" w:color="auto" w:fill="auto"/>
            <w:vAlign w:val="center"/>
          </w:tcPr>
          <w:p w14:paraId="573752C9" w14:textId="7F08F946" w:rsidR="00F46E79" w:rsidRDefault="007760E0"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18.770</w:t>
            </w:r>
          </w:p>
        </w:tc>
        <w:tc>
          <w:tcPr>
            <w:tcW w:w="497" w:type="pct"/>
            <w:gridSpan w:val="2"/>
            <w:tcBorders>
              <w:top w:val="nil"/>
              <w:left w:val="nil"/>
              <w:bottom w:val="nil"/>
              <w:right w:val="nil"/>
            </w:tcBorders>
            <w:shd w:val="clear" w:color="auto" w:fill="auto"/>
            <w:vAlign w:val="center"/>
          </w:tcPr>
          <w:p w14:paraId="006FC21D" w14:textId="551FEE6B" w:rsidR="00F46E79"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ED472A" w:rsidRPr="00F376DC" w14:paraId="4E42868F" w14:textId="77777777" w:rsidTr="00F52368">
        <w:trPr>
          <w:trHeight w:hRule="exact" w:val="227"/>
          <w:jc w:val="center"/>
        </w:trPr>
        <w:tc>
          <w:tcPr>
            <w:tcW w:w="688" w:type="pct"/>
            <w:tcBorders>
              <w:top w:val="nil"/>
              <w:left w:val="nil"/>
              <w:bottom w:val="nil"/>
              <w:right w:val="nil"/>
            </w:tcBorders>
            <w:shd w:val="clear" w:color="000000" w:fill="FFFFFF"/>
            <w:noWrap/>
            <w:vAlign w:val="center"/>
            <w:hideMark/>
          </w:tcPr>
          <w:p w14:paraId="55AF5348"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400</w:t>
            </w:r>
          </w:p>
        </w:tc>
        <w:tc>
          <w:tcPr>
            <w:tcW w:w="2893" w:type="pct"/>
            <w:gridSpan w:val="3"/>
            <w:tcBorders>
              <w:top w:val="nil"/>
              <w:left w:val="nil"/>
              <w:bottom w:val="nil"/>
              <w:right w:val="nil"/>
            </w:tcBorders>
            <w:shd w:val="clear" w:color="000000" w:fill="FFFFFF"/>
            <w:noWrap/>
            <w:vAlign w:val="center"/>
            <w:hideMark/>
          </w:tcPr>
          <w:p w14:paraId="421AD38A"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Custeio/invest. c/exigência de empenho  </w:t>
            </w:r>
          </w:p>
        </w:tc>
        <w:tc>
          <w:tcPr>
            <w:tcW w:w="95" w:type="pct"/>
            <w:gridSpan w:val="2"/>
            <w:tcBorders>
              <w:top w:val="nil"/>
              <w:left w:val="nil"/>
              <w:bottom w:val="nil"/>
              <w:right w:val="nil"/>
            </w:tcBorders>
            <w:shd w:val="clear" w:color="auto" w:fill="auto"/>
            <w:vAlign w:val="center"/>
            <w:hideMark/>
          </w:tcPr>
          <w:p w14:paraId="1A321B91" w14:textId="77777777" w:rsidR="00F46E79" w:rsidRPr="00F376DC" w:rsidRDefault="00F46E79" w:rsidP="00F46E79">
            <w:pPr>
              <w:spacing w:after="120"/>
              <w:jc w:val="both"/>
              <w:rPr>
                <w:rFonts w:asciiTheme="minorHAnsi" w:hAnsiTheme="minorHAnsi" w:cstheme="minorHAnsi"/>
                <w:color w:val="000000"/>
                <w:sz w:val="16"/>
                <w:szCs w:val="16"/>
              </w:rPr>
            </w:pPr>
          </w:p>
        </w:tc>
        <w:tc>
          <w:tcPr>
            <w:tcW w:w="95" w:type="pct"/>
            <w:gridSpan w:val="2"/>
            <w:tcBorders>
              <w:top w:val="nil"/>
              <w:left w:val="nil"/>
              <w:bottom w:val="nil"/>
              <w:right w:val="nil"/>
            </w:tcBorders>
            <w:shd w:val="clear" w:color="auto" w:fill="auto"/>
            <w:vAlign w:val="center"/>
            <w:hideMark/>
          </w:tcPr>
          <w:p w14:paraId="0F5859A1"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noWrap/>
            <w:vAlign w:val="center"/>
            <w:hideMark/>
          </w:tcPr>
          <w:p w14:paraId="4B7321B2"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vAlign w:val="center"/>
            <w:hideMark/>
          </w:tcPr>
          <w:p w14:paraId="1AE089F3" w14:textId="77777777" w:rsidR="00F46E79" w:rsidRPr="00F376DC" w:rsidRDefault="00F46E79" w:rsidP="00F46E79">
            <w:pPr>
              <w:spacing w:after="120"/>
              <w:jc w:val="right"/>
              <w:rPr>
                <w:rFonts w:asciiTheme="minorHAnsi" w:hAnsiTheme="minorHAnsi" w:cstheme="minorHAnsi"/>
                <w:sz w:val="16"/>
                <w:szCs w:val="16"/>
              </w:rPr>
            </w:pPr>
          </w:p>
        </w:tc>
        <w:tc>
          <w:tcPr>
            <w:tcW w:w="541" w:type="pct"/>
            <w:gridSpan w:val="2"/>
            <w:tcBorders>
              <w:top w:val="nil"/>
              <w:left w:val="nil"/>
              <w:bottom w:val="nil"/>
              <w:right w:val="nil"/>
            </w:tcBorders>
            <w:shd w:val="clear" w:color="auto" w:fill="auto"/>
            <w:vAlign w:val="center"/>
            <w:hideMark/>
          </w:tcPr>
          <w:p w14:paraId="3318F26A" w14:textId="17879D41" w:rsidR="00F46E79" w:rsidRPr="00F376DC" w:rsidRDefault="007760E0"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123.527.487</w:t>
            </w:r>
          </w:p>
        </w:tc>
        <w:tc>
          <w:tcPr>
            <w:tcW w:w="497" w:type="pct"/>
            <w:gridSpan w:val="2"/>
            <w:tcBorders>
              <w:top w:val="nil"/>
              <w:left w:val="nil"/>
              <w:bottom w:val="nil"/>
              <w:right w:val="nil"/>
            </w:tcBorders>
            <w:shd w:val="clear" w:color="auto" w:fill="auto"/>
            <w:vAlign w:val="center"/>
            <w:hideMark/>
          </w:tcPr>
          <w:p w14:paraId="5F189CC1" w14:textId="71BBA2A4"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50.179.402</w:t>
            </w:r>
          </w:p>
        </w:tc>
      </w:tr>
      <w:tr w:rsidR="00ED472A" w:rsidRPr="00F376DC" w14:paraId="6F9A85F8" w14:textId="77777777" w:rsidTr="00F52368">
        <w:trPr>
          <w:trHeight w:hRule="exact" w:val="227"/>
          <w:jc w:val="center"/>
        </w:trPr>
        <w:tc>
          <w:tcPr>
            <w:tcW w:w="688" w:type="pct"/>
            <w:tcBorders>
              <w:top w:val="nil"/>
              <w:left w:val="nil"/>
              <w:bottom w:val="nil"/>
              <w:right w:val="nil"/>
            </w:tcBorders>
            <w:shd w:val="clear" w:color="000000" w:fill="FFFFFF"/>
            <w:noWrap/>
            <w:vAlign w:val="center"/>
            <w:hideMark/>
          </w:tcPr>
          <w:p w14:paraId="3FBAF7EB"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409</w:t>
            </w:r>
          </w:p>
        </w:tc>
        <w:tc>
          <w:tcPr>
            <w:tcW w:w="2893" w:type="pct"/>
            <w:gridSpan w:val="3"/>
            <w:tcBorders>
              <w:top w:val="nil"/>
              <w:left w:val="nil"/>
              <w:bottom w:val="nil"/>
              <w:right w:val="nil"/>
            </w:tcBorders>
            <w:shd w:val="clear" w:color="000000" w:fill="FFFFFF"/>
            <w:noWrap/>
            <w:vAlign w:val="center"/>
            <w:hideMark/>
          </w:tcPr>
          <w:p w14:paraId="02C5CE89"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Emendas Resultado EOF -9</w:t>
            </w:r>
          </w:p>
        </w:tc>
        <w:tc>
          <w:tcPr>
            <w:tcW w:w="95" w:type="pct"/>
            <w:gridSpan w:val="2"/>
            <w:tcBorders>
              <w:top w:val="nil"/>
              <w:left w:val="nil"/>
              <w:bottom w:val="nil"/>
              <w:right w:val="nil"/>
            </w:tcBorders>
            <w:shd w:val="clear" w:color="auto" w:fill="auto"/>
            <w:vAlign w:val="center"/>
            <w:hideMark/>
          </w:tcPr>
          <w:p w14:paraId="79912147" w14:textId="77777777" w:rsidR="00F46E79" w:rsidRPr="00F376DC" w:rsidRDefault="00F46E79" w:rsidP="00F46E79">
            <w:pPr>
              <w:spacing w:after="120"/>
              <w:jc w:val="both"/>
              <w:rPr>
                <w:rFonts w:asciiTheme="minorHAnsi" w:hAnsiTheme="minorHAnsi" w:cstheme="minorHAnsi"/>
                <w:color w:val="000000"/>
                <w:sz w:val="16"/>
                <w:szCs w:val="16"/>
              </w:rPr>
            </w:pPr>
          </w:p>
        </w:tc>
        <w:tc>
          <w:tcPr>
            <w:tcW w:w="95" w:type="pct"/>
            <w:gridSpan w:val="2"/>
            <w:tcBorders>
              <w:top w:val="nil"/>
              <w:left w:val="nil"/>
              <w:bottom w:val="nil"/>
              <w:right w:val="nil"/>
            </w:tcBorders>
            <w:shd w:val="clear" w:color="auto" w:fill="auto"/>
            <w:vAlign w:val="center"/>
            <w:hideMark/>
          </w:tcPr>
          <w:p w14:paraId="4FB693E2"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noWrap/>
            <w:vAlign w:val="center"/>
            <w:hideMark/>
          </w:tcPr>
          <w:p w14:paraId="2A543605"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vAlign w:val="center"/>
            <w:hideMark/>
          </w:tcPr>
          <w:p w14:paraId="7BA92D63" w14:textId="77777777" w:rsidR="00F46E79" w:rsidRPr="00F376DC" w:rsidRDefault="00F46E79" w:rsidP="00F46E79">
            <w:pPr>
              <w:spacing w:after="120"/>
              <w:jc w:val="right"/>
              <w:rPr>
                <w:rFonts w:asciiTheme="minorHAnsi" w:hAnsiTheme="minorHAnsi" w:cstheme="minorHAnsi"/>
                <w:sz w:val="16"/>
                <w:szCs w:val="16"/>
              </w:rPr>
            </w:pPr>
          </w:p>
        </w:tc>
        <w:tc>
          <w:tcPr>
            <w:tcW w:w="541" w:type="pct"/>
            <w:gridSpan w:val="2"/>
            <w:tcBorders>
              <w:top w:val="nil"/>
              <w:left w:val="nil"/>
              <w:bottom w:val="nil"/>
              <w:right w:val="nil"/>
            </w:tcBorders>
            <w:shd w:val="clear" w:color="auto" w:fill="auto"/>
            <w:vAlign w:val="center"/>
            <w:hideMark/>
          </w:tcPr>
          <w:p w14:paraId="243F2B6C" w14:textId="3D147C39" w:rsidR="00F46E79" w:rsidRPr="00F376DC" w:rsidRDefault="007760E0"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115.953</w:t>
            </w:r>
          </w:p>
        </w:tc>
        <w:tc>
          <w:tcPr>
            <w:tcW w:w="497" w:type="pct"/>
            <w:gridSpan w:val="2"/>
            <w:tcBorders>
              <w:top w:val="nil"/>
              <w:left w:val="nil"/>
              <w:bottom w:val="nil"/>
              <w:right w:val="nil"/>
            </w:tcBorders>
            <w:shd w:val="clear" w:color="auto" w:fill="auto"/>
            <w:vAlign w:val="center"/>
            <w:hideMark/>
          </w:tcPr>
          <w:p w14:paraId="26719CD6" w14:textId="3B4D71E3"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ED472A" w:rsidRPr="00F376DC" w14:paraId="132D53B1" w14:textId="77777777" w:rsidTr="00F52368">
        <w:trPr>
          <w:trHeight w:hRule="exact" w:val="227"/>
          <w:jc w:val="center"/>
        </w:trPr>
        <w:tc>
          <w:tcPr>
            <w:tcW w:w="688" w:type="pct"/>
            <w:tcBorders>
              <w:top w:val="nil"/>
              <w:left w:val="nil"/>
              <w:bottom w:val="nil"/>
              <w:right w:val="nil"/>
            </w:tcBorders>
            <w:shd w:val="clear" w:color="000000" w:fill="FFFFFF"/>
            <w:noWrap/>
            <w:vAlign w:val="center"/>
            <w:hideMark/>
          </w:tcPr>
          <w:p w14:paraId="599E3BE0"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500</w:t>
            </w:r>
          </w:p>
        </w:tc>
        <w:tc>
          <w:tcPr>
            <w:tcW w:w="2893" w:type="pct"/>
            <w:gridSpan w:val="3"/>
            <w:tcBorders>
              <w:top w:val="nil"/>
              <w:left w:val="nil"/>
              <w:bottom w:val="nil"/>
              <w:right w:val="nil"/>
            </w:tcBorders>
            <w:shd w:val="clear" w:color="000000" w:fill="FFFFFF"/>
            <w:noWrap/>
            <w:vAlign w:val="center"/>
            <w:hideMark/>
          </w:tcPr>
          <w:p w14:paraId="266BE23C"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Custeio e investimento</w:t>
            </w:r>
          </w:p>
        </w:tc>
        <w:tc>
          <w:tcPr>
            <w:tcW w:w="95" w:type="pct"/>
            <w:gridSpan w:val="2"/>
            <w:tcBorders>
              <w:top w:val="nil"/>
              <w:left w:val="nil"/>
              <w:bottom w:val="nil"/>
              <w:right w:val="nil"/>
            </w:tcBorders>
            <w:shd w:val="clear" w:color="auto" w:fill="auto"/>
            <w:vAlign w:val="center"/>
            <w:hideMark/>
          </w:tcPr>
          <w:p w14:paraId="13D2D3D1" w14:textId="77777777" w:rsidR="00F46E79" w:rsidRPr="00F376DC" w:rsidRDefault="00F46E79" w:rsidP="00F46E79">
            <w:pPr>
              <w:spacing w:after="120"/>
              <w:jc w:val="both"/>
              <w:rPr>
                <w:rFonts w:asciiTheme="minorHAnsi" w:hAnsiTheme="minorHAnsi" w:cstheme="minorHAnsi"/>
                <w:color w:val="000000"/>
                <w:sz w:val="16"/>
                <w:szCs w:val="16"/>
              </w:rPr>
            </w:pPr>
          </w:p>
        </w:tc>
        <w:tc>
          <w:tcPr>
            <w:tcW w:w="95" w:type="pct"/>
            <w:gridSpan w:val="2"/>
            <w:tcBorders>
              <w:top w:val="nil"/>
              <w:left w:val="nil"/>
              <w:bottom w:val="nil"/>
              <w:right w:val="nil"/>
            </w:tcBorders>
            <w:shd w:val="clear" w:color="auto" w:fill="auto"/>
            <w:vAlign w:val="center"/>
            <w:hideMark/>
          </w:tcPr>
          <w:p w14:paraId="1A14BF5C"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noWrap/>
            <w:vAlign w:val="center"/>
            <w:hideMark/>
          </w:tcPr>
          <w:p w14:paraId="28FDFC5F"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vAlign w:val="center"/>
            <w:hideMark/>
          </w:tcPr>
          <w:p w14:paraId="32C79B15" w14:textId="77777777" w:rsidR="00F46E79" w:rsidRPr="00F376DC" w:rsidRDefault="00F46E79" w:rsidP="00F46E79">
            <w:pPr>
              <w:spacing w:after="120"/>
              <w:jc w:val="right"/>
              <w:rPr>
                <w:rFonts w:asciiTheme="minorHAnsi" w:hAnsiTheme="minorHAnsi" w:cstheme="minorHAnsi"/>
                <w:sz w:val="16"/>
                <w:szCs w:val="16"/>
              </w:rPr>
            </w:pPr>
          </w:p>
        </w:tc>
        <w:tc>
          <w:tcPr>
            <w:tcW w:w="541" w:type="pct"/>
            <w:gridSpan w:val="2"/>
            <w:tcBorders>
              <w:top w:val="nil"/>
              <w:left w:val="nil"/>
              <w:bottom w:val="nil"/>
              <w:right w:val="nil"/>
            </w:tcBorders>
            <w:shd w:val="clear" w:color="auto" w:fill="auto"/>
            <w:vAlign w:val="center"/>
            <w:hideMark/>
          </w:tcPr>
          <w:p w14:paraId="2E9554EA" w14:textId="77777777" w:rsidR="00F46E79" w:rsidRPr="00F376DC" w:rsidRDefault="00F46E79" w:rsidP="00F46E7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c>
          <w:tcPr>
            <w:tcW w:w="497" w:type="pct"/>
            <w:gridSpan w:val="2"/>
            <w:tcBorders>
              <w:top w:val="nil"/>
              <w:left w:val="nil"/>
              <w:bottom w:val="nil"/>
              <w:right w:val="nil"/>
            </w:tcBorders>
            <w:shd w:val="clear" w:color="auto" w:fill="auto"/>
            <w:vAlign w:val="center"/>
            <w:hideMark/>
          </w:tcPr>
          <w:p w14:paraId="31E75825" w14:textId="7C75F3AF" w:rsidR="00F46E79" w:rsidRPr="00F376DC" w:rsidRDefault="00F46E79" w:rsidP="00F46E79">
            <w:pPr>
              <w:spacing w:after="120"/>
              <w:jc w:val="right"/>
              <w:rPr>
                <w:rFonts w:asciiTheme="minorHAnsi" w:hAnsiTheme="minorHAnsi" w:cstheme="minorHAnsi"/>
                <w:color w:val="000000"/>
                <w:sz w:val="16"/>
                <w:szCs w:val="16"/>
              </w:rPr>
            </w:pPr>
            <w:r w:rsidRPr="00F376DC">
              <w:rPr>
                <w:rFonts w:asciiTheme="minorHAnsi" w:hAnsiTheme="minorHAnsi" w:cstheme="minorHAnsi"/>
                <w:color w:val="000000"/>
                <w:sz w:val="16"/>
                <w:szCs w:val="16"/>
              </w:rPr>
              <w:t>0</w:t>
            </w:r>
          </w:p>
        </w:tc>
      </w:tr>
      <w:tr w:rsidR="00ED472A" w:rsidRPr="00F376DC" w14:paraId="0CD963FC" w14:textId="77777777" w:rsidTr="00F52368">
        <w:trPr>
          <w:trHeight w:hRule="exact" w:val="227"/>
          <w:jc w:val="center"/>
        </w:trPr>
        <w:tc>
          <w:tcPr>
            <w:tcW w:w="688" w:type="pct"/>
            <w:tcBorders>
              <w:top w:val="nil"/>
              <w:left w:val="nil"/>
              <w:bottom w:val="nil"/>
              <w:right w:val="nil"/>
            </w:tcBorders>
            <w:shd w:val="clear" w:color="000000" w:fill="FFFFFF"/>
            <w:noWrap/>
            <w:vAlign w:val="center"/>
            <w:hideMark/>
          </w:tcPr>
          <w:p w14:paraId="4CF07562"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510</w:t>
            </w:r>
          </w:p>
        </w:tc>
        <w:tc>
          <w:tcPr>
            <w:tcW w:w="2893" w:type="pct"/>
            <w:gridSpan w:val="3"/>
            <w:tcBorders>
              <w:top w:val="nil"/>
              <w:left w:val="nil"/>
              <w:bottom w:val="nil"/>
              <w:right w:val="nil"/>
            </w:tcBorders>
            <w:shd w:val="clear" w:color="000000" w:fill="FFFFFF"/>
            <w:noWrap/>
            <w:vAlign w:val="center"/>
            <w:hideMark/>
          </w:tcPr>
          <w:p w14:paraId="3FD40067"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 xml:space="preserve">Custeio pgto. pessoal/auxílios        </w:t>
            </w:r>
          </w:p>
        </w:tc>
        <w:tc>
          <w:tcPr>
            <w:tcW w:w="95" w:type="pct"/>
            <w:gridSpan w:val="2"/>
            <w:tcBorders>
              <w:top w:val="nil"/>
              <w:left w:val="nil"/>
              <w:bottom w:val="nil"/>
              <w:right w:val="nil"/>
            </w:tcBorders>
            <w:shd w:val="clear" w:color="auto" w:fill="auto"/>
            <w:vAlign w:val="center"/>
            <w:hideMark/>
          </w:tcPr>
          <w:p w14:paraId="4320340D" w14:textId="77777777" w:rsidR="00F46E79" w:rsidRPr="00F376DC" w:rsidRDefault="00F46E79" w:rsidP="00F46E79">
            <w:pPr>
              <w:spacing w:after="120"/>
              <w:jc w:val="both"/>
              <w:rPr>
                <w:rFonts w:asciiTheme="minorHAnsi" w:hAnsiTheme="minorHAnsi" w:cstheme="minorHAnsi"/>
                <w:color w:val="000000"/>
                <w:sz w:val="16"/>
                <w:szCs w:val="16"/>
              </w:rPr>
            </w:pPr>
          </w:p>
        </w:tc>
        <w:tc>
          <w:tcPr>
            <w:tcW w:w="95" w:type="pct"/>
            <w:gridSpan w:val="2"/>
            <w:tcBorders>
              <w:top w:val="nil"/>
              <w:left w:val="nil"/>
              <w:bottom w:val="nil"/>
              <w:right w:val="nil"/>
            </w:tcBorders>
            <w:shd w:val="clear" w:color="auto" w:fill="auto"/>
            <w:vAlign w:val="center"/>
            <w:hideMark/>
          </w:tcPr>
          <w:p w14:paraId="4579BF3F"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noWrap/>
            <w:vAlign w:val="center"/>
            <w:hideMark/>
          </w:tcPr>
          <w:p w14:paraId="6AAABCA2"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vAlign w:val="center"/>
            <w:hideMark/>
          </w:tcPr>
          <w:p w14:paraId="33139082" w14:textId="77777777" w:rsidR="00F46E79" w:rsidRPr="00F376DC" w:rsidRDefault="00F46E79" w:rsidP="00F46E79">
            <w:pPr>
              <w:spacing w:after="120"/>
              <w:jc w:val="right"/>
              <w:rPr>
                <w:rFonts w:asciiTheme="minorHAnsi" w:hAnsiTheme="minorHAnsi" w:cstheme="minorHAnsi"/>
                <w:sz w:val="16"/>
                <w:szCs w:val="16"/>
              </w:rPr>
            </w:pPr>
          </w:p>
        </w:tc>
        <w:tc>
          <w:tcPr>
            <w:tcW w:w="541" w:type="pct"/>
            <w:gridSpan w:val="2"/>
            <w:tcBorders>
              <w:top w:val="nil"/>
              <w:left w:val="nil"/>
              <w:bottom w:val="nil"/>
              <w:right w:val="nil"/>
            </w:tcBorders>
            <w:shd w:val="clear" w:color="auto" w:fill="auto"/>
            <w:vAlign w:val="center"/>
            <w:hideMark/>
          </w:tcPr>
          <w:p w14:paraId="109B9628" w14:textId="1EB7D7CB" w:rsidR="00F46E79" w:rsidRPr="00F376DC" w:rsidRDefault="007760E0"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2.070.117</w:t>
            </w:r>
          </w:p>
        </w:tc>
        <w:tc>
          <w:tcPr>
            <w:tcW w:w="497" w:type="pct"/>
            <w:gridSpan w:val="2"/>
            <w:tcBorders>
              <w:top w:val="nil"/>
              <w:left w:val="nil"/>
              <w:bottom w:val="nil"/>
              <w:right w:val="nil"/>
            </w:tcBorders>
            <w:shd w:val="clear" w:color="auto" w:fill="auto"/>
            <w:vAlign w:val="center"/>
            <w:hideMark/>
          </w:tcPr>
          <w:p w14:paraId="3BDC4896" w14:textId="64730902"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307.565</w:t>
            </w:r>
          </w:p>
        </w:tc>
      </w:tr>
      <w:tr w:rsidR="00ED472A" w:rsidRPr="00F376DC" w14:paraId="147EEBAD" w14:textId="77777777" w:rsidTr="00F52368">
        <w:trPr>
          <w:trHeight w:hRule="exact" w:val="227"/>
          <w:jc w:val="center"/>
        </w:trPr>
        <w:tc>
          <w:tcPr>
            <w:tcW w:w="688" w:type="pct"/>
            <w:tcBorders>
              <w:top w:val="nil"/>
              <w:left w:val="nil"/>
              <w:bottom w:val="nil"/>
              <w:right w:val="nil"/>
            </w:tcBorders>
            <w:shd w:val="clear" w:color="000000" w:fill="FFFFFF"/>
            <w:noWrap/>
            <w:vAlign w:val="center"/>
            <w:hideMark/>
          </w:tcPr>
          <w:p w14:paraId="0ADD6496" w14:textId="77777777" w:rsidR="00F46E79" w:rsidRPr="00F376DC" w:rsidRDefault="00F46E79" w:rsidP="00F46E79">
            <w:pPr>
              <w:spacing w:after="120"/>
              <w:jc w:val="center"/>
              <w:rPr>
                <w:rFonts w:asciiTheme="minorHAnsi" w:hAnsiTheme="minorHAnsi" w:cstheme="minorHAnsi"/>
                <w:color w:val="000000"/>
                <w:sz w:val="16"/>
                <w:szCs w:val="16"/>
              </w:rPr>
            </w:pPr>
            <w:r w:rsidRPr="00F376DC">
              <w:rPr>
                <w:rFonts w:asciiTheme="minorHAnsi" w:hAnsiTheme="minorHAnsi" w:cstheme="minorHAnsi"/>
                <w:sz w:val="16"/>
                <w:szCs w:val="16"/>
              </w:rPr>
              <w:t>514</w:t>
            </w:r>
          </w:p>
        </w:tc>
        <w:tc>
          <w:tcPr>
            <w:tcW w:w="2893" w:type="pct"/>
            <w:gridSpan w:val="3"/>
            <w:tcBorders>
              <w:top w:val="nil"/>
              <w:left w:val="nil"/>
              <w:bottom w:val="nil"/>
              <w:right w:val="nil"/>
            </w:tcBorders>
            <w:shd w:val="clear" w:color="000000" w:fill="FFFFFF"/>
            <w:noWrap/>
            <w:vAlign w:val="center"/>
            <w:hideMark/>
          </w:tcPr>
          <w:p w14:paraId="6A687E25" w14:textId="77777777" w:rsidR="00F46E79" w:rsidRPr="00F376DC" w:rsidRDefault="00F46E79" w:rsidP="00F46E79">
            <w:pPr>
              <w:spacing w:after="120"/>
              <w:jc w:val="both"/>
              <w:rPr>
                <w:rFonts w:asciiTheme="minorHAnsi" w:hAnsiTheme="minorHAnsi" w:cstheme="minorHAnsi"/>
                <w:color w:val="000000"/>
                <w:sz w:val="16"/>
                <w:szCs w:val="16"/>
              </w:rPr>
            </w:pPr>
            <w:r w:rsidRPr="00F376DC">
              <w:rPr>
                <w:rFonts w:asciiTheme="minorHAnsi" w:hAnsiTheme="minorHAnsi" w:cstheme="minorHAnsi"/>
                <w:sz w:val="16"/>
                <w:szCs w:val="16"/>
              </w:rPr>
              <w:t>Custeio Pagamento Pessoal/Auxílios- Resultado. Primário</w:t>
            </w:r>
          </w:p>
        </w:tc>
        <w:tc>
          <w:tcPr>
            <w:tcW w:w="95" w:type="pct"/>
            <w:gridSpan w:val="2"/>
            <w:tcBorders>
              <w:top w:val="nil"/>
              <w:left w:val="nil"/>
              <w:bottom w:val="nil"/>
              <w:right w:val="nil"/>
            </w:tcBorders>
            <w:shd w:val="clear" w:color="auto" w:fill="auto"/>
            <w:vAlign w:val="center"/>
            <w:hideMark/>
          </w:tcPr>
          <w:p w14:paraId="45BC3F5C" w14:textId="77777777" w:rsidR="00F46E79" w:rsidRPr="00F376DC" w:rsidRDefault="00F46E79" w:rsidP="00F46E79">
            <w:pPr>
              <w:spacing w:after="120"/>
              <w:jc w:val="both"/>
              <w:rPr>
                <w:rFonts w:asciiTheme="minorHAnsi" w:hAnsiTheme="minorHAnsi" w:cstheme="minorHAnsi"/>
                <w:color w:val="000000"/>
                <w:sz w:val="16"/>
                <w:szCs w:val="16"/>
              </w:rPr>
            </w:pPr>
          </w:p>
        </w:tc>
        <w:tc>
          <w:tcPr>
            <w:tcW w:w="95" w:type="pct"/>
            <w:gridSpan w:val="2"/>
            <w:tcBorders>
              <w:top w:val="nil"/>
              <w:left w:val="nil"/>
              <w:bottom w:val="nil"/>
              <w:right w:val="nil"/>
            </w:tcBorders>
            <w:shd w:val="clear" w:color="auto" w:fill="auto"/>
            <w:vAlign w:val="center"/>
            <w:hideMark/>
          </w:tcPr>
          <w:p w14:paraId="61D7982B"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noWrap/>
            <w:vAlign w:val="center"/>
            <w:hideMark/>
          </w:tcPr>
          <w:p w14:paraId="26F58B1B" w14:textId="77777777" w:rsidR="00F46E79" w:rsidRPr="00F376DC" w:rsidRDefault="00F46E79" w:rsidP="00F46E79">
            <w:pPr>
              <w:spacing w:after="120"/>
              <w:jc w:val="right"/>
              <w:rPr>
                <w:rFonts w:asciiTheme="minorHAnsi" w:hAnsiTheme="minorHAnsi" w:cstheme="minorHAnsi"/>
                <w:sz w:val="16"/>
                <w:szCs w:val="16"/>
              </w:rPr>
            </w:pPr>
          </w:p>
        </w:tc>
        <w:tc>
          <w:tcPr>
            <w:tcW w:w="95" w:type="pct"/>
            <w:gridSpan w:val="2"/>
            <w:tcBorders>
              <w:top w:val="nil"/>
              <w:left w:val="nil"/>
              <w:bottom w:val="nil"/>
              <w:right w:val="nil"/>
            </w:tcBorders>
            <w:shd w:val="clear" w:color="auto" w:fill="auto"/>
            <w:vAlign w:val="center"/>
            <w:hideMark/>
          </w:tcPr>
          <w:p w14:paraId="34E64A59" w14:textId="77777777" w:rsidR="00F46E79" w:rsidRPr="00F376DC" w:rsidRDefault="00F46E79" w:rsidP="00F46E79">
            <w:pPr>
              <w:spacing w:after="120"/>
              <w:jc w:val="right"/>
              <w:rPr>
                <w:rFonts w:asciiTheme="minorHAnsi" w:hAnsiTheme="minorHAnsi" w:cstheme="minorHAnsi"/>
                <w:sz w:val="16"/>
                <w:szCs w:val="16"/>
              </w:rPr>
            </w:pPr>
          </w:p>
        </w:tc>
        <w:tc>
          <w:tcPr>
            <w:tcW w:w="541" w:type="pct"/>
            <w:gridSpan w:val="2"/>
            <w:tcBorders>
              <w:top w:val="nil"/>
              <w:left w:val="nil"/>
              <w:bottom w:val="nil"/>
              <w:right w:val="nil"/>
            </w:tcBorders>
            <w:shd w:val="clear" w:color="auto" w:fill="auto"/>
            <w:vAlign w:val="center"/>
            <w:hideMark/>
          </w:tcPr>
          <w:p w14:paraId="01BF1360" w14:textId="0A333C22" w:rsidR="00F46E79" w:rsidRPr="00F376DC" w:rsidRDefault="007760E0"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72.182</w:t>
            </w:r>
          </w:p>
        </w:tc>
        <w:tc>
          <w:tcPr>
            <w:tcW w:w="497" w:type="pct"/>
            <w:gridSpan w:val="2"/>
            <w:tcBorders>
              <w:top w:val="nil"/>
              <w:left w:val="nil"/>
              <w:bottom w:val="nil"/>
              <w:right w:val="nil"/>
            </w:tcBorders>
            <w:shd w:val="clear" w:color="auto" w:fill="auto"/>
            <w:vAlign w:val="center"/>
            <w:hideMark/>
          </w:tcPr>
          <w:p w14:paraId="1A56F197" w14:textId="6689FF94" w:rsidR="00F46E79" w:rsidRPr="00F376DC" w:rsidRDefault="00F46E79"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38.802</w:t>
            </w:r>
          </w:p>
        </w:tc>
      </w:tr>
      <w:tr w:rsidR="00ED472A" w:rsidRPr="00F376DC" w14:paraId="7C74B59A" w14:textId="77777777" w:rsidTr="00F52368">
        <w:trPr>
          <w:trHeight w:hRule="exact" w:val="227"/>
          <w:jc w:val="center"/>
        </w:trPr>
        <w:tc>
          <w:tcPr>
            <w:tcW w:w="688" w:type="pct"/>
            <w:tcBorders>
              <w:top w:val="nil"/>
              <w:left w:val="nil"/>
              <w:bottom w:val="single" w:sz="4" w:space="0" w:color="auto"/>
              <w:right w:val="nil"/>
            </w:tcBorders>
            <w:shd w:val="clear" w:color="000000" w:fill="FFFFFF"/>
            <w:noWrap/>
            <w:vAlign w:val="center"/>
          </w:tcPr>
          <w:p w14:paraId="02A6EF6A" w14:textId="2895881F" w:rsidR="007760E0" w:rsidRPr="00F376DC" w:rsidRDefault="007760E0" w:rsidP="00F46E79">
            <w:pPr>
              <w:spacing w:after="120"/>
              <w:jc w:val="center"/>
              <w:rPr>
                <w:rFonts w:asciiTheme="minorHAnsi" w:hAnsiTheme="minorHAnsi" w:cstheme="minorHAnsi"/>
                <w:sz w:val="16"/>
                <w:szCs w:val="16"/>
              </w:rPr>
            </w:pPr>
            <w:r>
              <w:rPr>
                <w:rFonts w:asciiTheme="minorHAnsi" w:hAnsiTheme="minorHAnsi" w:cstheme="minorHAnsi"/>
                <w:sz w:val="16"/>
                <w:szCs w:val="16"/>
              </w:rPr>
              <w:t>987</w:t>
            </w:r>
          </w:p>
        </w:tc>
        <w:tc>
          <w:tcPr>
            <w:tcW w:w="2893" w:type="pct"/>
            <w:gridSpan w:val="3"/>
            <w:tcBorders>
              <w:top w:val="nil"/>
              <w:left w:val="nil"/>
              <w:bottom w:val="single" w:sz="4" w:space="0" w:color="auto"/>
              <w:right w:val="nil"/>
            </w:tcBorders>
            <w:shd w:val="clear" w:color="000000" w:fill="FFFFFF"/>
            <w:noWrap/>
            <w:vAlign w:val="center"/>
          </w:tcPr>
          <w:p w14:paraId="593B72B9" w14:textId="4346AB6E" w:rsidR="007760E0" w:rsidRPr="00F376DC" w:rsidRDefault="007760E0" w:rsidP="00F46E79">
            <w:pPr>
              <w:spacing w:after="120"/>
              <w:jc w:val="both"/>
              <w:rPr>
                <w:rFonts w:asciiTheme="minorHAnsi" w:hAnsiTheme="minorHAnsi" w:cstheme="minorHAnsi"/>
                <w:sz w:val="16"/>
                <w:szCs w:val="16"/>
              </w:rPr>
            </w:pPr>
            <w:r w:rsidRPr="007760E0">
              <w:rPr>
                <w:rFonts w:asciiTheme="minorHAnsi" w:hAnsiTheme="minorHAnsi" w:cstheme="minorHAnsi"/>
                <w:sz w:val="16"/>
                <w:szCs w:val="16"/>
              </w:rPr>
              <w:t>Devolução de Despesa</w:t>
            </w:r>
          </w:p>
        </w:tc>
        <w:tc>
          <w:tcPr>
            <w:tcW w:w="95" w:type="pct"/>
            <w:gridSpan w:val="2"/>
            <w:tcBorders>
              <w:top w:val="nil"/>
              <w:left w:val="nil"/>
              <w:bottom w:val="single" w:sz="4" w:space="0" w:color="auto"/>
              <w:right w:val="nil"/>
            </w:tcBorders>
            <w:shd w:val="clear" w:color="auto" w:fill="auto"/>
            <w:vAlign w:val="center"/>
          </w:tcPr>
          <w:p w14:paraId="58AD0C68" w14:textId="77777777" w:rsidR="007760E0" w:rsidRPr="00F376DC" w:rsidRDefault="007760E0" w:rsidP="00F46E79">
            <w:pPr>
              <w:spacing w:after="120"/>
              <w:jc w:val="both"/>
              <w:rPr>
                <w:rFonts w:asciiTheme="minorHAnsi" w:hAnsiTheme="minorHAnsi" w:cstheme="minorHAnsi"/>
                <w:color w:val="000000"/>
                <w:sz w:val="16"/>
                <w:szCs w:val="16"/>
              </w:rPr>
            </w:pPr>
          </w:p>
        </w:tc>
        <w:tc>
          <w:tcPr>
            <w:tcW w:w="95" w:type="pct"/>
            <w:gridSpan w:val="2"/>
            <w:tcBorders>
              <w:top w:val="nil"/>
              <w:left w:val="nil"/>
              <w:bottom w:val="single" w:sz="4" w:space="0" w:color="auto"/>
              <w:right w:val="nil"/>
            </w:tcBorders>
            <w:shd w:val="clear" w:color="auto" w:fill="auto"/>
            <w:vAlign w:val="center"/>
          </w:tcPr>
          <w:p w14:paraId="01C1E387" w14:textId="77777777" w:rsidR="007760E0" w:rsidRPr="00F376DC" w:rsidRDefault="007760E0" w:rsidP="00F46E79">
            <w:pPr>
              <w:spacing w:after="120"/>
              <w:jc w:val="right"/>
              <w:rPr>
                <w:rFonts w:asciiTheme="minorHAnsi" w:hAnsiTheme="minorHAnsi" w:cstheme="minorHAnsi"/>
                <w:sz w:val="16"/>
                <w:szCs w:val="16"/>
              </w:rPr>
            </w:pPr>
          </w:p>
        </w:tc>
        <w:tc>
          <w:tcPr>
            <w:tcW w:w="95" w:type="pct"/>
            <w:gridSpan w:val="2"/>
            <w:tcBorders>
              <w:top w:val="nil"/>
              <w:left w:val="nil"/>
              <w:bottom w:val="single" w:sz="4" w:space="0" w:color="auto"/>
              <w:right w:val="nil"/>
            </w:tcBorders>
            <w:shd w:val="clear" w:color="auto" w:fill="auto"/>
            <w:noWrap/>
            <w:vAlign w:val="center"/>
          </w:tcPr>
          <w:p w14:paraId="06425B2F" w14:textId="77777777" w:rsidR="007760E0" w:rsidRPr="00F376DC" w:rsidRDefault="007760E0" w:rsidP="00F46E79">
            <w:pPr>
              <w:spacing w:after="120"/>
              <w:jc w:val="right"/>
              <w:rPr>
                <w:rFonts w:asciiTheme="minorHAnsi" w:hAnsiTheme="minorHAnsi" w:cstheme="minorHAnsi"/>
                <w:sz w:val="16"/>
                <w:szCs w:val="16"/>
              </w:rPr>
            </w:pPr>
          </w:p>
        </w:tc>
        <w:tc>
          <w:tcPr>
            <w:tcW w:w="95" w:type="pct"/>
            <w:gridSpan w:val="2"/>
            <w:tcBorders>
              <w:top w:val="nil"/>
              <w:left w:val="nil"/>
              <w:bottom w:val="single" w:sz="4" w:space="0" w:color="auto"/>
              <w:right w:val="nil"/>
            </w:tcBorders>
            <w:shd w:val="clear" w:color="auto" w:fill="auto"/>
            <w:vAlign w:val="center"/>
          </w:tcPr>
          <w:p w14:paraId="3AB0C2D7" w14:textId="77777777" w:rsidR="007760E0" w:rsidRPr="00F376DC" w:rsidRDefault="007760E0" w:rsidP="00F46E79">
            <w:pPr>
              <w:spacing w:after="120"/>
              <w:jc w:val="right"/>
              <w:rPr>
                <w:rFonts w:asciiTheme="minorHAnsi" w:hAnsiTheme="minorHAnsi" w:cstheme="minorHAnsi"/>
                <w:sz w:val="16"/>
                <w:szCs w:val="16"/>
              </w:rPr>
            </w:pPr>
          </w:p>
        </w:tc>
        <w:tc>
          <w:tcPr>
            <w:tcW w:w="541" w:type="pct"/>
            <w:gridSpan w:val="2"/>
            <w:tcBorders>
              <w:top w:val="nil"/>
              <w:left w:val="nil"/>
              <w:bottom w:val="single" w:sz="4" w:space="0" w:color="auto"/>
              <w:right w:val="nil"/>
            </w:tcBorders>
            <w:shd w:val="clear" w:color="auto" w:fill="auto"/>
            <w:vAlign w:val="center"/>
          </w:tcPr>
          <w:p w14:paraId="2A2F7562" w14:textId="03E92ED1" w:rsidR="007760E0" w:rsidRDefault="007760E0"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141</w:t>
            </w:r>
          </w:p>
        </w:tc>
        <w:tc>
          <w:tcPr>
            <w:tcW w:w="497" w:type="pct"/>
            <w:gridSpan w:val="2"/>
            <w:tcBorders>
              <w:top w:val="nil"/>
              <w:left w:val="nil"/>
              <w:bottom w:val="single" w:sz="4" w:space="0" w:color="auto"/>
              <w:right w:val="nil"/>
            </w:tcBorders>
            <w:shd w:val="clear" w:color="auto" w:fill="auto"/>
            <w:vAlign w:val="center"/>
          </w:tcPr>
          <w:p w14:paraId="79B6FF7F" w14:textId="092B6A2A" w:rsidR="007760E0" w:rsidRDefault="007760E0" w:rsidP="00F46E79">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ED472A" w:rsidRPr="00F376DC" w14:paraId="712AE7E3" w14:textId="77777777" w:rsidTr="00F52368">
        <w:trPr>
          <w:trHeight w:hRule="exact" w:val="227"/>
          <w:jc w:val="center"/>
        </w:trPr>
        <w:tc>
          <w:tcPr>
            <w:tcW w:w="3581" w:type="pct"/>
            <w:gridSpan w:val="4"/>
            <w:tcBorders>
              <w:top w:val="single" w:sz="4" w:space="0" w:color="auto"/>
              <w:left w:val="nil"/>
              <w:bottom w:val="single" w:sz="4" w:space="0" w:color="auto"/>
              <w:right w:val="nil"/>
            </w:tcBorders>
            <w:shd w:val="clear" w:color="000000" w:fill="FFFFFF"/>
            <w:noWrap/>
            <w:vAlign w:val="center"/>
            <w:hideMark/>
          </w:tcPr>
          <w:p w14:paraId="567C196E" w14:textId="58B6DDB2" w:rsidR="007760E0" w:rsidRPr="00F376DC" w:rsidRDefault="007760E0" w:rsidP="00F46E79">
            <w:pPr>
              <w:spacing w:after="120"/>
              <w:rPr>
                <w:rFonts w:asciiTheme="minorHAnsi" w:hAnsiTheme="minorHAnsi" w:cstheme="minorHAnsi"/>
                <w:b/>
                <w:bCs/>
                <w:color w:val="000000"/>
                <w:sz w:val="16"/>
                <w:szCs w:val="16"/>
              </w:rPr>
            </w:pPr>
            <w:r w:rsidRPr="00F376DC">
              <w:rPr>
                <w:rFonts w:asciiTheme="minorHAnsi" w:hAnsiTheme="minorHAnsi" w:cstheme="minorHAnsi"/>
                <w:b/>
                <w:bCs/>
                <w:sz w:val="16"/>
                <w:szCs w:val="16"/>
              </w:rPr>
              <w:t xml:space="preserve">       TOTAL </w:t>
            </w:r>
            <w:r>
              <w:rPr>
                <w:rFonts w:asciiTheme="minorHAnsi" w:hAnsiTheme="minorHAnsi" w:cstheme="minorHAnsi"/>
                <w:b/>
                <w:bCs/>
                <w:sz w:val="16"/>
                <w:szCs w:val="16"/>
              </w:rPr>
              <w:t>TESOURO LIMITE DE SAQUE</w:t>
            </w:r>
          </w:p>
          <w:p w14:paraId="0F93764F" w14:textId="1413CBBF" w:rsidR="007760E0" w:rsidRPr="00F376DC" w:rsidRDefault="007760E0" w:rsidP="00F46E79">
            <w:pPr>
              <w:spacing w:after="120"/>
              <w:rPr>
                <w:rFonts w:asciiTheme="minorHAnsi" w:hAnsiTheme="minorHAnsi" w:cstheme="minorHAnsi"/>
                <w:color w:val="000000"/>
                <w:sz w:val="16"/>
                <w:szCs w:val="16"/>
              </w:rPr>
            </w:pPr>
            <w:r w:rsidRPr="00F376DC">
              <w:rPr>
                <w:rFonts w:asciiTheme="minorHAnsi" w:hAnsiTheme="minorHAnsi" w:cstheme="minorHAnsi"/>
                <w:color w:val="000000"/>
                <w:sz w:val="16"/>
                <w:szCs w:val="16"/>
              </w:rPr>
              <w:t> </w:t>
            </w:r>
          </w:p>
        </w:tc>
        <w:tc>
          <w:tcPr>
            <w:tcW w:w="95" w:type="pct"/>
            <w:gridSpan w:val="2"/>
            <w:tcBorders>
              <w:top w:val="single" w:sz="4" w:space="0" w:color="auto"/>
              <w:left w:val="nil"/>
              <w:bottom w:val="single" w:sz="4" w:space="0" w:color="auto"/>
              <w:right w:val="nil"/>
            </w:tcBorders>
            <w:shd w:val="clear" w:color="000000" w:fill="FFFFFF"/>
            <w:vAlign w:val="center"/>
            <w:hideMark/>
          </w:tcPr>
          <w:p w14:paraId="272E64F4" w14:textId="77777777" w:rsidR="007760E0" w:rsidRPr="00F376DC" w:rsidRDefault="007760E0" w:rsidP="00F46E7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95" w:type="pct"/>
            <w:gridSpan w:val="2"/>
            <w:tcBorders>
              <w:top w:val="single" w:sz="4" w:space="0" w:color="auto"/>
              <w:left w:val="nil"/>
              <w:bottom w:val="single" w:sz="4" w:space="0" w:color="auto"/>
              <w:right w:val="nil"/>
            </w:tcBorders>
            <w:shd w:val="clear" w:color="000000" w:fill="FFFFFF"/>
            <w:vAlign w:val="center"/>
            <w:hideMark/>
          </w:tcPr>
          <w:p w14:paraId="39E3BD95" w14:textId="77777777" w:rsidR="007760E0" w:rsidRPr="00F376DC" w:rsidRDefault="007760E0" w:rsidP="00F46E7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95" w:type="pct"/>
            <w:gridSpan w:val="2"/>
            <w:tcBorders>
              <w:top w:val="single" w:sz="4" w:space="0" w:color="auto"/>
              <w:left w:val="nil"/>
              <w:bottom w:val="single" w:sz="4" w:space="0" w:color="auto"/>
              <w:right w:val="nil"/>
            </w:tcBorders>
            <w:shd w:val="clear" w:color="000000" w:fill="FFFFFF"/>
            <w:noWrap/>
            <w:vAlign w:val="center"/>
            <w:hideMark/>
          </w:tcPr>
          <w:p w14:paraId="70ECC7E8" w14:textId="77777777" w:rsidR="007760E0" w:rsidRPr="00F376DC" w:rsidRDefault="007760E0" w:rsidP="00F46E7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95" w:type="pct"/>
            <w:gridSpan w:val="2"/>
            <w:tcBorders>
              <w:top w:val="single" w:sz="4" w:space="0" w:color="auto"/>
              <w:left w:val="nil"/>
              <w:bottom w:val="single" w:sz="4" w:space="0" w:color="auto"/>
              <w:right w:val="nil"/>
            </w:tcBorders>
            <w:shd w:val="clear" w:color="000000" w:fill="FFFFFF"/>
            <w:vAlign w:val="center"/>
            <w:hideMark/>
          </w:tcPr>
          <w:p w14:paraId="46BDF3C3" w14:textId="77777777" w:rsidR="007760E0" w:rsidRPr="00F376DC" w:rsidRDefault="007760E0" w:rsidP="00F46E79">
            <w:pPr>
              <w:spacing w:after="120"/>
              <w:jc w:val="right"/>
              <w:rPr>
                <w:rFonts w:asciiTheme="minorHAnsi" w:hAnsiTheme="minorHAnsi" w:cstheme="minorHAnsi"/>
                <w:b/>
                <w:bCs/>
                <w:color w:val="000000"/>
                <w:sz w:val="16"/>
                <w:szCs w:val="16"/>
              </w:rPr>
            </w:pPr>
            <w:r w:rsidRPr="00F376DC">
              <w:rPr>
                <w:rFonts w:asciiTheme="minorHAnsi" w:hAnsiTheme="minorHAnsi" w:cstheme="minorHAnsi"/>
                <w:b/>
                <w:bCs/>
                <w:color w:val="000000"/>
                <w:sz w:val="16"/>
                <w:szCs w:val="16"/>
              </w:rPr>
              <w:t> </w:t>
            </w:r>
          </w:p>
        </w:tc>
        <w:tc>
          <w:tcPr>
            <w:tcW w:w="541" w:type="pct"/>
            <w:gridSpan w:val="2"/>
            <w:tcBorders>
              <w:top w:val="single" w:sz="4" w:space="0" w:color="auto"/>
              <w:left w:val="nil"/>
              <w:bottom w:val="single" w:sz="4" w:space="0" w:color="auto"/>
              <w:right w:val="nil"/>
            </w:tcBorders>
            <w:shd w:val="clear" w:color="000000" w:fill="FFFFFF"/>
            <w:vAlign w:val="center"/>
            <w:hideMark/>
          </w:tcPr>
          <w:p w14:paraId="003D49A6" w14:textId="766C9E4C" w:rsidR="007760E0" w:rsidRPr="00F376DC" w:rsidRDefault="007760E0" w:rsidP="00F46E79">
            <w:pPr>
              <w:spacing w:after="120"/>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134.941.138</w:t>
            </w:r>
          </w:p>
        </w:tc>
        <w:tc>
          <w:tcPr>
            <w:tcW w:w="497" w:type="pct"/>
            <w:gridSpan w:val="2"/>
            <w:tcBorders>
              <w:top w:val="single" w:sz="4" w:space="0" w:color="auto"/>
              <w:left w:val="nil"/>
              <w:bottom w:val="single" w:sz="4" w:space="0" w:color="auto"/>
              <w:right w:val="nil"/>
            </w:tcBorders>
            <w:shd w:val="clear" w:color="000000" w:fill="FFFFFF"/>
            <w:vAlign w:val="center"/>
            <w:hideMark/>
          </w:tcPr>
          <w:p w14:paraId="4A3F158F" w14:textId="4FBD1FE2" w:rsidR="007760E0" w:rsidRPr="00F376DC" w:rsidRDefault="007760E0" w:rsidP="00F46E79">
            <w:pPr>
              <w:spacing w:after="120"/>
              <w:jc w:val="right"/>
              <w:rPr>
                <w:rFonts w:asciiTheme="minorHAnsi" w:hAnsiTheme="minorHAnsi" w:cstheme="minorHAnsi"/>
                <w:b/>
                <w:bCs/>
                <w:color w:val="000000"/>
                <w:sz w:val="16"/>
                <w:szCs w:val="16"/>
              </w:rPr>
            </w:pPr>
            <w:r>
              <w:rPr>
                <w:rFonts w:asciiTheme="minorHAnsi" w:hAnsiTheme="minorHAnsi" w:cstheme="minorHAnsi"/>
                <w:b/>
                <w:bCs/>
                <w:sz w:val="16"/>
                <w:szCs w:val="16"/>
              </w:rPr>
              <w:t>56.732.574</w:t>
            </w:r>
          </w:p>
        </w:tc>
      </w:tr>
      <w:tr w:rsidR="00ED472A" w:rsidRPr="00F376DC" w14:paraId="0CC0334E" w14:textId="77777777" w:rsidTr="00F52368">
        <w:trPr>
          <w:gridAfter w:val="1"/>
          <w:wAfter w:w="4" w:type="pct"/>
          <w:trHeight w:hRule="exact" w:val="227"/>
          <w:jc w:val="center"/>
        </w:trPr>
        <w:tc>
          <w:tcPr>
            <w:tcW w:w="1371" w:type="pct"/>
            <w:gridSpan w:val="2"/>
            <w:tcBorders>
              <w:top w:val="single" w:sz="4" w:space="0" w:color="auto"/>
              <w:left w:val="nil"/>
              <w:bottom w:val="single" w:sz="4" w:space="0" w:color="auto"/>
              <w:right w:val="nil"/>
            </w:tcBorders>
            <w:shd w:val="clear" w:color="000000" w:fill="FFFFFF"/>
            <w:noWrap/>
            <w:vAlign w:val="center"/>
          </w:tcPr>
          <w:p w14:paraId="4F803F1E" w14:textId="4CB172DC" w:rsidR="00ED472A" w:rsidRPr="00ED472A" w:rsidRDefault="00ED472A" w:rsidP="00ED472A">
            <w:pPr>
              <w:spacing w:after="120"/>
              <w:jc w:val="center"/>
              <w:rPr>
                <w:rFonts w:asciiTheme="minorHAnsi" w:hAnsiTheme="minorHAnsi" w:cstheme="minorHAnsi"/>
                <w:sz w:val="16"/>
                <w:szCs w:val="16"/>
              </w:rPr>
            </w:pPr>
            <w:r w:rsidRPr="00ED472A">
              <w:rPr>
                <w:rFonts w:asciiTheme="minorHAnsi" w:hAnsiTheme="minorHAnsi" w:cstheme="minorHAnsi"/>
                <w:sz w:val="16"/>
                <w:szCs w:val="16"/>
              </w:rPr>
              <w:t>Caução Contratual</w:t>
            </w:r>
          </w:p>
        </w:tc>
        <w:tc>
          <w:tcPr>
            <w:tcW w:w="1106" w:type="pct"/>
            <w:tcBorders>
              <w:top w:val="single" w:sz="4" w:space="0" w:color="auto"/>
              <w:left w:val="nil"/>
              <w:bottom w:val="single" w:sz="4" w:space="0" w:color="auto"/>
              <w:right w:val="nil"/>
            </w:tcBorders>
            <w:shd w:val="clear" w:color="000000" w:fill="FFFFFF"/>
            <w:vAlign w:val="center"/>
          </w:tcPr>
          <w:p w14:paraId="060244A8" w14:textId="77777777" w:rsidR="00ED472A" w:rsidRPr="00ED472A" w:rsidRDefault="00ED472A" w:rsidP="00F46E79">
            <w:pPr>
              <w:spacing w:after="120"/>
              <w:rPr>
                <w:rFonts w:asciiTheme="minorHAnsi" w:hAnsiTheme="minorHAnsi" w:cstheme="minorHAnsi"/>
                <w:sz w:val="16"/>
                <w:szCs w:val="16"/>
              </w:rPr>
            </w:pPr>
          </w:p>
        </w:tc>
        <w:tc>
          <w:tcPr>
            <w:tcW w:w="1107" w:type="pct"/>
            <w:gridSpan w:val="2"/>
            <w:tcBorders>
              <w:top w:val="single" w:sz="4" w:space="0" w:color="auto"/>
              <w:left w:val="nil"/>
              <w:bottom w:val="single" w:sz="4" w:space="0" w:color="auto"/>
              <w:right w:val="nil"/>
            </w:tcBorders>
            <w:shd w:val="clear" w:color="000000" w:fill="FFFFFF"/>
            <w:vAlign w:val="center"/>
          </w:tcPr>
          <w:p w14:paraId="247FA3EC" w14:textId="2A9FCCCB" w:rsidR="00ED472A" w:rsidRPr="00F376DC" w:rsidRDefault="00ED472A" w:rsidP="00F46E79">
            <w:pPr>
              <w:spacing w:after="120"/>
              <w:rPr>
                <w:rFonts w:asciiTheme="minorHAnsi" w:hAnsiTheme="minorHAnsi" w:cstheme="minorHAnsi"/>
                <w:b/>
                <w:bCs/>
                <w:sz w:val="16"/>
                <w:szCs w:val="16"/>
              </w:rPr>
            </w:pPr>
          </w:p>
        </w:tc>
        <w:tc>
          <w:tcPr>
            <w:tcW w:w="95" w:type="pct"/>
            <w:gridSpan w:val="2"/>
            <w:tcBorders>
              <w:top w:val="single" w:sz="4" w:space="0" w:color="auto"/>
              <w:left w:val="nil"/>
              <w:bottom w:val="single" w:sz="4" w:space="0" w:color="auto"/>
              <w:right w:val="nil"/>
            </w:tcBorders>
            <w:shd w:val="clear" w:color="000000" w:fill="FFFFFF"/>
            <w:vAlign w:val="center"/>
          </w:tcPr>
          <w:p w14:paraId="4FC0662E" w14:textId="77777777" w:rsidR="00ED472A" w:rsidRPr="00F376DC" w:rsidRDefault="00ED472A" w:rsidP="00F46E79">
            <w:pPr>
              <w:spacing w:after="120"/>
              <w:jc w:val="right"/>
              <w:rPr>
                <w:rFonts w:asciiTheme="minorHAnsi" w:hAnsiTheme="minorHAnsi" w:cstheme="minorHAnsi"/>
                <w:b/>
                <w:bCs/>
                <w:color w:val="000000"/>
                <w:sz w:val="16"/>
                <w:szCs w:val="16"/>
              </w:rPr>
            </w:pPr>
          </w:p>
        </w:tc>
        <w:tc>
          <w:tcPr>
            <w:tcW w:w="95" w:type="pct"/>
            <w:gridSpan w:val="2"/>
            <w:tcBorders>
              <w:top w:val="single" w:sz="4" w:space="0" w:color="auto"/>
              <w:left w:val="nil"/>
              <w:bottom w:val="single" w:sz="4" w:space="0" w:color="auto"/>
              <w:right w:val="nil"/>
            </w:tcBorders>
            <w:shd w:val="clear" w:color="000000" w:fill="FFFFFF"/>
            <w:vAlign w:val="center"/>
          </w:tcPr>
          <w:p w14:paraId="231CDD90" w14:textId="77777777" w:rsidR="00ED472A" w:rsidRPr="00F376DC" w:rsidRDefault="00ED472A" w:rsidP="00F46E79">
            <w:pPr>
              <w:spacing w:after="120"/>
              <w:jc w:val="right"/>
              <w:rPr>
                <w:rFonts w:asciiTheme="minorHAnsi" w:hAnsiTheme="minorHAnsi" w:cstheme="minorHAnsi"/>
                <w:b/>
                <w:bCs/>
                <w:color w:val="000000"/>
                <w:sz w:val="16"/>
                <w:szCs w:val="16"/>
              </w:rPr>
            </w:pPr>
          </w:p>
        </w:tc>
        <w:tc>
          <w:tcPr>
            <w:tcW w:w="95" w:type="pct"/>
            <w:gridSpan w:val="2"/>
            <w:tcBorders>
              <w:top w:val="single" w:sz="4" w:space="0" w:color="auto"/>
              <w:left w:val="nil"/>
              <w:bottom w:val="single" w:sz="4" w:space="0" w:color="auto"/>
              <w:right w:val="nil"/>
            </w:tcBorders>
            <w:shd w:val="clear" w:color="000000" w:fill="FFFFFF"/>
            <w:noWrap/>
            <w:vAlign w:val="center"/>
          </w:tcPr>
          <w:p w14:paraId="256C918A" w14:textId="77777777" w:rsidR="00ED472A" w:rsidRPr="00F376DC" w:rsidRDefault="00ED472A" w:rsidP="00F46E79">
            <w:pPr>
              <w:spacing w:after="120"/>
              <w:jc w:val="right"/>
              <w:rPr>
                <w:rFonts w:asciiTheme="minorHAnsi" w:hAnsiTheme="minorHAnsi" w:cstheme="minorHAnsi"/>
                <w:b/>
                <w:bCs/>
                <w:color w:val="000000"/>
                <w:sz w:val="16"/>
                <w:szCs w:val="16"/>
              </w:rPr>
            </w:pPr>
          </w:p>
        </w:tc>
        <w:tc>
          <w:tcPr>
            <w:tcW w:w="95" w:type="pct"/>
            <w:gridSpan w:val="2"/>
            <w:tcBorders>
              <w:top w:val="single" w:sz="4" w:space="0" w:color="auto"/>
              <w:left w:val="nil"/>
              <w:bottom w:val="single" w:sz="4" w:space="0" w:color="auto"/>
              <w:right w:val="nil"/>
            </w:tcBorders>
            <w:shd w:val="clear" w:color="000000" w:fill="FFFFFF"/>
            <w:vAlign w:val="center"/>
          </w:tcPr>
          <w:p w14:paraId="511825C3" w14:textId="77777777" w:rsidR="00ED472A" w:rsidRPr="00F376DC" w:rsidRDefault="00ED472A" w:rsidP="00F46E79">
            <w:pPr>
              <w:spacing w:after="120"/>
              <w:jc w:val="right"/>
              <w:rPr>
                <w:rFonts w:asciiTheme="minorHAnsi" w:hAnsiTheme="minorHAnsi" w:cstheme="minorHAnsi"/>
                <w:b/>
                <w:bCs/>
                <w:color w:val="000000"/>
                <w:sz w:val="16"/>
                <w:szCs w:val="16"/>
              </w:rPr>
            </w:pPr>
          </w:p>
        </w:tc>
        <w:tc>
          <w:tcPr>
            <w:tcW w:w="538" w:type="pct"/>
            <w:tcBorders>
              <w:top w:val="single" w:sz="4" w:space="0" w:color="auto"/>
              <w:left w:val="nil"/>
              <w:bottom w:val="single" w:sz="4" w:space="0" w:color="auto"/>
              <w:right w:val="nil"/>
            </w:tcBorders>
            <w:shd w:val="clear" w:color="000000" w:fill="FFFFFF"/>
            <w:vAlign w:val="center"/>
          </w:tcPr>
          <w:p w14:paraId="266D8062" w14:textId="089139A2" w:rsidR="00ED472A" w:rsidRPr="00ED472A" w:rsidRDefault="00ED472A" w:rsidP="00F46E79">
            <w:pPr>
              <w:spacing w:after="120"/>
              <w:jc w:val="right"/>
              <w:rPr>
                <w:rFonts w:asciiTheme="minorHAnsi" w:hAnsiTheme="minorHAnsi" w:cstheme="minorHAnsi"/>
                <w:color w:val="000000"/>
                <w:sz w:val="16"/>
                <w:szCs w:val="16"/>
              </w:rPr>
            </w:pPr>
            <w:r w:rsidRPr="00ED472A">
              <w:rPr>
                <w:rFonts w:asciiTheme="minorHAnsi" w:hAnsiTheme="minorHAnsi" w:cstheme="minorHAnsi"/>
                <w:color w:val="000000"/>
                <w:sz w:val="16"/>
                <w:szCs w:val="16"/>
              </w:rPr>
              <w:t>3.937</w:t>
            </w:r>
          </w:p>
        </w:tc>
        <w:tc>
          <w:tcPr>
            <w:tcW w:w="493" w:type="pct"/>
            <w:tcBorders>
              <w:top w:val="single" w:sz="4" w:space="0" w:color="auto"/>
              <w:left w:val="nil"/>
              <w:bottom w:val="single" w:sz="4" w:space="0" w:color="auto"/>
              <w:right w:val="nil"/>
            </w:tcBorders>
            <w:shd w:val="clear" w:color="000000" w:fill="FFFFFF"/>
            <w:vAlign w:val="center"/>
          </w:tcPr>
          <w:p w14:paraId="51E30193" w14:textId="77777777" w:rsidR="00ED472A" w:rsidRPr="00ED472A" w:rsidRDefault="00ED472A" w:rsidP="00F46E79">
            <w:pPr>
              <w:spacing w:after="120"/>
              <w:jc w:val="right"/>
              <w:rPr>
                <w:rFonts w:asciiTheme="minorHAnsi" w:hAnsiTheme="minorHAnsi" w:cstheme="minorHAnsi"/>
                <w:sz w:val="16"/>
                <w:szCs w:val="16"/>
              </w:rPr>
            </w:pPr>
          </w:p>
        </w:tc>
      </w:tr>
      <w:tr w:rsidR="00ED472A" w:rsidRPr="00F376DC" w14:paraId="4FC4C143" w14:textId="77777777" w:rsidTr="00F52368">
        <w:trPr>
          <w:trHeight w:hRule="exact" w:val="227"/>
          <w:jc w:val="center"/>
        </w:trPr>
        <w:tc>
          <w:tcPr>
            <w:tcW w:w="3581" w:type="pct"/>
            <w:gridSpan w:val="4"/>
            <w:tcBorders>
              <w:top w:val="single" w:sz="4" w:space="0" w:color="auto"/>
              <w:left w:val="nil"/>
              <w:bottom w:val="single" w:sz="4" w:space="0" w:color="auto"/>
              <w:right w:val="nil"/>
            </w:tcBorders>
            <w:shd w:val="clear" w:color="000000" w:fill="FFFFFF"/>
            <w:noWrap/>
            <w:vAlign w:val="center"/>
          </w:tcPr>
          <w:p w14:paraId="1EC6D51F" w14:textId="2DDC7AE8" w:rsidR="00ED472A" w:rsidRPr="00F376DC" w:rsidRDefault="00ED472A" w:rsidP="00F46E79">
            <w:pPr>
              <w:spacing w:after="120"/>
              <w:rPr>
                <w:rFonts w:asciiTheme="minorHAnsi" w:hAnsiTheme="minorHAnsi" w:cstheme="minorHAnsi"/>
                <w:color w:val="000000"/>
                <w:sz w:val="16"/>
                <w:szCs w:val="16"/>
              </w:rPr>
            </w:pPr>
            <w:r>
              <w:rPr>
                <w:rFonts w:asciiTheme="minorHAnsi" w:hAnsiTheme="minorHAnsi" w:cstheme="minorHAnsi"/>
                <w:b/>
                <w:bCs/>
                <w:sz w:val="16"/>
                <w:szCs w:val="16"/>
              </w:rPr>
              <w:t xml:space="preserve">       CAUÇÃO CONTRATUAL</w:t>
            </w:r>
          </w:p>
        </w:tc>
        <w:tc>
          <w:tcPr>
            <w:tcW w:w="95" w:type="pct"/>
            <w:gridSpan w:val="2"/>
            <w:tcBorders>
              <w:top w:val="single" w:sz="4" w:space="0" w:color="auto"/>
              <w:left w:val="nil"/>
              <w:bottom w:val="single" w:sz="4" w:space="0" w:color="auto"/>
              <w:right w:val="nil"/>
            </w:tcBorders>
            <w:shd w:val="clear" w:color="000000" w:fill="FFFFFF"/>
            <w:vAlign w:val="center"/>
          </w:tcPr>
          <w:p w14:paraId="4CEABC6F" w14:textId="77777777" w:rsidR="00ED472A" w:rsidRPr="00F376DC" w:rsidRDefault="00ED472A" w:rsidP="00F46E79">
            <w:pPr>
              <w:spacing w:after="120"/>
              <w:jc w:val="right"/>
              <w:rPr>
                <w:rFonts w:asciiTheme="minorHAnsi" w:hAnsiTheme="minorHAnsi" w:cstheme="minorHAnsi"/>
                <w:b/>
                <w:bCs/>
                <w:color w:val="000000"/>
                <w:sz w:val="16"/>
                <w:szCs w:val="16"/>
              </w:rPr>
            </w:pPr>
          </w:p>
        </w:tc>
        <w:tc>
          <w:tcPr>
            <w:tcW w:w="95" w:type="pct"/>
            <w:gridSpan w:val="2"/>
            <w:tcBorders>
              <w:top w:val="single" w:sz="4" w:space="0" w:color="auto"/>
              <w:left w:val="nil"/>
              <w:bottom w:val="single" w:sz="4" w:space="0" w:color="auto"/>
              <w:right w:val="nil"/>
            </w:tcBorders>
            <w:shd w:val="clear" w:color="000000" w:fill="FFFFFF"/>
            <w:vAlign w:val="center"/>
          </w:tcPr>
          <w:p w14:paraId="644BD4AD" w14:textId="77777777" w:rsidR="00ED472A" w:rsidRPr="00F376DC" w:rsidRDefault="00ED472A" w:rsidP="00F46E79">
            <w:pPr>
              <w:spacing w:after="120"/>
              <w:jc w:val="right"/>
              <w:rPr>
                <w:rFonts w:asciiTheme="minorHAnsi" w:hAnsiTheme="minorHAnsi" w:cstheme="minorHAnsi"/>
                <w:b/>
                <w:bCs/>
                <w:color w:val="000000"/>
                <w:sz w:val="16"/>
                <w:szCs w:val="16"/>
              </w:rPr>
            </w:pPr>
          </w:p>
        </w:tc>
        <w:tc>
          <w:tcPr>
            <w:tcW w:w="95" w:type="pct"/>
            <w:gridSpan w:val="2"/>
            <w:tcBorders>
              <w:top w:val="single" w:sz="4" w:space="0" w:color="auto"/>
              <w:left w:val="nil"/>
              <w:bottom w:val="single" w:sz="4" w:space="0" w:color="auto"/>
              <w:right w:val="nil"/>
            </w:tcBorders>
            <w:shd w:val="clear" w:color="000000" w:fill="FFFFFF"/>
            <w:noWrap/>
            <w:vAlign w:val="center"/>
          </w:tcPr>
          <w:p w14:paraId="4C2ACF55" w14:textId="77777777" w:rsidR="00ED472A" w:rsidRPr="00F376DC" w:rsidRDefault="00ED472A" w:rsidP="00F46E79">
            <w:pPr>
              <w:spacing w:after="120"/>
              <w:jc w:val="right"/>
              <w:rPr>
                <w:rFonts w:asciiTheme="minorHAnsi" w:hAnsiTheme="minorHAnsi" w:cstheme="minorHAnsi"/>
                <w:b/>
                <w:bCs/>
                <w:color w:val="000000"/>
                <w:sz w:val="16"/>
                <w:szCs w:val="16"/>
              </w:rPr>
            </w:pPr>
          </w:p>
        </w:tc>
        <w:tc>
          <w:tcPr>
            <w:tcW w:w="95" w:type="pct"/>
            <w:gridSpan w:val="2"/>
            <w:tcBorders>
              <w:top w:val="single" w:sz="4" w:space="0" w:color="auto"/>
              <w:left w:val="nil"/>
              <w:bottom w:val="single" w:sz="4" w:space="0" w:color="auto"/>
              <w:right w:val="nil"/>
            </w:tcBorders>
            <w:shd w:val="clear" w:color="000000" w:fill="FFFFFF"/>
            <w:vAlign w:val="center"/>
          </w:tcPr>
          <w:p w14:paraId="2160CB98" w14:textId="77777777" w:rsidR="00ED472A" w:rsidRPr="00F376DC" w:rsidRDefault="00ED472A" w:rsidP="00F46E79">
            <w:pPr>
              <w:spacing w:after="120"/>
              <w:jc w:val="right"/>
              <w:rPr>
                <w:rFonts w:asciiTheme="minorHAnsi" w:hAnsiTheme="minorHAnsi" w:cstheme="minorHAnsi"/>
                <w:b/>
                <w:bCs/>
                <w:color w:val="000000"/>
                <w:sz w:val="16"/>
                <w:szCs w:val="16"/>
              </w:rPr>
            </w:pPr>
          </w:p>
        </w:tc>
        <w:tc>
          <w:tcPr>
            <w:tcW w:w="541" w:type="pct"/>
            <w:gridSpan w:val="2"/>
            <w:tcBorders>
              <w:top w:val="single" w:sz="4" w:space="0" w:color="auto"/>
              <w:left w:val="nil"/>
              <w:bottom w:val="single" w:sz="4" w:space="0" w:color="auto"/>
              <w:right w:val="nil"/>
            </w:tcBorders>
            <w:shd w:val="clear" w:color="000000" w:fill="FFFFFF"/>
            <w:vAlign w:val="center"/>
          </w:tcPr>
          <w:p w14:paraId="196F4649" w14:textId="6480F30A" w:rsidR="00ED472A" w:rsidRDefault="00ED472A" w:rsidP="00F46E79">
            <w:pPr>
              <w:spacing w:after="120"/>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3.937</w:t>
            </w:r>
          </w:p>
        </w:tc>
        <w:tc>
          <w:tcPr>
            <w:tcW w:w="497" w:type="pct"/>
            <w:gridSpan w:val="2"/>
            <w:tcBorders>
              <w:top w:val="single" w:sz="4" w:space="0" w:color="auto"/>
              <w:left w:val="nil"/>
              <w:bottom w:val="single" w:sz="4" w:space="0" w:color="auto"/>
              <w:right w:val="nil"/>
            </w:tcBorders>
            <w:shd w:val="clear" w:color="000000" w:fill="FFFFFF"/>
            <w:vAlign w:val="center"/>
          </w:tcPr>
          <w:p w14:paraId="5CE81D9C" w14:textId="77777777" w:rsidR="00ED472A" w:rsidRDefault="00ED472A" w:rsidP="00F46E79">
            <w:pPr>
              <w:spacing w:after="120"/>
              <w:jc w:val="right"/>
              <w:rPr>
                <w:rFonts w:asciiTheme="minorHAnsi" w:hAnsiTheme="minorHAnsi" w:cstheme="minorHAnsi"/>
                <w:b/>
                <w:bCs/>
                <w:sz w:val="16"/>
                <w:szCs w:val="16"/>
              </w:rPr>
            </w:pPr>
          </w:p>
        </w:tc>
      </w:tr>
      <w:tr w:rsidR="00ED472A" w:rsidRPr="00F376DC" w14:paraId="0D8E88C9" w14:textId="77777777" w:rsidTr="00F52368">
        <w:trPr>
          <w:trHeight w:hRule="exact" w:val="227"/>
          <w:jc w:val="center"/>
        </w:trPr>
        <w:tc>
          <w:tcPr>
            <w:tcW w:w="3581" w:type="pct"/>
            <w:gridSpan w:val="4"/>
            <w:tcBorders>
              <w:top w:val="single" w:sz="4" w:space="0" w:color="auto"/>
              <w:left w:val="nil"/>
              <w:bottom w:val="single" w:sz="8" w:space="0" w:color="auto"/>
              <w:right w:val="nil"/>
            </w:tcBorders>
            <w:shd w:val="clear" w:color="000000" w:fill="FFFFFF"/>
            <w:noWrap/>
            <w:vAlign w:val="center"/>
          </w:tcPr>
          <w:p w14:paraId="5FFBB493" w14:textId="77777777" w:rsidR="00ED472A" w:rsidRDefault="00C85D06" w:rsidP="00F46E79">
            <w:pPr>
              <w:spacing w:after="120"/>
              <w:rPr>
                <w:rFonts w:asciiTheme="minorHAnsi" w:hAnsiTheme="minorHAnsi" w:cstheme="minorHAnsi"/>
                <w:b/>
                <w:bCs/>
                <w:sz w:val="16"/>
                <w:szCs w:val="16"/>
              </w:rPr>
            </w:pPr>
            <w:r>
              <w:rPr>
                <w:rFonts w:asciiTheme="minorHAnsi" w:hAnsiTheme="minorHAnsi" w:cstheme="minorHAnsi"/>
                <w:b/>
                <w:bCs/>
                <w:sz w:val="16"/>
                <w:szCs w:val="16"/>
              </w:rPr>
              <w:t xml:space="preserve">       </w:t>
            </w:r>
            <w:r w:rsidR="00ED472A">
              <w:rPr>
                <w:rFonts w:asciiTheme="minorHAnsi" w:hAnsiTheme="minorHAnsi" w:cstheme="minorHAnsi"/>
                <w:b/>
                <w:bCs/>
                <w:sz w:val="16"/>
                <w:szCs w:val="16"/>
              </w:rPr>
              <w:t>TOTAL CAIXA E EQUIVALENTE DE CAIXA</w:t>
            </w:r>
          </w:p>
          <w:p w14:paraId="3E43C744" w14:textId="5173BBE2" w:rsidR="007073C6" w:rsidRPr="00F376DC" w:rsidRDefault="007073C6" w:rsidP="00F46E79">
            <w:pPr>
              <w:spacing w:after="120"/>
              <w:rPr>
                <w:rFonts w:asciiTheme="minorHAnsi" w:hAnsiTheme="minorHAnsi" w:cstheme="minorHAnsi"/>
                <w:color w:val="000000"/>
                <w:sz w:val="16"/>
                <w:szCs w:val="16"/>
              </w:rPr>
            </w:pPr>
          </w:p>
        </w:tc>
        <w:tc>
          <w:tcPr>
            <w:tcW w:w="95" w:type="pct"/>
            <w:gridSpan w:val="2"/>
            <w:tcBorders>
              <w:top w:val="single" w:sz="4" w:space="0" w:color="auto"/>
              <w:left w:val="nil"/>
              <w:bottom w:val="single" w:sz="8" w:space="0" w:color="auto"/>
              <w:right w:val="nil"/>
            </w:tcBorders>
            <w:shd w:val="clear" w:color="000000" w:fill="FFFFFF"/>
            <w:vAlign w:val="center"/>
          </w:tcPr>
          <w:p w14:paraId="494050AC" w14:textId="77777777" w:rsidR="00ED472A" w:rsidRPr="00F376DC" w:rsidRDefault="00ED472A" w:rsidP="00F46E79">
            <w:pPr>
              <w:spacing w:after="120"/>
              <w:jc w:val="right"/>
              <w:rPr>
                <w:rFonts w:asciiTheme="minorHAnsi" w:hAnsiTheme="minorHAnsi" w:cstheme="minorHAnsi"/>
                <w:b/>
                <w:bCs/>
                <w:color w:val="000000"/>
                <w:sz w:val="16"/>
                <w:szCs w:val="16"/>
              </w:rPr>
            </w:pPr>
          </w:p>
        </w:tc>
        <w:tc>
          <w:tcPr>
            <w:tcW w:w="95" w:type="pct"/>
            <w:gridSpan w:val="2"/>
            <w:tcBorders>
              <w:top w:val="single" w:sz="4" w:space="0" w:color="auto"/>
              <w:left w:val="nil"/>
              <w:bottom w:val="single" w:sz="8" w:space="0" w:color="auto"/>
              <w:right w:val="nil"/>
            </w:tcBorders>
            <w:shd w:val="clear" w:color="000000" w:fill="FFFFFF"/>
            <w:vAlign w:val="center"/>
          </w:tcPr>
          <w:p w14:paraId="4363AF93" w14:textId="77777777" w:rsidR="00ED472A" w:rsidRPr="00F376DC" w:rsidRDefault="00ED472A" w:rsidP="00F46E79">
            <w:pPr>
              <w:spacing w:after="120"/>
              <w:jc w:val="right"/>
              <w:rPr>
                <w:rFonts w:asciiTheme="minorHAnsi" w:hAnsiTheme="minorHAnsi" w:cstheme="minorHAnsi"/>
                <w:b/>
                <w:bCs/>
                <w:color w:val="000000"/>
                <w:sz w:val="16"/>
                <w:szCs w:val="16"/>
              </w:rPr>
            </w:pPr>
          </w:p>
        </w:tc>
        <w:tc>
          <w:tcPr>
            <w:tcW w:w="95" w:type="pct"/>
            <w:gridSpan w:val="2"/>
            <w:tcBorders>
              <w:top w:val="single" w:sz="4" w:space="0" w:color="auto"/>
              <w:left w:val="nil"/>
              <w:bottom w:val="single" w:sz="8" w:space="0" w:color="auto"/>
              <w:right w:val="nil"/>
            </w:tcBorders>
            <w:shd w:val="clear" w:color="000000" w:fill="FFFFFF"/>
            <w:noWrap/>
            <w:vAlign w:val="center"/>
          </w:tcPr>
          <w:p w14:paraId="6253731E" w14:textId="77777777" w:rsidR="00ED472A" w:rsidRPr="00F376DC" w:rsidRDefault="00ED472A" w:rsidP="00F46E79">
            <w:pPr>
              <w:spacing w:after="120"/>
              <w:jc w:val="right"/>
              <w:rPr>
                <w:rFonts w:asciiTheme="minorHAnsi" w:hAnsiTheme="minorHAnsi" w:cstheme="minorHAnsi"/>
                <w:b/>
                <w:bCs/>
                <w:color w:val="000000"/>
                <w:sz w:val="16"/>
                <w:szCs w:val="16"/>
              </w:rPr>
            </w:pPr>
          </w:p>
        </w:tc>
        <w:tc>
          <w:tcPr>
            <w:tcW w:w="95" w:type="pct"/>
            <w:gridSpan w:val="2"/>
            <w:tcBorders>
              <w:top w:val="single" w:sz="4" w:space="0" w:color="auto"/>
              <w:left w:val="nil"/>
              <w:bottom w:val="single" w:sz="8" w:space="0" w:color="auto"/>
              <w:right w:val="nil"/>
            </w:tcBorders>
            <w:shd w:val="clear" w:color="000000" w:fill="FFFFFF"/>
            <w:vAlign w:val="center"/>
          </w:tcPr>
          <w:p w14:paraId="36742223" w14:textId="77777777" w:rsidR="00ED472A" w:rsidRPr="00F376DC" w:rsidRDefault="00ED472A" w:rsidP="00F46E79">
            <w:pPr>
              <w:spacing w:after="120"/>
              <w:jc w:val="right"/>
              <w:rPr>
                <w:rFonts w:asciiTheme="minorHAnsi" w:hAnsiTheme="minorHAnsi" w:cstheme="minorHAnsi"/>
                <w:b/>
                <w:bCs/>
                <w:color w:val="000000"/>
                <w:sz w:val="16"/>
                <w:szCs w:val="16"/>
              </w:rPr>
            </w:pPr>
          </w:p>
        </w:tc>
        <w:tc>
          <w:tcPr>
            <w:tcW w:w="541" w:type="pct"/>
            <w:gridSpan w:val="2"/>
            <w:tcBorders>
              <w:top w:val="single" w:sz="4" w:space="0" w:color="auto"/>
              <w:left w:val="nil"/>
              <w:bottom w:val="single" w:sz="8" w:space="0" w:color="auto"/>
              <w:right w:val="nil"/>
            </w:tcBorders>
            <w:shd w:val="clear" w:color="000000" w:fill="FFFFFF"/>
            <w:vAlign w:val="center"/>
          </w:tcPr>
          <w:p w14:paraId="204E6332" w14:textId="47A15136" w:rsidR="00ED472A" w:rsidRDefault="00ED472A" w:rsidP="00F46E79">
            <w:pPr>
              <w:spacing w:after="120"/>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134.945.075</w:t>
            </w:r>
          </w:p>
        </w:tc>
        <w:tc>
          <w:tcPr>
            <w:tcW w:w="497" w:type="pct"/>
            <w:gridSpan w:val="2"/>
            <w:tcBorders>
              <w:top w:val="single" w:sz="4" w:space="0" w:color="auto"/>
              <w:left w:val="nil"/>
              <w:bottom w:val="single" w:sz="8" w:space="0" w:color="auto"/>
              <w:right w:val="nil"/>
            </w:tcBorders>
            <w:shd w:val="clear" w:color="000000" w:fill="FFFFFF"/>
            <w:vAlign w:val="center"/>
          </w:tcPr>
          <w:p w14:paraId="7A403DC4" w14:textId="77777777" w:rsidR="00ED472A" w:rsidRDefault="00ED472A" w:rsidP="00F46E79">
            <w:pPr>
              <w:spacing w:after="120"/>
              <w:jc w:val="right"/>
              <w:rPr>
                <w:rFonts w:asciiTheme="minorHAnsi" w:hAnsiTheme="minorHAnsi" w:cstheme="minorHAnsi"/>
                <w:b/>
                <w:bCs/>
                <w:sz w:val="16"/>
                <w:szCs w:val="16"/>
              </w:rPr>
            </w:pPr>
          </w:p>
        </w:tc>
      </w:tr>
    </w:tbl>
    <w:p w14:paraId="36FA45C2" w14:textId="2D9D3577" w:rsidR="00C17E67" w:rsidRPr="007073C6" w:rsidRDefault="00C17E67" w:rsidP="009E0535">
      <w:pPr>
        <w:spacing w:before="120" w:after="120"/>
        <w:jc w:val="both"/>
        <w:rPr>
          <w:rFonts w:ascii="Calibri" w:hAnsi="Calibri" w:cs="Calibri"/>
          <w:sz w:val="22"/>
          <w:szCs w:val="22"/>
        </w:rPr>
      </w:pPr>
      <w:r w:rsidRPr="00C17E67">
        <w:rPr>
          <w:rFonts w:ascii="Calibri" w:hAnsi="Calibri" w:cs="Calibri"/>
          <w:sz w:val="22"/>
          <w:szCs w:val="22"/>
        </w:rPr>
        <w:t>Destaca-se que</w:t>
      </w:r>
      <w:r w:rsidR="000A5067">
        <w:rPr>
          <w:rFonts w:ascii="Calibri" w:hAnsi="Calibri" w:cs="Calibri"/>
          <w:sz w:val="22"/>
          <w:szCs w:val="22"/>
        </w:rPr>
        <w:t>,</w:t>
      </w:r>
      <w:r w:rsidRPr="00C17E67">
        <w:rPr>
          <w:rFonts w:ascii="Calibri" w:hAnsi="Calibri" w:cs="Calibri"/>
          <w:sz w:val="22"/>
          <w:szCs w:val="22"/>
        </w:rPr>
        <w:t xml:space="preserve"> </w:t>
      </w:r>
      <w:r w:rsidR="000A5067">
        <w:rPr>
          <w:rFonts w:ascii="Calibri" w:hAnsi="Calibri" w:cs="Calibri"/>
          <w:sz w:val="22"/>
          <w:szCs w:val="22"/>
        </w:rPr>
        <w:t xml:space="preserve">com </w:t>
      </w:r>
      <w:r w:rsidRPr="00C17E67">
        <w:rPr>
          <w:rFonts w:ascii="Calibri" w:hAnsi="Calibri" w:cs="Calibri"/>
          <w:sz w:val="22"/>
          <w:szCs w:val="22"/>
        </w:rPr>
        <w:t>a</w:t>
      </w:r>
      <w:r w:rsidR="000A5067">
        <w:rPr>
          <w:rFonts w:ascii="Calibri" w:hAnsi="Calibri" w:cs="Calibri"/>
          <w:sz w:val="22"/>
          <w:szCs w:val="22"/>
        </w:rPr>
        <w:t xml:space="preserve"> extinção da personalidade jurídica da</w:t>
      </w:r>
      <w:r w:rsidRPr="00C17E67">
        <w:rPr>
          <w:rFonts w:ascii="Calibri" w:hAnsi="Calibri" w:cs="Calibri"/>
          <w:sz w:val="22"/>
          <w:szCs w:val="22"/>
        </w:rPr>
        <w:t xml:space="preserve"> </w:t>
      </w:r>
      <w:r w:rsidR="000A5067">
        <w:rPr>
          <w:rFonts w:ascii="Calibri" w:hAnsi="Calibri" w:cs="Calibri"/>
          <w:sz w:val="22"/>
          <w:szCs w:val="22"/>
        </w:rPr>
        <w:t>EPL, foram repassados à Infra S.A.</w:t>
      </w:r>
      <w:r w:rsidRPr="00C17E67">
        <w:rPr>
          <w:rFonts w:ascii="Calibri" w:hAnsi="Calibri" w:cs="Calibri"/>
          <w:sz w:val="22"/>
          <w:szCs w:val="22"/>
        </w:rPr>
        <w:t xml:space="preserve"> </w:t>
      </w:r>
      <w:r w:rsidR="000A5067">
        <w:rPr>
          <w:rFonts w:ascii="Calibri" w:hAnsi="Calibri" w:cs="Calibri"/>
          <w:sz w:val="22"/>
          <w:szCs w:val="22"/>
        </w:rPr>
        <w:t>o montante de</w:t>
      </w:r>
      <w:r w:rsidRPr="00C17E67">
        <w:rPr>
          <w:rFonts w:ascii="Calibri" w:hAnsi="Calibri" w:cs="Calibri"/>
          <w:sz w:val="22"/>
          <w:szCs w:val="22"/>
        </w:rPr>
        <w:t xml:space="preserve"> R$ 7</w:t>
      </w:r>
      <w:r w:rsidR="007503AC">
        <w:rPr>
          <w:rFonts w:ascii="Calibri" w:hAnsi="Calibri" w:cs="Calibri"/>
          <w:sz w:val="22"/>
          <w:szCs w:val="22"/>
        </w:rPr>
        <w:t>6</w:t>
      </w:r>
      <w:r w:rsidRPr="00C17E67">
        <w:rPr>
          <w:rFonts w:ascii="Calibri" w:hAnsi="Calibri" w:cs="Calibri"/>
          <w:sz w:val="22"/>
          <w:szCs w:val="22"/>
        </w:rPr>
        <w:t>,</w:t>
      </w:r>
      <w:r w:rsidR="007503AC">
        <w:rPr>
          <w:rFonts w:ascii="Calibri" w:hAnsi="Calibri" w:cs="Calibri"/>
          <w:sz w:val="22"/>
          <w:szCs w:val="22"/>
        </w:rPr>
        <w:t>6</w:t>
      </w:r>
      <w:r w:rsidRPr="00C17E67">
        <w:rPr>
          <w:rFonts w:ascii="Calibri" w:hAnsi="Calibri" w:cs="Calibri"/>
          <w:sz w:val="22"/>
          <w:szCs w:val="22"/>
        </w:rPr>
        <w:t xml:space="preserve"> milhões, </w:t>
      </w:r>
      <w:r w:rsidR="000A5067">
        <w:rPr>
          <w:rFonts w:ascii="Calibri" w:hAnsi="Calibri" w:cs="Calibri"/>
          <w:sz w:val="22"/>
          <w:szCs w:val="22"/>
        </w:rPr>
        <w:t>d</w:t>
      </w:r>
      <w:r w:rsidRPr="00C17E67">
        <w:rPr>
          <w:rFonts w:ascii="Calibri" w:hAnsi="Calibri" w:cs="Calibri"/>
          <w:sz w:val="22"/>
          <w:szCs w:val="22"/>
        </w:rPr>
        <w:t>os quais</w:t>
      </w:r>
      <w:r w:rsidR="000A5067">
        <w:rPr>
          <w:rFonts w:ascii="Calibri" w:hAnsi="Calibri" w:cs="Calibri"/>
          <w:sz w:val="22"/>
          <w:szCs w:val="22"/>
        </w:rPr>
        <w:t xml:space="preserve"> R$ 70,9 milhões eram </w:t>
      </w:r>
      <w:r w:rsidR="000A5067">
        <w:rPr>
          <w:rFonts w:ascii="Segoe UI" w:hAnsi="Segoe UI" w:cs="Segoe UI"/>
          <w:color w:val="242424"/>
          <w:sz w:val="21"/>
          <w:szCs w:val="21"/>
          <w:shd w:val="clear" w:color="auto" w:fill="FFFFFF"/>
        </w:rPr>
        <w:t>oriundos das receitas de serviços prestados e ressarcimentos de estudos e licenças ambientais</w:t>
      </w:r>
      <w:r w:rsidR="000A5067">
        <w:rPr>
          <w:rFonts w:ascii="Calibri" w:hAnsi="Calibri" w:cs="Calibri"/>
          <w:sz w:val="22"/>
          <w:szCs w:val="22"/>
        </w:rPr>
        <w:t>, que podem ser</w:t>
      </w:r>
      <w:r w:rsidRPr="00C17E67">
        <w:rPr>
          <w:rFonts w:ascii="Calibri" w:hAnsi="Calibri" w:cs="Calibri"/>
          <w:sz w:val="22"/>
          <w:szCs w:val="22"/>
        </w:rPr>
        <w:t xml:space="preserve"> aplicados e/ou utilizados para financiar novos estudos, adquirir bens e financiar despesas de custeio, desde que haja autorização do acionista por meio da Lei Orçamentária Anual – LOA.</w:t>
      </w:r>
    </w:p>
    <w:p w14:paraId="15C5A957" w14:textId="564B65AF" w:rsidR="00865EDF" w:rsidRPr="002E2B5B" w:rsidRDefault="00D22F5E" w:rsidP="009E0535">
      <w:pPr>
        <w:spacing w:after="120"/>
        <w:rPr>
          <w:rFonts w:ascii="Calibri" w:hAnsi="Calibri" w:cs="Calibri"/>
          <w:b/>
          <w:sz w:val="22"/>
          <w:szCs w:val="22"/>
        </w:rPr>
      </w:pPr>
      <w:r w:rsidRPr="002E2B5B">
        <w:rPr>
          <w:rFonts w:ascii="Calibri" w:hAnsi="Calibri" w:cs="Calibri"/>
          <w:b/>
          <w:sz w:val="22"/>
          <w:szCs w:val="22"/>
        </w:rPr>
        <w:t xml:space="preserve">NOTA </w:t>
      </w:r>
      <w:r w:rsidR="00E32899">
        <w:rPr>
          <w:rFonts w:ascii="Calibri" w:hAnsi="Calibri" w:cs="Calibri"/>
          <w:b/>
          <w:sz w:val="22"/>
          <w:szCs w:val="22"/>
        </w:rPr>
        <w:t>4</w:t>
      </w:r>
      <w:r w:rsidR="000A7290" w:rsidRPr="002E2B5B">
        <w:rPr>
          <w:rFonts w:ascii="Calibri" w:hAnsi="Calibri" w:cs="Calibri"/>
          <w:b/>
          <w:sz w:val="22"/>
          <w:szCs w:val="22"/>
        </w:rPr>
        <w:t xml:space="preserve"> – </w:t>
      </w:r>
      <w:r w:rsidR="00865EDF" w:rsidRPr="002E2B5B">
        <w:rPr>
          <w:rFonts w:ascii="Calibri" w:hAnsi="Calibri" w:cs="Calibri"/>
          <w:b/>
          <w:sz w:val="22"/>
          <w:szCs w:val="22"/>
        </w:rPr>
        <w:t>DIREITO REALIZÁVEIS A CURTO PRAZO</w:t>
      </w:r>
    </w:p>
    <w:p w14:paraId="5AFE3A6E" w14:textId="77777777" w:rsidR="009C50C2" w:rsidRPr="002E2B5B" w:rsidRDefault="009147A6" w:rsidP="00937ED9">
      <w:pPr>
        <w:numPr>
          <w:ilvl w:val="0"/>
          <w:numId w:val="10"/>
        </w:numPr>
        <w:spacing w:after="120"/>
        <w:ind w:left="284" w:hanging="284"/>
        <w:rPr>
          <w:rFonts w:ascii="Calibri" w:hAnsi="Calibri" w:cs="Calibri"/>
          <w:b/>
          <w:sz w:val="22"/>
          <w:szCs w:val="22"/>
        </w:rPr>
      </w:pPr>
      <w:r w:rsidRPr="002E2B5B">
        <w:rPr>
          <w:rFonts w:ascii="Calibri" w:hAnsi="Calibri" w:cs="Calibri"/>
          <w:b/>
          <w:sz w:val="22"/>
          <w:szCs w:val="22"/>
        </w:rPr>
        <w:t>Adiantamentos Concedidos</w:t>
      </w:r>
    </w:p>
    <w:tbl>
      <w:tblPr>
        <w:tblW w:w="5001" w:type="pct"/>
        <w:tblCellMar>
          <w:left w:w="70" w:type="dxa"/>
          <w:right w:w="70" w:type="dxa"/>
        </w:tblCellMar>
        <w:tblLook w:val="04A0" w:firstRow="1" w:lastRow="0" w:firstColumn="1" w:lastColumn="0" w:noHBand="0" w:noVBand="1"/>
      </w:tblPr>
      <w:tblGrid>
        <w:gridCol w:w="3972"/>
        <w:gridCol w:w="888"/>
        <w:gridCol w:w="888"/>
        <w:gridCol w:w="678"/>
        <w:gridCol w:w="1059"/>
        <w:gridCol w:w="515"/>
        <w:gridCol w:w="1059"/>
        <w:gridCol w:w="459"/>
        <w:gridCol w:w="951"/>
      </w:tblGrid>
      <w:tr w:rsidR="00F57038" w:rsidRPr="002E2B5B" w14:paraId="167F7B80"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66148745" w14:textId="22278166" w:rsidR="00F57038" w:rsidRPr="002E2B5B" w:rsidRDefault="00F57038"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ADIANTAMENTOS (RFFSA – GEIPOT – </w:t>
            </w:r>
            <w:r w:rsidR="00D60F6A">
              <w:rPr>
                <w:rFonts w:ascii="Calibri" w:hAnsi="Calibri" w:cs="Calibri"/>
                <w:b/>
                <w:bCs/>
                <w:color w:val="000000"/>
                <w:sz w:val="16"/>
                <w:szCs w:val="16"/>
              </w:rPr>
              <w:t>Infra</w:t>
            </w:r>
            <w:r w:rsidR="00B406C5">
              <w:rPr>
                <w:rFonts w:ascii="Calibri" w:hAnsi="Calibri" w:cs="Calibri"/>
                <w:b/>
                <w:bCs/>
                <w:color w:val="000000"/>
                <w:sz w:val="16"/>
                <w:szCs w:val="16"/>
              </w:rPr>
              <w:t xml:space="preserve"> S.A.</w:t>
            </w:r>
            <w:r w:rsidRPr="002E2B5B">
              <w:rPr>
                <w:rFonts w:ascii="Calibri" w:hAnsi="Calibri" w:cs="Calibri"/>
                <w:b/>
                <w:bCs/>
                <w:color w:val="000000"/>
                <w:sz w:val="16"/>
                <w:szCs w:val="16"/>
              </w:rPr>
              <w:t>)</w:t>
            </w:r>
          </w:p>
        </w:tc>
        <w:tc>
          <w:tcPr>
            <w:tcW w:w="424" w:type="pct"/>
            <w:tcBorders>
              <w:top w:val="nil"/>
              <w:left w:val="nil"/>
              <w:bottom w:val="single" w:sz="8" w:space="0" w:color="auto"/>
              <w:right w:val="nil"/>
            </w:tcBorders>
            <w:shd w:val="clear" w:color="auto" w:fill="auto"/>
            <w:noWrap/>
            <w:vAlign w:val="bottom"/>
            <w:hideMark/>
          </w:tcPr>
          <w:p w14:paraId="3C963ED4"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6AF51FE8"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58D5FFC4" w14:textId="77777777" w:rsidR="00F57038" w:rsidRPr="002E2B5B" w:rsidRDefault="00F5703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4C1DF0B" w14:textId="77777777" w:rsidR="00F57038" w:rsidRPr="002E2B5B" w:rsidRDefault="00F57038" w:rsidP="00937ED9">
            <w:pPr>
              <w:spacing w:after="120"/>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bottom"/>
            <w:hideMark/>
          </w:tcPr>
          <w:p w14:paraId="3C965E7F"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6FB3FC22" w14:textId="4F101630" w:rsidR="00F57038" w:rsidRPr="002E2B5B" w:rsidRDefault="007D3C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1F73F1">
              <w:rPr>
                <w:rFonts w:ascii="Calibri" w:hAnsi="Calibri" w:cs="Calibri"/>
                <w:b/>
                <w:bCs/>
                <w:color w:val="000000"/>
                <w:sz w:val="16"/>
                <w:szCs w:val="16"/>
              </w:rPr>
              <w:t>0</w:t>
            </w:r>
            <w:r>
              <w:rPr>
                <w:rFonts w:ascii="Calibri" w:hAnsi="Calibri" w:cs="Calibri"/>
                <w:b/>
                <w:bCs/>
                <w:color w:val="000000"/>
                <w:sz w:val="16"/>
                <w:szCs w:val="16"/>
              </w:rPr>
              <w:t>/</w:t>
            </w:r>
            <w:r w:rsidR="00346420">
              <w:rPr>
                <w:rFonts w:ascii="Calibri" w:hAnsi="Calibri" w:cs="Calibri"/>
                <w:b/>
                <w:bCs/>
                <w:color w:val="000000"/>
                <w:sz w:val="16"/>
                <w:szCs w:val="16"/>
              </w:rPr>
              <w:t>0</w:t>
            </w:r>
            <w:r w:rsidR="00ED472A">
              <w:rPr>
                <w:rFonts w:ascii="Calibri" w:hAnsi="Calibri" w:cs="Calibri"/>
                <w:b/>
                <w:bCs/>
                <w:color w:val="000000"/>
                <w:sz w:val="16"/>
                <w:szCs w:val="16"/>
              </w:rPr>
              <w:t>9</w:t>
            </w:r>
            <w:r>
              <w:rPr>
                <w:rFonts w:ascii="Calibri" w:hAnsi="Calibri" w:cs="Calibri"/>
                <w:b/>
                <w:bCs/>
                <w:color w:val="000000"/>
                <w:sz w:val="16"/>
                <w:szCs w:val="16"/>
              </w:rPr>
              <w:t>/202</w:t>
            </w:r>
            <w:r w:rsidR="00346420">
              <w:rPr>
                <w:rFonts w:ascii="Calibri" w:hAnsi="Calibri" w:cs="Calibri"/>
                <w:b/>
                <w:bCs/>
                <w:color w:val="000000"/>
                <w:sz w:val="16"/>
                <w:szCs w:val="16"/>
              </w:rPr>
              <w:t>2</w:t>
            </w:r>
          </w:p>
        </w:tc>
        <w:tc>
          <w:tcPr>
            <w:tcW w:w="219" w:type="pct"/>
            <w:tcBorders>
              <w:top w:val="nil"/>
              <w:left w:val="nil"/>
              <w:bottom w:val="single" w:sz="8" w:space="0" w:color="auto"/>
              <w:right w:val="nil"/>
            </w:tcBorders>
            <w:shd w:val="clear" w:color="auto" w:fill="auto"/>
            <w:noWrap/>
            <w:vAlign w:val="bottom"/>
            <w:hideMark/>
          </w:tcPr>
          <w:p w14:paraId="66DCA7EC"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0D682B9E" w14:textId="7800BF93" w:rsidR="00F57038" w:rsidRPr="002E2B5B" w:rsidRDefault="00F5703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31/12/202</w:t>
            </w:r>
            <w:r w:rsidR="00346420">
              <w:rPr>
                <w:rFonts w:ascii="Calibri" w:hAnsi="Calibri" w:cs="Calibri"/>
                <w:b/>
                <w:bCs/>
                <w:color w:val="000000"/>
                <w:sz w:val="16"/>
                <w:szCs w:val="16"/>
              </w:rPr>
              <w:t>1</w:t>
            </w:r>
          </w:p>
        </w:tc>
      </w:tr>
      <w:tr w:rsidR="00346420" w:rsidRPr="002E2B5B" w14:paraId="6944C2F5" w14:textId="77777777" w:rsidTr="00B23D01">
        <w:trPr>
          <w:trHeight w:hRule="exact" w:val="227"/>
        </w:trPr>
        <w:tc>
          <w:tcPr>
            <w:tcW w:w="1897" w:type="pct"/>
            <w:tcBorders>
              <w:top w:val="nil"/>
              <w:left w:val="nil"/>
              <w:bottom w:val="nil"/>
              <w:right w:val="nil"/>
            </w:tcBorders>
            <w:shd w:val="clear" w:color="auto" w:fill="auto"/>
            <w:noWrap/>
            <w:vAlign w:val="center"/>
            <w:hideMark/>
          </w:tcPr>
          <w:p w14:paraId="33B1A44F"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ADIANTAMENTO DE 13º SALÁRIO</w:t>
            </w:r>
          </w:p>
        </w:tc>
        <w:tc>
          <w:tcPr>
            <w:tcW w:w="424" w:type="pct"/>
            <w:vMerge w:val="restart"/>
            <w:tcBorders>
              <w:top w:val="nil"/>
              <w:left w:val="nil"/>
              <w:bottom w:val="single" w:sz="8" w:space="0" w:color="000000"/>
              <w:right w:val="nil"/>
            </w:tcBorders>
            <w:shd w:val="clear" w:color="auto" w:fill="auto"/>
            <w:noWrap/>
            <w:vAlign w:val="bottom"/>
            <w:hideMark/>
          </w:tcPr>
          <w:p w14:paraId="40F93720"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24" w:type="pct"/>
            <w:vMerge w:val="restart"/>
            <w:tcBorders>
              <w:top w:val="nil"/>
              <w:left w:val="nil"/>
              <w:bottom w:val="single" w:sz="8" w:space="0" w:color="000000"/>
              <w:right w:val="nil"/>
            </w:tcBorders>
            <w:shd w:val="clear" w:color="auto" w:fill="auto"/>
            <w:noWrap/>
            <w:vAlign w:val="bottom"/>
            <w:hideMark/>
          </w:tcPr>
          <w:p w14:paraId="33C4AAF4"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324" w:type="pct"/>
            <w:vMerge w:val="restart"/>
            <w:tcBorders>
              <w:top w:val="nil"/>
              <w:left w:val="nil"/>
              <w:bottom w:val="single" w:sz="8" w:space="0" w:color="000000"/>
              <w:right w:val="nil"/>
            </w:tcBorders>
            <w:shd w:val="clear" w:color="auto" w:fill="auto"/>
            <w:vAlign w:val="center"/>
            <w:hideMark/>
          </w:tcPr>
          <w:p w14:paraId="1ADF34CD" w14:textId="77777777" w:rsidR="00346420" w:rsidRPr="002E2B5B" w:rsidRDefault="00346420" w:rsidP="00346420">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tcPr>
          <w:p w14:paraId="7FF94DFF" w14:textId="77777777" w:rsidR="00346420" w:rsidRPr="002E2B5B" w:rsidRDefault="00346420" w:rsidP="00346420">
            <w:pPr>
              <w:spacing w:after="120"/>
              <w:jc w:val="right"/>
              <w:rPr>
                <w:rFonts w:ascii="Calibri" w:hAnsi="Calibri" w:cs="Calibri"/>
                <w:color w:val="000000"/>
                <w:sz w:val="16"/>
                <w:szCs w:val="16"/>
              </w:rPr>
            </w:pPr>
          </w:p>
        </w:tc>
        <w:tc>
          <w:tcPr>
            <w:tcW w:w="246" w:type="pct"/>
            <w:vMerge w:val="restart"/>
            <w:tcBorders>
              <w:top w:val="nil"/>
              <w:left w:val="nil"/>
              <w:bottom w:val="single" w:sz="8" w:space="0" w:color="000000"/>
              <w:right w:val="nil"/>
            </w:tcBorders>
            <w:shd w:val="clear" w:color="auto" w:fill="auto"/>
            <w:noWrap/>
            <w:vAlign w:val="bottom"/>
            <w:hideMark/>
          </w:tcPr>
          <w:p w14:paraId="1A323250"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nil"/>
              <w:right w:val="nil"/>
            </w:tcBorders>
            <w:shd w:val="clear" w:color="auto" w:fill="auto"/>
            <w:noWrap/>
            <w:vAlign w:val="center"/>
            <w:hideMark/>
          </w:tcPr>
          <w:p w14:paraId="12C0F883" w14:textId="080AD81C" w:rsidR="00346420" w:rsidRPr="002E2B5B" w:rsidRDefault="00B5613C" w:rsidP="00346420">
            <w:pPr>
              <w:spacing w:after="120"/>
              <w:jc w:val="right"/>
              <w:rPr>
                <w:rFonts w:ascii="Calibri" w:hAnsi="Calibri" w:cs="Calibri"/>
                <w:color w:val="000000"/>
                <w:sz w:val="16"/>
                <w:szCs w:val="16"/>
              </w:rPr>
            </w:pPr>
            <w:r>
              <w:rPr>
                <w:rFonts w:ascii="Calibri" w:hAnsi="Calibri" w:cs="Calibri"/>
                <w:color w:val="000000"/>
                <w:sz w:val="16"/>
                <w:szCs w:val="16"/>
              </w:rPr>
              <w:t>3.563.848</w:t>
            </w:r>
          </w:p>
        </w:tc>
        <w:tc>
          <w:tcPr>
            <w:tcW w:w="219" w:type="pct"/>
            <w:tcBorders>
              <w:top w:val="nil"/>
              <w:left w:val="nil"/>
              <w:bottom w:val="nil"/>
              <w:right w:val="nil"/>
            </w:tcBorders>
            <w:shd w:val="clear" w:color="auto" w:fill="auto"/>
            <w:noWrap/>
            <w:vAlign w:val="bottom"/>
            <w:hideMark/>
          </w:tcPr>
          <w:p w14:paraId="100A7E14"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nil"/>
              <w:right w:val="nil"/>
            </w:tcBorders>
            <w:vAlign w:val="center"/>
          </w:tcPr>
          <w:p w14:paraId="6078EE31" w14:textId="065FC1F5" w:rsidR="00346420" w:rsidRPr="002E2B5B" w:rsidRDefault="00346420" w:rsidP="00346420">
            <w:pPr>
              <w:spacing w:after="120"/>
              <w:jc w:val="right"/>
              <w:rPr>
                <w:rFonts w:ascii="Calibri" w:hAnsi="Calibri" w:cs="Calibri"/>
                <w:color w:val="000000"/>
                <w:sz w:val="16"/>
                <w:szCs w:val="16"/>
              </w:rPr>
            </w:pPr>
            <w:r>
              <w:rPr>
                <w:rFonts w:ascii="Calibri" w:hAnsi="Calibri" w:cs="Calibri"/>
                <w:color w:val="000000"/>
                <w:sz w:val="16"/>
                <w:szCs w:val="16"/>
              </w:rPr>
              <w:t>511.767</w:t>
            </w:r>
          </w:p>
        </w:tc>
      </w:tr>
      <w:tr w:rsidR="00346420" w:rsidRPr="002E2B5B" w14:paraId="37FFBF3A" w14:textId="77777777" w:rsidTr="00B5613C">
        <w:trPr>
          <w:trHeight w:hRule="exact" w:val="227"/>
        </w:trPr>
        <w:tc>
          <w:tcPr>
            <w:tcW w:w="1897" w:type="pct"/>
            <w:tcBorders>
              <w:top w:val="nil"/>
              <w:left w:val="nil"/>
              <w:right w:val="nil"/>
            </w:tcBorders>
            <w:shd w:val="clear" w:color="auto" w:fill="auto"/>
            <w:noWrap/>
            <w:vAlign w:val="center"/>
            <w:hideMark/>
          </w:tcPr>
          <w:p w14:paraId="0DF82958"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ADIANTAMENTOS DE SALÁRIOS E ORDENADOS</w:t>
            </w:r>
          </w:p>
        </w:tc>
        <w:tc>
          <w:tcPr>
            <w:tcW w:w="424" w:type="pct"/>
            <w:vMerge/>
            <w:tcBorders>
              <w:top w:val="nil"/>
              <w:left w:val="nil"/>
              <w:right w:val="nil"/>
            </w:tcBorders>
            <w:vAlign w:val="center"/>
            <w:hideMark/>
          </w:tcPr>
          <w:p w14:paraId="0456BD82" w14:textId="77777777" w:rsidR="00346420" w:rsidRPr="002E2B5B" w:rsidRDefault="00346420" w:rsidP="00346420">
            <w:pPr>
              <w:spacing w:after="120"/>
              <w:rPr>
                <w:rFonts w:ascii="Calibri" w:hAnsi="Calibri" w:cs="Calibri"/>
                <w:color w:val="000000"/>
                <w:sz w:val="16"/>
                <w:szCs w:val="16"/>
              </w:rPr>
            </w:pPr>
          </w:p>
        </w:tc>
        <w:tc>
          <w:tcPr>
            <w:tcW w:w="424" w:type="pct"/>
            <w:vMerge/>
            <w:tcBorders>
              <w:top w:val="nil"/>
              <w:left w:val="nil"/>
              <w:right w:val="nil"/>
            </w:tcBorders>
            <w:vAlign w:val="center"/>
            <w:hideMark/>
          </w:tcPr>
          <w:p w14:paraId="0EB0E1F9" w14:textId="77777777" w:rsidR="00346420" w:rsidRPr="002E2B5B" w:rsidRDefault="00346420" w:rsidP="00346420">
            <w:pPr>
              <w:spacing w:after="120"/>
              <w:rPr>
                <w:rFonts w:ascii="Calibri" w:hAnsi="Calibri" w:cs="Calibri"/>
                <w:color w:val="000000"/>
                <w:sz w:val="16"/>
                <w:szCs w:val="16"/>
              </w:rPr>
            </w:pPr>
          </w:p>
        </w:tc>
        <w:tc>
          <w:tcPr>
            <w:tcW w:w="324" w:type="pct"/>
            <w:vMerge/>
            <w:tcBorders>
              <w:top w:val="nil"/>
              <w:left w:val="nil"/>
              <w:right w:val="nil"/>
            </w:tcBorders>
            <w:vAlign w:val="center"/>
            <w:hideMark/>
          </w:tcPr>
          <w:p w14:paraId="32D9B459" w14:textId="77777777" w:rsidR="00346420" w:rsidRPr="002E2B5B" w:rsidRDefault="00346420" w:rsidP="00346420">
            <w:pPr>
              <w:spacing w:after="120"/>
              <w:rPr>
                <w:rFonts w:ascii="Calibri" w:hAnsi="Calibri" w:cs="Calibri"/>
                <w:color w:val="000000"/>
                <w:sz w:val="16"/>
                <w:szCs w:val="16"/>
              </w:rPr>
            </w:pPr>
          </w:p>
        </w:tc>
        <w:tc>
          <w:tcPr>
            <w:tcW w:w="506" w:type="pct"/>
            <w:tcBorders>
              <w:top w:val="nil"/>
              <w:left w:val="nil"/>
              <w:right w:val="nil"/>
            </w:tcBorders>
            <w:shd w:val="clear" w:color="auto" w:fill="auto"/>
            <w:noWrap/>
            <w:vAlign w:val="center"/>
          </w:tcPr>
          <w:p w14:paraId="64E87839" w14:textId="77777777" w:rsidR="00346420" w:rsidRPr="002E2B5B" w:rsidRDefault="00346420" w:rsidP="00346420">
            <w:pPr>
              <w:spacing w:after="120"/>
              <w:jc w:val="right"/>
              <w:rPr>
                <w:rFonts w:ascii="Calibri" w:hAnsi="Calibri" w:cs="Calibri"/>
                <w:color w:val="000000"/>
                <w:sz w:val="16"/>
                <w:szCs w:val="16"/>
              </w:rPr>
            </w:pPr>
          </w:p>
        </w:tc>
        <w:tc>
          <w:tcPr>
            <w:tcW w:w="246" w:type="pct"/>
            <w:vMerge/>
            <w:tcBorders>
              <w:top w:val="nil"/>
              <w:left w:val="nil"/>
              <w:right w:val="nil"/>
            </w:tcBorders>
            <w:vAlign w:val="center"/>
            <w:hideMark/>
          </w:tcPr>
          <w:p w14:paraId="4558FDE5" w14:textId="77777777" w:rsidR="00346420" w:rsidRPr="002E2B5B" w:rsidRDefault="00346420" w:rsidP="00346420">
            <w:pPr>
              <w:spacing w:after="120"/>
              <w:rPr>
                <w:rFonts w:ascii="Calibri" w:hAnsi="Calibri" w:cs="Calibri"/>
                <w:color w:val="000000"/>
                <w:sz w:val="16"/>
                <w:szCs w:val="16"/>
              </w:rPr>
            </w:pPr>
          </w:p>
        </w:tc>
        <w:tc>
          <w:tcPr>
            <w:tcW w:w="506" w:type="pct"/>
            <w:tcBorders>
              <w:top w:val="nil"/>
              <w:left w:val="nil"/>
              <w:right w:val="nil"/>
            </w:tcBorders>
            <w:shd w:val="clear" w:color="auto" w:fill="auto"/>
            <w:noWrap/>
            <w:vAlign w:val="center"/>
            <w:hideMark/>
          </w:tcPr>
          <w:p w14:paraId="02111635" w14:textId="6AB6D31D" w:rsidR="00346420" w:rsidRPr="002E2B5B" w:rsidRDefault="00B5613C" w:rsidP="00346420">
            <w:pPr>
              <w:spacing w:after="120"/>
              <w:jc w:val="right"/>
              <w:rPr>
                <w:rFonts w:ascii="Calibri" w:hAnsi="Calibri" w:cs="Calibri"/>
                <w:color w:val="000000"/>
                <w:sz w:val="16"/>
                <w:szCs w:val="16"/>
              </w:rPr>
            </w:pPr>
            <w:r>
              <w:rPr>
                <w:rFonts w:ascii="Calibri" w:hAnsi="Calibri" w:cs="Calibri"/>
                <w:color w:val="000000"/>
                <w:sz w:val="16"/>
                <w:szCs w:val="16"/>
              </w:rPr>
              <w:t>132.520</w:t>
            </w:r>
          </w:p>
        </w:tc>
        <w:tc>
          <w:tcPr>
            <w:tcW w:w="219" w:type="pct"/>
            <w:tcBorders>
              <w:top w:val="nil"/>
              <w:left w:val="nil"/>
              <w:right w:val="nil"/>
            </w:tcBorders>
            <w:shd w:val="clear" w:color="auto" w:fill="auto"/>
            <w:noWrap/>
            <w:vAlign w:val="bottom"/>
            <w:hideMark/>
          </w:tcPr>
          <w:p w14:paraId="648DA4D3" w14:textId="77777777" w:rsidR="00346420" w:rsidRPr="002E2B5B" w:rsidRDefault="00346420" w:rsidP="00346420">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right w:val="nil"/>
            </w:tcBorders>
            <w:vAlign w:val="center"/>
          </w:tcPr>
          <w:p w14:paraId="0DC55E13" w14:textId="050CB941" w:rsidR="00346420" w:rsidRPr="002E2B5B" w:rsidRDefault="00346420" w:rsidP="00346420">
            <w:pPr>
              <w:spacing w:after="120"/>
              <w:jc w:val="right"/>
              <w:rPr>
                <w:rFonts w:ascii="Calibri" w:hAnsi="Calibri" w:cs="Calibri"/>
                <w:color w:val="000000"/>
                <w:sz w:val="16"/>
                <w:szCs w:val="16"/>
              </w:rPr>
            </w:pPr>
            <w:r>
              <w:rPr>
                <w:rFonts w:ascii="Calibri" w:hAnsi="Calibri" w:cs="Calibri"/>
                <w:color w:val="000000"/>
                <w:sz w:val="16"/>
                <w:szCs w:val="16"/>
              </w:rPr>
              <w:t>230.955</w:t>
            </w:r>
          </w:p>
        </w:tc>
      </w:tr>
      <w:tr w:rsidR="00B5613C" w:rsidRPr="002E2B5B" w14:paraId="16D4F5DD" w14:textId="77777777" w:rsidTr="00B5613C">
        <w:trPr>
          <w:trHeight w:hRule="exact" w:val="227"/>
        </w:trPr>
        <w:tc>
          <w:tcPr>
            <w:tcW w:w="1897" w:type="pct"/>
            <w:tcBorders>
              <w:left w:val="nil"/>
              <w:right w:val="nil"/>
            </w:tcBorders>
            <w:shd w:val="clear" w:color="auto" w:fill="auto"/>
            <w:noWrap/>
            <w:vAlign w:val="center"/>
          </w:tcPr>
          <w:p w14:paraId="0CDE097A" w14:textId="62ABE2CD" w:rsidR="00B5613C" w:rsidRPr="002E2B5B" w:rsidRDefault="00B5613C" w:rsidP="00346420">
            <w:pPr>
              <w:spacing w:after="120"/>
              <w:rPr>
                <w:rFonts w:ascii="Calibri" w:hAnsi="Calibri" w:cs="Calibri"/>
                <w:color w:val="000000"/>
                <w:sz w:val="16"/>
                <w:szCs w:val="16"/>
              </w:rPr>
            </w:pPr>
            <w:r w:rsidRPr="00B5613C">
              <w:rPr>
                <w:rFonts w:ascii="Calibri" w:hAnsi="Calibri" w:cs="Calibri"/>
                <w:color w:val="000000"/>
                <w:sz w:val="16"/>
                <w:szCs w:val="16"/>
              </w:rPr>
              <w:t>ADIANTAMENTO DE FÉRIAS</w:t>
            </w:r>
          </w:p>
        </w:tc>
        <w:tc>
          <w:tcPr>
            <w:tcW w:w="424" w:type="pct"/>
            <w:tcBorders>
              <w:left w:val="nil"/>
              <w:right w:val="nil"/>
            </w:tcBorders>
            <w:vAlign w:val="center"/>
          </w:tcPr>
          <w:p w14:paraId="3D1E4C30" w14:textId="77777777" w:rsidR="00B5613C" w:rsidRPr="002E2B5B" w:rsidRDefault="00B5613C" w:rsidP="00346420">
            <w:pPr>
              <w:spacing w:after="120"/>
              <w:rPr>
                <w:rFonts w:ascii="Calibri" w:hAnsi="Calibri" w:cs="Calibri"/>
                <w:color w:val="000000"/>
                <w:sz w:val="16"/>
                <w:szCs w:val="16"/>
              </w:rPr>
            </w:pPr>
          </w:p>
        </w:tc>
        <w:tc>
          <w:tcPr>
            <w:tcW w:w="424" w:type="pct"/>
            <w:tcBorders>
              <w:left w:val="nil"/>
              <w:right w:val="nil"/>
            </w:tcBorders>
            <w:vAlign w:val="center"/>
          </w:tcPr>
          <w:p w14:paraId="4E5D9020" w14:textId="77777777" w:rsidR="00B5613C" w:rsidRPr="002E2B5B" w:rsidRDefault="00B5613C" w:rsidP="00346420">
            <w:pPr>
              <w:spacing w:after="120"/>
              <w:rPr>
                <w:rFonts w:ascii="Calibri" w:hAnsi="Calibri" w:cs="Calibri"/>
                <w:color w:val="000000"/>
                <w:sz w:val="16"/>
                <w:szCs w:val="16"/>
              </w:rPr>
            </w:pPr>
          </w:p>
        </w:tc>
        <w:tc>
          <w:tcPr>
            <w:tcW w:w="324" w:type="pct"/>
            <w:tcBorders>
              <w:left w:val="nil"/>
              <w:right w:val="nil"/>
            </w:tcBorders>
            <w:vAlign w:val="center"/>
          </w:tcPr>
          <w:p w14:paraId="766EE86C" w14:textId="77777777" w:rsidR="00B5613C" w:rsidRPr="002E2B5B" w:rsidRDefault="00B5613C" w:rsidP="00346420">
            <w:pPr>
              <w:spacing w:after="120"/>
              <w:rPr>
                <w:rFonts w:ascii="Calibri" w:hAnsi="Calibri" w:cs="Calibri"/>
                <w:color w:val="000000"/>
                <w:sz w:val="16"/>
                <w:szCs w:val="16"/>
              </w:rPr>
            </w:pPr>
          </w:p>
        </w:tc>
        <w:tc>
          <w:tcPr>
            <w:tcW w:w="506" w:type="pct"/>
            <w:tcBorders>
              <w:left w:val="nil"/>
              <w:right w:val="nil"/>
            </w:tcBorders>
            <w:shd w:val="clear" w:color="auto" w:fill="auto"/>
            <w:noWrap/>
            <w:vAlign w:val="center"/>
          </w:tcPr>
          <w:p w14:paraId="17D77E68" w14:textId="77777777" w:rsidR="00B5613C" w:rsidRPr="002E2B5B" w:rsidRDefault="00B5613C" w:rsidP="00346420">
            <w:pPr>
              <w:spacing w:after="120"/>
              <w:jc w:val="right"/>
              <w:rPr>
                <w:rFonts w:ascii="Calibri" w:hAnsi="Calibri" w:cs="Calibri"/>
                <w:color w:val="000000"/>
                <w:sz w:val="16"/>
                <w:szCs w:val="16"/>
              </w:rPr>
            </w:pPr>
          </w:p>
        </w:tc>
        <w:tc>
          <w:tcPr>
            <w:tcW w:w="246" w:type="pct"/>
            <w:tcBorders>
              <w:left w:val="nil"/>
              <w:right w:val="nil"/>
            </w:tcBorders>
            <w:vAlign w:val="center"/>
          </w:tcPr>
          <w:p w14:paraId="41192955" w14:textId="77777777" w:rsidR="00B5613C" w:rsidRPr="002E2B5B" w:rsidRDefault="00B5613C" w:rsidP="00346420">
            <w:pPr>
              <w:spacing w:after="120"/>
              <w:rPr>
                <w:rFonts w:ascii="Calibri" w:hAnsi="Calibri" w:cs="Calibri"/>
                <w:color w:val="000000"/>
                <w:sz w:val="16"/>
                <w:szCs w:val="16"/>
              </w:rPr>
            </w:pPr>
          </w:p>
        </w:tc>
        <w:tc>
          <w:tcPr>
            <w:tcW w:w="506" w:type="pct"/>
            <w:tcBorders>
              <w:left w:val="nil"/>
              <w:right w:val="nil"/>
            </w:tcBorders>
            <w:shd w:val="clear" w:color="auto" w:fill="auto"/>
            <w:noWrap/>
            <w:vAlign w:val="center"/>
          </w:tcPr>
          <w:p w14:paraId="7D537BA4" w14:textId="212BA4C5" w:rsidR="00B5613C" w:rsidRDefault="00B5613C" w:rsidP="00346420">
            <w:pPr>
              <w:spacing w:after="120"/>
              <w:jc w:val="right"/>
              <w:rPr>
                <w:rFonts w:ascii="Calibri" w:hAnsi="Calibri" w:cs="Calibri"/>
                <w:color w:val="000000"/>
                <w:sz w:val="16"/>
                <w:szCs w:val="16"/>
              </w:rPr>
            </w:pPr>
            <w:r>
              <w:rPr>
                <w:rFonts w:ascii="Calibri" w:hAnsi="Calibri" w:cs="Calibri"/>
                <w:color w:val="000000"/>
                <w:sz w:val="16"/>
                <w:szCs w:val="16"/>
              </w:rPr>
              <w:t>113.646</w:t>
            </w:r>
          </w:p>
        </w:tc>
        <w:tc>
          <w:tcPr>
            <w:tcW w:w="219" w:type="pct"/>
            <w:tcBorders>
              <w:left w:val="nil"/>
              <w:right w:val="nil"/>
            </w:tcBorders>
            <w:shd w:val="clear" w:color="auto" w:fill="auto"/>
            <w:noWrap/>
            <w:vAlign w:val="bottom"/>
          </w:tcPr>
          <w:p w14:paraId="06BB33A6" w14:textId="77777777" w:rsidR="00B5613C" w:rsidRPr="002E2B5B" w:rsidRDefault="00B5613C" w:rsidP="00346420">
            <w:pPr>
              <w:spacing w:after="120"/>
              <w:rPr>
                <w:rFonts w:ascii="Calibri" w:hAnsi="Calibri" w:cs="Calibri"/>
                <w:color w:val="000000"/>
                <w:sz w:val="16"/>
                <w:szCs w:val="16"/>
              </w:rPr>
            </w:pPr>
          </w:p>
        </w:tc>
        <w:tc>
          <w:tcPr>
            <w:tcW w:w="454" w:type="pct"/>
            <w:tcBorders>
              <w:left w:val="nil"/>
              <w:right w:val="nil"/>
            </w:tcBorders>
            <w:vAlign w:val="center"/>
          </w:tcPr>
          <w:p w14:paraId="56B91E87" w14:textId="7AEE4AA4" w:rsidR="00B5613C" w:rsidRDefault="00B5613C" w:rsidP="00346420">
            <w:pPr>
              <w:spacing w:after="120"/>
              <w:jc w:val="right"/>
              <w:rPr>
                <w:rFonts w:ascii="Calibri" w:hAnsi="Calibri" w:cs="Calibri"/>
                <w:color w:val="000000"/>
                <w:sz w:val="16"/>
                <w:szCs w:val="16"/>
              </w:rPr>
            </w:pPr>
            <w:r>
              <w:rPr>
                <w:rFonts w:ascii="Calibri" w:hAnsi="Calibri" w:cs="Calibri"/>
                <w:color w:val="000000"/>
                <w:sz w:val="16"/>
                <w:szCs w:val="16"/>
              </w:rPr>
              <w:t>0</w:t>
            </w:r>
          </w:p>
        </w:tc>
      </w:tr>
      <w:tr w:rsidR="00B5613C" w:rsidRPr="002E2B5B" w14:paraId="216E6D22" w14:textId="77777777" w:rsidTr="00B5613C">
        <w:trPr>
          <w:trHeight w:hRule="exact" w:val="227"/>
        </w:trPr>
        <w:tc>
          <w:tcPr>
            <w:tcW w:w="1897" w:type="pct"/>
            <w:tcBorders>
              <w:left w:val="nil"/>
              <w:bottom w:val="single" w:sz="8" w:space="0" w:color="auto"/>
              <w:right w:val="nil"/>
            </w:tcBorders>
            <w:shd w:val="clear" w:color="auto" w:fill="auto"/>
            <w:noWrap/>
            <w:vAlign w:val="center"/>
          </w:tcPr>
          <w:p w14:paraId="3FC4DB8A" w14:textId="011075DD" w:rsidR="00B5613C" w:rsidRPr="002E2B5B" w:rsidRDefault="00B5613C" w:rsidP="00346420">
            <w:pPr>
              <w:spacing w:after="120"/>
              <w:rPr>
                <w:rFonts w:ascii="Calibri" w:hAnsi="Calibri" w:cs="Calibri"/>
                <w:color w:val="000000"/>
                <w:sz w:val="16"/>
                <w:szCs w:val="16"/>
              </w:rPr>
            </w:pPr>
            <w:r w:rsidRPr="00B5613C">
              <w:rPr>
                <w:rFonts w:ascii="Calibri" w:hAnsi="Calibri" w:cs="Calibri"/>
                <w:color w:val="000000"/>
                <w:sz w:val="16"/>
                <w:szCs w:val="16"/>
              </w:rPr>
              <w:t>OUTROS VALORES</w:t>
            </w:r>
          </w:p>
        </w:tc>
        <w:tc>
          <w:tcPr>
            <w:tcW w:w="424" w:type="pct"/>
            <w:tcBorders>
              <w:left w:val="nil"/>
              <w:bottom w:val="single" w:sz="8" w:space="0" w:color="000000"/>
              <w:right w:val="nil"/>
            </w:tcBorders>
            <w:vAlign w:val="center"/>
          </w:tcPr>
          <w:p w14:paraId="7E271339" w14:textId="77777777" w:rsidR="00B5613C" w:rsidRPr="002E2B5B" w:rsidRDefault="00B5613C" w:rsidP="00346420">
            <w:pPr>
              <w:spacing w:after="120"/>
              <w:rPr>
                <w:rFonts w:ascii="Calibri" w:hAnsi="Calibri" w:cs="Calibri"/>
                <w:color w:val="000000"/>
                <w:sz w:val="16"/>
                <w:szCs w:val="16"/>
              </w:rPr>
            </w:pPr>
          </w:p>
        </w:tc>
        <w:tc>
          <w:tcPr>
            <w:tcW w:w="424" w:type="pct"/>
            <w:tcBorders>
              <w:left w:val="nil"/>
              <w:bottom w:val="single" w:sz="8" w:space="0" w:color="000000"/>
              <w:right w:val="nil"/>
            </w:tcBorders>
            <w:vAlign w:val="center"/>
          </w:tcPr>
          <w:p w14:paraId="3C196699" w14:textId="77777777" w:rsidR="00B5613C" w:rsidRPr="002E2B5B" w:rsidRDefault="00B5613C" w:rsidP="00346420">
            <w:pPr>
              <w:spacing w:after="120"/>
              <w:rPr>
                <w:rFonts w:ascii="Calibri" w:hAnsi="Calibri" w:cs="Calibri"/>
                <w:color w:val="000000"/>
                <w:sz w:val="16"/>
                <w:szCs w:val="16"/>
              </w:rPr>
            </w:pPr>
          </w:p>
        </w:tc>
        <w:tc>
          <w:tcPr>
            <w:tcW w:w="324" w:type="pct"/>
            <w:tcBorders>
              <w:left w:val="nil"/>
              <w:bottom w:val="single" w:sz="8" w:space="0" w:color="000000"/>
              <w:right w:val="nil"/>
            </w:tcBorders>
            <w:vAlign w:val="center"/>
          </w:tcPr>
          <w:p w14:paraId="3581BCD8" w14:textId="77777777" w:rsidR="00B5613C" w:rsidRPr="002E2B5B" w:rsidRDefault="00B5613C" w:rsidP="00346420">
            <w:pPr>
              <w:spacing w:after="120"/>
              <w:rPr>
                <w:rFonts w:ascii="Calibri" w:hAnsi="Calibri" w:cs="Calibri"/>
                <w:color w:val="000000"/>
                <w:sz w:val="16"/>
                <w:szCs w:val="16"/>
              </w:rPr>
            </w:pPr>
          </w:p>
        </w:tc>
        <w:tc>
          <w:tcPr>
            <w:tcW w:w="506" w:type="pct"/>
            <w:tcBorders>
              <w:left w:val="nil"/>
              <w:bottom w:val="single" w:sz="8" w:space="0" w:color="auto"/>
              <w:right w:val="nil"/>
            </w:tcBorders>
            <w:shd w:val="clear" w:color="auto" w:fill="auto"/>
            <w:noWrap/>
            <w:vAlign w:val="center"/>
          </w:tcPr>
          <w:p w14:paraId="4D368C53" w14:textId="77777777" w:rsidR="00B5613C" w:rsidRPr="002E2B5B" w:rsidRDefault="00B5613C" w:rsidP="00346420">
            <w:pPr>
              <w:spacing w:after="120"/>
              <w:jc w:val="right"/>
              <w:rPr>
                <w:rFonts w:ascii="Calibri" w:hAnsi="Calibri" w:cs="Calibri"/>
                <w:color w:val="000000"/>
                <w:sz w:val="16"/>
                <w:szCs w:val="16"/>
              </w:rPr>
            </w:pPr>
          </w:p>
        </w:tc>
        <w:tc>
          <w:tcPr>
            <w:tcW w:w="246" w:type="pct"/>
            <w:tcBorders>
              <w:left w:val="nil"/>
              <w:bottom w:val="single" w:sz="8" w:space="0" w:color="000000"/>
              <w:right w:val="nil"/>
            </w:tcBorders>
            <w:vAlign w:val="center"/>
          </w:tcPr>
          <w:p w14:paraId="40B22E89" w14:textId="77777777" w:rsidR="00B5613C" w:rsidRPr="002E2B5B" w:rsidRDefault="00B5613C" w:rsidP="00346420">
            <w:pPr>
              <w:spacing w:after="120"/>
              <w:rPr>
                <w:rFonts w:ascii="Calibri" w:hAnsi="Calibri" w:cs="Calibri"/>
                <w:color w:val="000000"/>
                <w:sz w:val="16"/>
                <w:szCs w:val="16"/>
              </w:rPr>
            </w:pPr>
          </w:p>
        </w:tc>
        <w:tc>
          <w:tcPr>
            <w:tcW w:w="506" w:type="pct"/>
            <w:tcBorders>
              <w:left w:val="nil"/>
              <w:bottom w:val="single" w:sz="8" w:space="0" w:color="auto"/>
              <w:right w:val="nil"/>
            </w:tcBorders>
            <w:shd w:val="clear" w:color="auto" w:fill="auto"/>
            <w:noWrap/>
            <w:vAlign w:val="center"/>
          </w:tcPr>
          <w:p w14:paraId="0EB00435" w14:textId="4FBDACC3" w:rsidR="00B5613C" w:rsidRDefault="00B5613C" w:rsidP="00346420">
            <w:pPr>
              <w:spacing w:after="120"/>
              <w:jc w:val="right"/>
              <w:rPr>
                <w:rFonts w:ascii="Calibri" w:hAnsi="Calibri" w:cs="Calibri"/>
                <w:color w:val="000000"/>
                <w:sz w:val="16"/>
                <w:szCs w:val="16"/>
              </w:rPr>
            </w:pPr>
            <w:r>
              <w:rPr>
                <w:rFonts w:ascii="Calibri" w:hAnsi="Calibri" w:cs="Calibri"/>
                <w:color w:val="000000"/>
                <w:sz w:val="16"/>
                <w:szCs w:val="16"/>
              </w:rPr>
              <w:t>6.262</w:t>
            </w:r>
          </w:p>
        </w:tc>
        <w:tc>
          <w:tcPr>
            <w:tcW w:w="219" w:type="pct"/>
            <w:tcBorders>
              <w:left w:val="nil"/>
              <w:bottom w:val="single" w:sz="8" w:space="0" w:color="auto"/>
              <w:right w:val="nil"/>
            </w:tcBorders>
            <w:shd w:val="clear" w:color="auto" w:fill="auto"/>
            <w:noWrap/>
            <w:vAlign w:val="bottom"/>
          </w:tcPr>
          <w:p w14:paraId="119E0ED8" w14:textId="77777777" w:rsidR="00B5613C" w:rsidRPr="002E2B5B" w:rsidRDefault="00B5613C" w:rsidP="00346420">
            <w:pPr>
              <w:spacing w:after="120"/>
              <w:rPr>
                <w:rFonts w:ascii="Calibri" w:hAnsi="Calibri" w:cs="Calibri"/>
                <w:color w:val="000000"/>
                <w:sz w:val="16"/>
                <w:szCs w:val="16"/>
              </w:rPr>
            </w:pPr>
          </w:p>
        </w:tc>
        <w:tc>
          <w:tcPr>
            <w:tcW w:w="454" w:type="pct"/>
            <w:tcBorders>
              <w:left w:val="nil"/>
              <w:bottom w:val="single" w:sz="8" w:space="0" w:color="auto"/>
              <w:right w:val="nil"/>
            </w:tcBorders>
            <w:vAlign w:val="center"/>
          </w:tcPr>
          <w:p w14:paraId="77AC20AC" w14:textId="22B25C75" w:rsidR="00B5613C" w:rsidRDefault="00B5613C" w:rsidP="00346420">
            <w:pPr>
              <w:spacing w:after="120"/>
              <w:jc w:val="right"/>
              <w:rPr>
                <w:rFonts w:ascii="Calibri" w:hAnsi="Calibri" w:cs="Calibri"/>
                <w:color w:val="000000"/>
                <w:sz w:val="16"/>
                <w:szCs w:val="16"/>
              </w:rPr>
            </w:pPr>
            <w:r>
              <w:rPr>
                <w:rFonts w:ascii="Calibri" w:hAnsi="Calibri" w:cs="Calibri"/>
                <w:color w:val="000000"/>
                <w:sz w:val="16"/>
                <w:szCs w:val="16"/>
              </w:rPr>
              <w:t>0</w:t>
            </w:r>
          </w:p>
        </w:tc>
      </w:tr>
      <w:tr w:rsidR="00F57038" w:rsidRPr="002E2B5B" w14:paraId="5CD7C3C0" w14:textId="77777777" w:rsidTr="00B23D01">
        <w:trPr>
          <w:trHeight w:hRule="exact" w:val="227"/>
        </w:trPr>
        <w:tc>
          <w:tcPr>
            <w:tcW w:w="1897" w:type="pct"/>
            <w:tcBorders>
              <w:top w:val="nil"/>
              <w:left w:val="nil"/>
              <w:bottom w:val="single" w:sz="8" w:space="0" w:color="auto"/>
              <w:right w:val="nil"/>
            </w:tcBorders>
            <w:shd w:val="clear" w:color="auto" w:fill="auto"/>
            <w:noWrap/>
            <w:vAlign w:val="center"/>
            <w:hideMark/>
          </w:tcPr>
          <w:p w14:paraId="6957F134" w14:textId="77777777" w:rsidR="00F57038" w:rsidRPr="002E2B5B" w:rsidRDefault="00F57038"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TOTAL GERAL DE ADIANTAMENTOS CONCEDIDOS</w:t>
            </w:r>
          </w:p>
        </w:tc>
        <w:tc>
          <w:tcPr>
            <w:tcW w:w="424" w:type="pct"/>
            <w:tcBorders>
              <w:top w:val="nil"/>
              <w:left w:val="nil"/>
              <w:bottom w:val="single" w:sz="8" w:space="0" w:color="auto"/>
              <w:right w:val="nil"/>
            </w:tcBorders>
            <w:shd w:val="clear" w:color="auto" w:fill="auto"/>
            <w:noWrap/>
            <w:vAlign w:val="bottom"/>
            <w:hideMark/>
          </w:tcPr>
          <w:p w14:paraId="6DCD4FA0"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24" w:type="pct"/>
            <w:tcBorders>
              <w:top w:val="nil"/>
              <w:left w:val="nil"/>
              <w:bottom w:val="single" w:sz="8" w:space="0" w:color="auto"/>
              <w:right w:val="nil"/>
            </w:tcBorders>
            <w:shd w:val="clear" w:color="auto" w:fill="auto"/>
            <w:noWrap/>
            <w:vAlign w:val="bottom"/>
            <w:hideMark/>
          </w:tcPr>
          <w:p w14:paraId="78749100"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324" w:type="pct"/>
            <w:tcBorders>
              <w:top w:val="nil"/>
              <w:left w:val="nil"/>
              <w:bottom w:val="single" w:sz="8" w:space="0" w:color="auto"/>
              <w:right w:val="nil"/>
            </w:tcBorders>
            <w:shd w:val="clear" w:color="auto" w:fill="auto"/>
            <w:vAlign w:val="center"/>
            <w:hideMark/>
          </w:tcPr>
          <w:p w14:paraId="2AEBB226" w14:textId="77777777" w:rsidR="00F57038" w:rsidRPr="002E2B5B" w:rsidRDefault="00F57038"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506" w:type="pct"/>
            <w:tcBorders>
              <w:top w:val="nil"/>
              <w:left w:val="nil"/>
              <w:bottom w:val="single" w:sz="8" w:space="0" w:color="auto"/>
              <w:right w:val="nil"/>
            </w:tcBorders>
            <w:shd w:val="clear" w:color="auto" w:fill="auto"/>
            <w:noWrap/>
            <w:vAlign w:val="center"/>
          </w:tcPr>
          <w:p w14:paraId="2F1E2D1A" w14:textId="77777777" w:rsidR="00F57038" w:rsidRPr="002E2B5B" w:rsidRDefault="00F57038" w:rsidP="00937ED9">
            <w:pPr>
              <w:spacing w:after="120"/>
              <w:jc w:val="right"/>
              <w:rPr>
                <w:rFonts w:ascii="Calibri" w:hAnsi="Calibri" w:cs="Calibri"/>
                <w:b/>
                <w:bCs/>
                <w:color w:val="000000"/>
                <w:sz w:val="16"/>
                <w:szCs w:val="16"/>
              </w:rPr>
            </w:pPr>
          </w:p>
        </w:tc>
        <w:tc>
          <w:tcPr>
            <w:tcW w:w="246" w:type="pct"/>
            <w:tcBorders>
              <w:top w:val="nil"/>
              <w:left w:val="nil"/>
              <w:bottom w:val="single" w:sz="8" w:space="0" w:color="auto"/>
              <w:right w:val="nil"/>
            </w:tcBorders>
            <w:shd w:val="clear" w:color="auto" w:fill="auto"/>
            <w:noWrap/>
            <w:vAlign w:val="center"/>
            <w:hideMark/>
          </w:tcPr>
          <w:p w14:paraId="33B51B5C"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506" w:type="pct"/>
            <w:tcBorders>
              <w:top w:val="nil"/>
              <w:left w:val="nil"/>
              <w:bottom w:val="single" w:sz="8" w:space="0" w:color="auto"/>
              <w:right w:val="nil"/>
            </w:tcBorders>
            <w:shd w:val="clear" w:color="auto" w:fill="auto"/>
            <w:noWrap/>
            <w:vAlign w:val="center"/>
            <w:hideMark/>
          </w:tcPr>
          <w:p w14:paraId="45E754E4" w14:textId="5BAC4560" w:rsidR="00F57038" w:rsidRPr="002E2B5B" w:rsidRDefault="00B5613C" w:rsidP="00937ED9">
            <w:pPr>
              <w:spacing w:after="120"/>
              <w:jc w:val="right"/>
              <w:rPr>
                <w:rFonts w:ascii="Calibri" w:hAnsi="Calibri" w:cs="Calibri"/>
                <w:b/>
                <w:bCs/>
                <w:color w:val="000000"/>
                <w:sz w:val="16"/>
                <w:szCs w:val="16"/>
              </w:rPr>
            </w:pPr>
            <w:r>
              <w:rPr>
                <w:rFonts w:ascii="Calibri" w:hAnsi="Calibri" w:cs="Calibri"/>
                <w:b/>
                <w:bCs/>
                <w:color w:val="000000"/>
                <w:sz w:val="16"/>
                <w:szCs w:val="16"/>
              </w:rPr>
              <w:t>3.816.277</w:t>
            </w:r>
          </w:p>
        </w:tc>
        <w:tc>
          <w:tcPr>
            <w:tcW w:w="219" w:type="pct"/>
            <w:tcBorders>
              <w:top w:val="nil"/>
              <w:left w:val="nil"/>
              <w:bottom w:val="single" w:sz="8" w:space="0" w:color="auto"/>
              <w:right w:val="nil"/>
            </w:tcBorders>
            <w:shd w:val="clear" w:color="auto" w:fill="auto"/>
            <w:noWrap/>
            <w:vAlign w:val="bottom"/>
            <w:hideMark/>
          </w:tcPr>
          <w:p w14:paraId="56B078B5" w14:textId="77777777" w:rsidR="00F57038" w:rsidRPr="002E2B5B" w:rsidRDefault="00F57038"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454" w:type="pct"/>
            <w:tcBorders>
              <w:top w:val="nil"/>
              <w:left w:val="nil"/>
              <w:bottom w:val="single" w:sz="8" w:space="0" w:color="auto"/>
              <w:right w:val="nil"/>
            </w:tcBorders>
            <w:vAlign w:val="center"/>
          </w:tcPr>
          <w:p w14:paraId="68AC3079" w14:textId="50BB2EC6" w:rsidR="00F57038" w:rsidRPr="002E2B5B" w:rsidRDefault="00346420" w:rsidP="00937ED9">
            <w:pPr>
              <w:spacing w:after="120"/>
              <w:jc w:val="right"/>
              <w:rPr>
                <w:rFonts w:ascii="Calibri" w:hAnsi="Calibri" w:cs="Calibri"/>
                <w:b/>
                <w:bCs/>
                <w:color w:val="000000"/>
                <w:sz w:val="16"/>
                <w:szCs w:val="16"/>
              </w:rPr>
            </w:pPr>
            <w:r>
              <w:rPr>
                <w:rFonts w:ascii="Calibri" w:hAnsi="Calibri" w:cs="Calibri"/>
                <w:b/>
                <w:bCs/>
                <w:color w:val="000000"/>
                <w:sz w:val="16"/>
                <w:szCs w:val="16"/>
              </w:rPr>
              <w:t>742.722</w:t>
            </w:r>
          </w:p>
        </w:tc>
      </w:tr>
    </w:tbl>
    <w:p w14:paraId="731F7859" w14:textId="44F8B193" w:rsidR="00C24287" w:rsidRPr="002E2B5B" w:rsidRDefault="00580D61" w:rsidP="007449DE">
      <w:pPr>
        <w:spacing w:before="120" w:after="120"/>
        <w:jc w:val="both"/>
        <w:rPr>
          <w:rFonts w:ascii="Calibri" w:hAnsi="Calibri" w:cs="Calibri"/>
          <w:sz w:val="22"/>
          <w:szCs w:val="22"/>
        </w:rPr>
      </w:pPr>
      <w:r w:rsidRPr="002E2B5B">
        <w:rPr>
          <w:rFonts w:ascii="Calibri" w:hAnsi="Calibri" w:cs="Calibri"/>
          <w:sz w:val="22"/>
          <w:szCs w:val="22"/>
        </w:rPr>
        <w:t xml:space="preserve">O saldo de R$ </w:t>
      </w:r>
      <w:r w:rsidR="001F73F1">
        <w:rPr>
          <w:rFonts w:ascii="Calibri" w:hAnsi="Calibri" w:cs="Calibri"/>
          <w:sz w:val="22"/>
          <w:szCs w:val="22"/>
        </w:rPr>
        <w:t>3</w:t>
      </w:r>
      <w:r w:rsidR="00346420">
        <w:rPr>
          <w:rFonts w:ascii="Calibri" w:hAnsi="Calibri" w:cs="Calibri"/>
          <w:sz w:val="22"/>
          <w:szCs w:val="22"/>
        </w:rPr>
        <w:t>,</w:t>
      </w:r>
      <w:r w:rsidR="00B5613C">
        <w:rPr>
          <w:rFonts w:ascii="Calibri" w:hAnsi="Calibri" w:cs="Calibri"/>
          <w:sz w:val="22"/>
          <w:szCs w:val="22"/>
        </w:rPr>
        <w:t>82</w:t>
      </w:r>
      <w:r w:rsidR="00736874">
        <w:rPr>
          <w:rFonts w:ascii="Calibri" w:hAnsi="Calibri" w:cs="Calibri"/>
          <w:sz w:val="22"/>
          <w:szCs w:val="22"/>
        </w:rPr>
        <w:t xml:space="preserve"> mil</w:t>
      </w:r>
      <w:r w:rsidR="00346420">
        <w:rPr>
          <w:rFonts w:ascii="Calibri" w:hAnsi="Calibri" w:cs="Calibri"/>
          <w:sz w:val="22"/>
          <w:szCs w:val="22"/>
        </w:rPr>
        <w:t>h</w:t>
      </w:r>
      <w:r w:rsidR="000F7BD9">
        <w:rPr>
          <w:rFonts w:ascii="Calibri" w:hAnsi="Calibri" w:cs="Calibri"/>
          <w:sz w:val="22"/>
          <w:szCs w:val="22"/>
        </w:rPr>
        <w:t>ões</w:t>
      </w:r>
      <w:r w:rsidR="00736874">
        <w:rPr>
          <w:rFonts w:ascii="Calibri" w:hAnsi="Calibri" w:cs="Calibri"/>
          <w:sz w:val="22"/>
          <w:szCs w:val="22"/>
        </w:rPr>
        <w:t>,</w:t>
      </w:r>
      <w:r w:rsidRPr="002E2B5B">
        <w:rPr>
          <w:rFonts w:ascii="Calibri" w:hAnsi="Calibri" w:cs="Calibri"/>
          <w:sz w:val="22"/>
          <w:szCs w:val="22"/>
        </w:rPr>
        <w:t xml:space="preserve"> em </w:t>
      </w:r>
      <w:r w:rsidR="007D3C92">
        <w:rPr>
          <w:rFonts w:ascii="Calibri" w:hAnsi="Calibri" w:cs="Calibri"/>
          <w:sz w:val="22"/>
          <w:szCs w:val="22"/>
        </w:rPr>
        <w:t>3</w:t>
      </w:r>
      <w:r w:rsidR="001F73F1">
        <w:rPr>
          <w:rFonts w:ascii="Calibri" w:hAnsi="Calibri" w:cs="Calibri"/>
          <w:sz w:val="22"/>
          <w:szCs w:val="22"/>
        </w:rPr>
        <w:t>0</w:t>
      </w:r>
      <w:r w:rsidR="007D3C92">
        <w:rPr>
          <w:rFonts w:ascii="Calibri" w:hAnsi="Calibri" w:cs="Calibri"/>
          <w:sz w:val="22"/>
          <w:szCs w:val="22"/>
        </w:rPr>
        <w:t xml:space="preserve"> de </w:t>
      </w:r>
      <w:r w:rsidR="00B5613C">
        <w:rPr>
          <w:rFonts w:ascii="Calibri" w:hAnsi="Calibri" w:cs="Calibri"/>
          <w:sz w:val="22"/>
          <w:szCs w:val="22"/>
        </w:rPr>
        <w:t>setembr</w:t>
      </w:r>
      <w:r w:rsidR="00346420">
        <w:rPr>
          <w:rFonts w:ascii="Calibri" w:hAnsi="Calibri" w:cs="Calibri"/>
          <w:sz w:val="22"/>
          <w:szCs w:val="22"/>
        </w:rPr>
        <w:t>o</w:t>
      </w:r>
      <w:r w:rsidR="00DE2A36">
        <w:rPr>
          <w:rFonts w:ascii="Calibri" w:hAnsi="Calibri" w:cs="Calibri"/>
          <w:sz w:val="22"/>
          <w:szCs w:val="22"/>
        </w:rPr>
        <w:t xml:space="preserve"> de 202</w:t>
      </w:r>
      <w:r w:rsidR="00346420">
        <w:rPr>
          <w:rFonts w:ascii="Calibri" w:hAnsi="Calibri" w:cs="Calibri"/>
          <w:sz w:val="22"/>
          <w:szCs w:val="22"/>
        </w:rPr>
        <w:t>2</w:t>
      </w:r>
      <w:r w:rsidRPr="002E2B5B">
        <w:rPr>
          <w:rFonts w:ascii="Calibri" w:hAnsi="Calibri" w:cs="Calibri"/>
          <w:sz w:val="22"/>
          <w:szCs w:val="22"/>
        </w:rPr>
        <w:t xml:space="preserve">, refere-se a adiantamentos concedidos aos empregados da </w:t>
      </w:r>
      <w:r w:rsidR="00E11BEF">
        <w:rPr>
          <w:rFonts w:ascii="Calibri" w:hAnsi="Calibri" w:cs="Calibri"/>
          <w:sz w:val="22"/>
          <w:szCs w:val="22"/>
        </w:rPr>
        <w:t>Infra</w:t>
      </w:r>
      <w:r w:rsidR="00B5613C">
        <w:rPr>
          <w:rFonts w:ascii="Calibri" w:hAnsi="Calibri" w:cs="Calibri"/>
          <w:sz w:val="22"/>
          <w:szCs w:val="22"/>
        </w:rPr>
        <w:t xml:space="preserve"> S.A.</w:t>
      </w:r>
      <w:r w:rsidRPr="002E2B5B">
        <w:rPr>
          <w:rFonts w:ascii="Calibri" w:hAnsi="Calibri" w:cs="Calibri"/>
          <w:sz w:val="22"/>
          <w:szCs w:val="22"/>
        </w:rPr>
        <w:t xml:space="preserve"> e das extintas empresas Rede Ferroviária Federal S/A – RFFSA e da Empresa Brasileira de Planejamento de Transportes – GEIPOT.</w:t>
      </w:r>
    </w:p>
    <w:p w14:paraId="0E071793" w14:textId="73C1C195" w:rsidR="009165D8" w:rsidRPr="002E2B5B" w:rsidRDefault="00D725ED" w:rsidP="00937ED9">
      <w:pPr>
        <w:spacing w:after="120"/>
        <w:jc w:val="both"/>
        <w:rPr>
          <w:rFonts w:ascii="Calibri" w:hAnsi="Calibri" w:cs="Calibri"/>
          <w:sz w:val="22"/>
          <w:szCs w:val="22"/>
        </w:rPr>
      </w:pPr>
      <w:r w:rsidRPr="002E2B5B">
        <w:rPr>
          <w:rFonts w:ascii="Calibri" w:hAnsi="Calibri" w:cs="Calibri"/>
          <w:sz w:val="22"/>
          <w:szCs w:val="22"/>
        </w:rPr>
        <w:lastRenderedPageBreak/>
        <w:t xml:space="preserve">A </w:t>
      </w:r>
      <w:r w:rsidR="00E11BEF">
        <w:rPr>
          <w:rFonts w:ascii="Calibri" w:hAnsi="Calibri" w:cs="Calibri"/>
          <w:sz w:val="22"/>
          <w:szCs w:val="22"/>
        </w:rPr>
        <w:t>Infra</w:t>
      </w:r>
      <w:r w:rsidR="00B5613C">
        <w:rPr>
          <w:rFonts w:ascii="Calibri" w:hAnsi="Calibri" w:cs="Calibri"/>
          <w:sz w:val="22"/>
          <w:szCs w:val="22"/>
        </w:rPr>
        <w:t xml:space="preserve"> S.A.</w:t>
      </w:r>
      <w:r w:rsidRPr="002E2B5B">
        <w:rPr>
          <w:rFonts w:ascii="Calibri" w:hAnsi="Calibri" w:cs="Calibri"/>
          <w:sz w:val="22"/>
          <w:szCs w:val="22"/>
        </w:rPr>
        <w:t xml:space="preserve"> paga metade do salário a título de adiantamento de 13º salário a seus empregados na Folha de Pagamento do mês de junho de cada ano, a fim de que o empregado receba no primeiro dia útil do mês de julho. No entanto, o empregado tem o direito de solicitar esse adiantamento na ocasião de férias quando gozadas de janeiro a junho.</w:t>
      </w:r>
    </w:p>
    <w:p w14:paraId="2D4A7BEF" w14:textId="076D3D9B" w:rsidR="00D4582D" w:rsidRPr="002E2B5B" w:rsidRDefault="00D725ED" w:rsidP="00937ED9">
      <w:pPr>
        <w:spacing w:after="120"/>
        <w:jc w:val="both"/>
        <w:rPr>
          <w:rFonts w:ascii="Calibri" w:hAnsi="Calibri" w:cs="Calibri"/>
          <w:sz w:val="22"/>
          <w:szCs w:val="22"/>
        </w:rPr>
      </w:pPr>
      <w:r w:rsidRPr="002E2B5B">
        <w:rPr>
          <w:rFonts w:ascii="Calibri" w:hAnsi="Calibri" w:cs="Calibri"/>
          <w:sz w:val="22"/>
          <w:szCs w:val="22"/>
        </w:rPr>
        <w:t>Mediante conciliação mensal, o saldo da conta de adiantamento de 13º salário representa fielmente os valores devidamente adiantados, os quais serão descontados por ocasião da Folha de Pagamento do mês de novembro</w:t>
      </w:r>
      <w:r w:rsidR="00F51287" w:rsidRPr="002E2B5B">
        <w:rPr>
          <w:rFonts w:ascii="Calibri" w:hAnsi="Calibri" w:cs="Calibri"/>
          <w:sz w:val="22"/>
          <w:szCs w:val="22"/>
        </w:rPr>
        <w:t>,</w:t>
      </w:r>
      <w:r w:rsidRPr="002E2B5B">
        <w:rPr>
          <w:rFonts w:ascii="Calibri" w:hAnsi="Calibri" w:cs="Calibri"/>
          <w:sz w:val="22"/>
          <w:szCs w:val="22"/>
        </w:rPr>
        <w:t xml:space="preserve"> quando o 13º salário é integralmente pago. </w:t>
      </w:r>
    </w:p>
    <w:p w14:paraId="703156C7" w14:textId="70DAA099" w:rsidR="00FA0D6A" w:rsidRDefault="00D725ED" w:rsidP="00776774">
      <w:pPr>
        <w:spacing w:after="120"/>
        <w:jc w:val="both"/>
        <w:rPr>
          <w:rFonts w:ascii="Calibri" w:hAnsi="Calibri" w:cs="Calibri"/>
          <w:sz w:val="22"/>
          <w:szCs w:val="22"/>
        </w:rPr>
      </w:pPr>
      <w:r w:rsidRPr="002E2B5B">
        <w:rPr>
          <w:rFonts w:ascii="Calibri" w:hAnsi="Calibri" w:cs="Calibri"/>
          <w:sz w:val="22"/>
          <w:szCs w:val="22"/>
        </w:rPr>
        <w:t>Os empregados da VALEC</w:t>
      </w:r>
      <w:r w:rsidR="00D14740">
        <w:rPr>
          <w:rFonts w:ascii="Calibri" w:hAnsi="Calibri" w:cs="Calibri"/>
          <w:sz w:val="22"/>
          <w:szCs w:val="22"/>
        </w:rPr>
        <w:t>, do Plano de Carreiras, Cargos e Salários de 2007,</w:t>
      </w:r>
      <w:r w:rsidR="0046500A" w:rsidRPr="002E2B5B">
        <w:rPr>
          <w:rFonts w:ascii="Calibri" w:hAnsi="Calibri" w:cs="Calibri"/>
          <w:sz w:val="22"/>
          <w:szCs w:val="22"/>
        </w:rPr>
        <w:t xml:space="preserve"> e das extintas empresas</w:t>
      </w:r>
      <w:r w:rsidRPr="002E2B5B">
        <w:rPr>
          <w:rFonts w:ascii="Calibri" w:hAnsi="Calibri" w:cs="Calibri"/>
          <w:sz w:val="22"/>
          <w:szCs w:val="22"/>
        </w:rPr>
        <w:t xml:space="preserve"> RFFSA e GEIPOT podem solicitar, na ocasião de suas férias, </w:t>
      </w:r>
      <w:r w:rsidRPr="000B1B26">
        <w:rPr>
          <w:rFonts w:ascii="Calibri" w:hAnsi="Calibri" w:cs="Calibri"/>
          <w:sz w:val="22"/>
          <w:szCs w:val="22"/>
        </w:rPr>
        <w:t xml:space="preserve">adiantamento salarial, o qual será restituído em até seis parcelas mensais. </w:t>
      </w:r>
      <w:r w:rsidR="00776774" w:rsidRPr="00776774">
        <w:rPr>
          <w:rFonts w:ascii="Calibri" w:hAnsi="Calibri" w:cs="Calibri"/>
          <w:sz w:val="22"/>
          <w:szCs w:val="22"/>
        </w:rPr>
        <w:t>Com base em demonstrativos mensais</w:t>
      </w:r>
      <w:r w:rsidR="00776774">
        <w:rPr>
          <w:rFonts w:ascii="Calibri" w:hAnsi="Calibri" w:cs="Calibri"/>
          <w:sz w:val="22"/>
          <w:szCs w:val="22"/>
        </w:rPr>
        <w:t xml:space="preserve"> </w:t>
      </w:r>
      <w:r w:rsidR="00776774" w:rsidRPr="00776774">
        <w:rPr>
          <w:rFonts w:ascii="Calibri" w:hAnsi="Calibri" w:cs="Calibri"/>
          <w:sz w:val="22"/>
          <w:szCs w:val="22"/>
        </w:rPr>
        <w:t>encaminhados pela Superintendência de Gestão de Pessoas, a Gerência Tributária e Contábil efetua a conciliação</w:t>
      </w:r>
      <w:r w:rsidR="00776774">
        <w:rPr>
          <w:rFonts w:ascii="Calibri" w:hAnsi="Calibri" w:cs="Calibri"/>
          <w:sz w:val="22"/>
          <w:szCs w:val="22"/>
        </w:rPr>
        <w:t xml:space="preserve"> </w:t>
      </w:r>
      <w:r w:rsidR="00776774" w:rsidRPr="00776774">
        <w:rPr>
          <w:rFonts w:ascii="Calibri" w:hAnsi="Calibri" w:cs="Calibri"/>
          <w:sz w:val="22"/>
          <w:szCs w:val="22"/>
        </w:rPr>
        <w:t>contábil desses adiantamentos.</w:t>
      </w:r>
    </w:p>
    <w:p w14:paraId="0E50077E" w14:textId="227CC2B7" w:rsidR="0065363F" w:rsidRPr="000B1B26" w:rsidRDefault="0065363F" w:rsidP="00776774">
      <w:pPr>
        <w:spacing w:after="120"/>
        <w:jc w:val="both"/>
        <w:rPr>
          <w:rFonts w:ascii="Calibri" w:hAnsi="Calibri" w:cs="Calibri"/>
          <w:sz w:val="22"/>
          <w:szCs w:val="22"/>
        </w:rPr>
      </w:pPr>
      <w:r w:rsidRPr="0065363F">
        <w:rPr>
          <w:rFonts w:ascii="Calibri" w:hAnsi="Calibri" w:cs="Calibri"/>
          <w:sz w:val="22"/>
          <w:szCs w:val="22"/>
        </w:rPr>
        <w:t>Do saldo total d</w:t>
      </w:r>
      <w:r>
        <w:rPr>
          <w:rFonts w:ascii="Calibri" w:hAnsi="Calibri" w:cs="Calibri"/>
          <w:sz w:val="22"/>
          <w:szCs w:val="22"/>
        </w:rPr>
        <w:t>e Adiantamentos Concedidos</w:t>
      </w:r>
      <w:r w:rsidRPr="0065363F">
        <w:rPr>
          <w:rFonts w:ascii="Calibri" w:hAnsi="Calibri" w:cs="Calibri"/>
          <w:sz w:val="22"/>
          <w:szCs w:val="22"/>
        </w:rPr>
        <w:t xml:space="preserve">, R$ </w:t>
      </w:r>
      <w:r>
        <w:rPr>
          <w:rFonts w:ascii="Calibri" w:hAnsi="Calibri" w:cs="Calibri"/>
          <w:sz w:val="22"/>
          <w:szCs w:val="22"/>
        </w:rPr>
        <w:t>849,43</w:t>
      </w:r>
      <w:r w:rsidRPr="0065363F">
        <w:rPr>
          <w:rFonts w:ascii="Calibri" w:hAnsi="Calibri" w:cs="Calibri"/>
          <w:sz w:val="22"/>
          <w:szCs w:val="22"/>
        </w:rPr>
        <w:t xml:space="preserve"> mil referem-se aos recursos que ingressaram por ocasião da incorporação da EPL.</w:t>
      </w:r>
    </w:p>
    <w:p w14:paraId="2FDB058F" w14:textId="77777777" w:rsidR="009B313F" w:rsidRPr="000B1B26" w:rsidRDefault="00660339" w:rsidP="00937ED9">
      <w:pPr>
        <w:numPr>
          <w:ilvl w:val="0"/>
          <w:numId w:val="10"/>
        </w:numPr>
        <w:spacing w:after="120"/>
        <w:ind w:left="284" w:hanging="284"/>
        <w:jc w:val="both"/>
        <w:rPr>
          <w:rFonts w:ascii="Calibri" w:hAnsi="Calibri" w:cs="Calibri"/>
          <w:b/>
          <w:sz w:val="22"/>
          <w:szCs w:val="22"/>
        </w:rPr>
      </w:pPr>
      <w:r w:rsidRPr="000B1B26">
        <w:rPr>
          <w:rFonts w:ascii="Calibri" w:hAnsi="Calibri" w:cs="Calibri"/>
          <w:b/>
          <w:sz w:val="22"/>
          <w:szCs w:val="22"/>
        </w:rPr>
        <w:t>Crédito</w:t>
      </w:r>
      <w:r w:rsidR="00FA0D6A" w:rsidRPr="000B1B26">
        <w:rPr>
          <w:rFonts w:ascii="Calibri" w:hAnsi="Calibri" w:cs="Calibri"/>
          <w:b/>
          <w:sz w:val="22"/>
          <w:szCs w:val="22"/>
        </w:rPr>
        <w:t>s Tributários e</w:t>
      </w:r>
      <w:r w:rsidRPr="000B1B26">
        <w:rPr>
          <w:rFonts w:ascii="Calibri" w:hAnsi="Calibri" w:cs="Calibri"/>
          <w:b/>
          <w:sz w:val="22"/>
          <w:szCs w:val="22"/>
        </w:rPr>
        <w:t xml:space="preserve"> Previdenciário a Compensar</w:t>
      </w:r>
      <w:r w:rsidR="00CD1E2F" w:rsidRPr="000B1B26">
        <w:rPr>
          <w:rFonts w:ascii="Calibri" w:hAnsi="Calibri" w:cs="Calibri"/>
          <w:b/>
          <w:sz w:val="22"/>
          <w:szCs w:val="22"/>
        </w:rPr>
        <w:t xml:space="preserve"> </w:t>
      </w:r>
    </w:p>
    <w:p w14:paraId="0A86414A" w14:textId="5F564652" w:rsidR="009165D8" w:rsidRDefault="00766496" w:rsidP="00937ED9">
      <w:pPr>
        <w:spacing w:after="120"/>
        <w:jc w:val="both"/>
        <w:rPr>
          <w:rFonts w:ascii="Calibri" w:hAnsi="Calibri" w:cs="Calibri"/>
          <w:bCs/>
          <w:sz w:val="22"/>
          <w:szCs w:val="22"/>
        </w:rPr>
      </w:pPr>
      <w:r w:rsidRPr="000B1B26">
        <w:rPr>
          <w:rFonts w:ascii="Calibri" w:hAnsi="Calibri" w:cs="Calibri"/>
          <w:bCs/>
          <w:sz w:val="22"/>
          <w:szCs w:val="22"/>
        </w:rPr>
        <w:t>O saldo de créditos tributários e previdenciários a compensar em 3</w:t>
      </w:r>
      <w:r w:rsidR="001F73F1">
        <w:rPr>
          <w:rFonts w:ascii="Calibri" w:hAnsi="Calibri" w:cs="Calibri"/>
          <w:bCs/>
          <w:sz w:val="22"/>
          <w:szCs w:val="22"/>
        </w:rPr>
        <w:t>0</w:t>
      </w:r>
      <w:r w:rsidRPr="000B1B26">
        <w:rPr>
          <w:rFonts w:ascii="Calibri" w:hAnsi="Calibri" w:cs="Calibri"/>
          <w:bCs/>
          <w:sz w:val="22"/>
          <w:szCs w:val="22"/>
        </w:rPr>
        <w:t xml:space="preserve"> de </w:t>
      </w:r>
      <w:r w:rsidR="0065363F">
        <w:rPr>
          <w:rFonts w:ascii="Calibri" w:hAnsi="Calibri" w:cs="Calibri"/>
          <w:bCs/>
          <w:sz w:val="22"/>
          <w:szCs w:val="22"/>
        </w:rPr>
        <w:t>setembro</w:t>
      </w:r>
      <w:r w:rsidR="00DE2A36" w:rsidRPr="000B1B26">
        <w:rPr>
          <w:rFonts w:ascii="Calibri" w:hAnsi="Calibri" w:cs="Calibri"/>
          <w:bCs/>
          <w:sz w:val="22"/>
          <w:szCs w:val="22"/>
        </w:rPr>
        <w:t xml:space="preserve"> </w:t>
      </w:r>
      <w:r w:rsidRPr="000B1B26">
        <w:rPr>
          <w:rFonts w:ascii="Calibri" w:hAnsi="Calibri" w:cs="Calibri"/>
          <w:bCs/>
          <w:sz w:val="22"/>
          <w:szCs w:val="22"/>
        </w:rPr>
        <w:t>de 202</w:t>
      </w:r>
      <w:r w:rsidR="00346420" w:rsidRPr="000B1B26">
        <w:rPr>
          <w:rFonts w:ascii="Calibri" w:hAnsi="Calibri" w:cs="Calibri"/>
          <w:bCs/>
          <w:sz w:val="22"/>
          <w:szCs w:val="22"/>
        </w:rPr>
        <w:t>2</w:t>
      </w:r>
      <w:r w:rsidRPr="000B1B26">
        <w:rPr>
          <w:rFonts w:ascii="Calibri" w:hAnsi="Calibri" w:cs="Calibri"/>
          <w:bCs/>
          <w:sz w:val="22"/>
          <w:szCs w:val="22"/>
        </w:rPr>
        <w:t xml:space="preserve"> é de R$ 1,</w:t>
      </w:r>
      <w:r w:rsidR="00FC0EC1">
        <w:rPr>
          <w:rFonts w:ascii="Calibri" w:hAnsi="Calibri" w:cs="Calibri"/>
          <w:bCs/>
          <w:sz w:val="22"/>
          <w:szCs w:val="22"/>
        </w:rPr>
        <w:t>6</w:t>
      </w:r>
      <w:r w:rsidR="0065363F">
        <w:rPr>
          <w:rFonts w:ascii="Calibri" w:hAnsi="Calibri" w:cs="Calibri"/>
          <w:bCs/>
          <w:sz w:val="22"/>
          <w:szCs w:val="22"/>
        </w:rPr>
        <w:t>1</w:t>
      </w:r>
      <w:r w:rsidRPr="000B1B26">
        <w:rPr>
          <w:rFonts w:ascii="Calibri" w:hAnsi="Calibri" w:cs="Calibri"/>
          <w:bCs/>
          <w:sz w:val="22"/>
          <w:szCs w:val="22"/>
        </w:rPr>
        <w:t xml:space="preserve"> milh</w:t>
      </w:r>
      <w:r w:rsidR="009B2CA0" w:rsidRPr="000B1B26">
        <w:rPr>
          <w:rFonts w:ascii="Calibri" w:hAnsi="Calibri" w:cs="Calibri"/>
          <w:bCs/>
          <w:sz w:val="22"/>
          <w:szCs w:val="22"/>
        </w:rPr>
        <w:t>ão</w:t>
      </w:r>
      <w:r w:rsidRPr="000B1B26">
        <w:rPr>
          <w:rFonts w:ascii="Calibri" w:hAnsi="Calibri" w:cs="Calibri"/>
          <w:bCs/>
          <w:sz w:val="22"/>
          <w:szCs w:val="22"/>
        </w:rPr>
        <w:t xml:space="preserve">, sendo R$ </w:t>
      </w:r>
      <w:r w:rsidR="009B2CA0" w:rsidRPr="000B1B26">
        <w:rPr>
          <w:rFonts w:ascii="Calibri" w:hAnsi="Calibri" w:cs="Calibri"/>
          <w:bCs/>
          <w:sz w:val="22"/>
          <w:szCs w:val="22"/>
        </w:rPr>
        <w:t>1</w:t>
      </w:r>
      <w:r w:rsidR="000B1B26">
        <w:rPr>
          <w:rFonts w:ascii="Calibri" w:hAnsi="Calibri" w:cs="Calibri"/>
          <w:bCs/>
          <w:sz w:val="22"/>
          <w:szCs w:val="22"/>
        </w:rPr>
        <w:t>,</w:t>
      </w:r>
      <w:r w:rsidR="0094134D">
        <w:rPr>
          <w:rFonts w:ascii="Calibri" w:hAnsi="Calibri" w:cs="Calibri"/>
          <w:bCs/>
          <w:sz w:val="22"/>
          <w:szCs w:val="22"/>
        </w:rPr>
        <w:t>31</w:t>
      </w:r>
      <w:r w:rsidR="009B2CA0" w:rsidRPr="000B1B26">
        <w:rPr>
          <w:rFonts w:ascii="Calibri" w:hAnsi="Calibri" w:cs="Calibri"/>
          <w:bCs/>
          <w:sz w:val="22"/>
          <w:szCs w:val="22"/>
        </w:rPr>
        <w:t xml:space="preserve"> </w:t>
      </w:r>
      <w:r w:rsidRPr="000B1B26">
        <w:rPr>
          <w:rFonts w:ascii="Calibri" w:hAnsi="Calibri" w:cs="Calibri"/>
          <w:bCs/>
          <w:sz w:val="22"/>
          <w:szCs w:val="22"/>
        </w:rPr>
        <w:t>mil</w:t>
      </w:r>
      <w:r w:rsidR="009B2CA0" w:rsidRPr="000B1B26">
        <w:rPr>
          <w:rFonts w:ascii="Calibri" w:hAnsi="Calibri" w:cs="Calibri"/>
          <w:bCs/>
          <w:sz w:val="22"/>
          <w:szCs w:val="22"/>
        </w:rPr>
        <w:t>hão</w:t>
      </w:r>
      <w:r w:rsidRPr="000B1B26">
        <w:rPr>
          <w:rFonts w:ascii="Calibri" w:hAnsi="Calibri" w:cs="Calibri"/>
          <w:bCs/>
          <w:sz w:val="22"/>
          <w:szCs w:val="22"/>
        </w:rPr>
        <w:t xml:space="preserve"> </w:t>
      </w:r>
      <w:r w:rsidR="009705E6" w:rsidRPr="000B1B26">
        <w:rPr>
          <w:rFonts w:ascii="Calibri" w:hAnsi="Calibri" w:cs="Calibri"/>
          <w:bCs/>
          <w:sz w:val="22"/>
          <w:szCs w:val="22"/>
        </w:rPr>
        <w:t>em</w:t>
      </w:r>
      <w:r w:rsidRPr="000B1B26">
        <w:rPr>
          <w:rFonts w:ascii="Calibri" w:hAnsi="Calibri" w:cs="Calibri"/>
          <w:bCs/>
          <w:sz w:val="22"/>
          <w:szCs w:val="22"/>
        </w:rPr>
        <w:t xml:space="preserve"> </w:t>
      </w:r>
      <w:r w:rsidR="00D230AF" w:rsidRPr="000B1B26">
        <w:rPr>
          <w:rFonts w:ascii="Calibri" w:hAnsi="Calibri" w:cs="Calibri"/>
          <w:bCs/>
          <w:sz w:val="22"/>
          <w:szCs w:val="22"/>
        </w:rPr>
        <w:t>créditos de PIS</w:t>
      </w:r>
      <w:r w:rsidR="0065363F">
        <w:rPr>
          <w:rFonts w:ascii="Calibri" w:hAnsi="Calibri" w:cs="Calibri"/>
          <w:bCs/>
          <w:sz w:val="22"/>
          <w:szCs w:val="22"/>
        </w:rPr>
        <w:t>,</w:t>
      </w:r>
      <w:r w:rsidR="00D230AF" w:rsidRPr="000B1B26">
        <w:rPr>
          <w:rFonts w:ascii="Calibri" w:hAnsi="Calibri" w:cs="Calibri"/>
          <w:bCs/>
          <w:sz w:val="22"/>
          <w:szCs w:val="22"/>
        </w:rPr>
        <w:t xml:space="preserve"> COFINS</w:t>
      </w:r>
      <w:r w:rsidR="0065363F">
        <w:rPr>
          <w:rFonts w:ascii="Calibri" w:hAnsi="Calibri" w:cs="Calibri"/>
          <w:bCs/>
          <w:sz w:val="22"/>
          <w:szCs w:val="22"/>
        </w:rPr>
        <w:t xml:space="preserve"> e IRPJ</w:t>
      </w:r>
      <w:r w:rsidRPr="000B1B26">
        <w:rPr>
          <w:rFonts w:ascii="Calibri" w:hAnsi="Calibri" w:cs="Calibri"/>
          <w:bCs/>
          <w:sz w:val="22"/>
          <w:szCs w:val="22"/>
        </w:rPr>
        <w:t xml:space="preserve"> e R$ </w:t>
      </w:r>
      <w:r w:rsidR="0094134D">
        <w:rPr>
          <w:rFonts w:ascii="Calibri" w:hAnsi="Calibri" w:cs="Calibri"/>
          <w:bCs/>
          <w:sz w:val="22"/>
          <w:szCs w:val="22"/>
        </w:rPr>
        <w:t>296</w:t>
      </w:r>
      <w:r w:rsidRPr="000B1B26">
        <w:rPr>
          <w:rFonts w:ascii="Calibri" w:hAnsi="Calibri" w:cs="Calibri"/>
          <w:bCs/>
          <w:sz w:val="22"/>
          <w:szCs w:val="22"/>
        </w:rPr>
        <w:t xml:space="preserve"> mil em créditos previdenciários.</w:t>
      </w:r>
    </w:p>
    <w:p w14:paraId="099DBF6D" w14:textId="77777777" w:rsidR="00FA0D6A" w:rsidRPr="000B1B26" w:rsidRDefault="00FA0D6A" w:rsidP="00937ED9">
      <w:pPr>
        <w:spacing w:after="120"/>
        <w:jc w:val="both"/>
        <w:rPr>
          <w:rFonts w:ascii="Calibri" w:hAnsi="Calibri" w:cs="Calibri"/>
          <w:b/>
          <w:sz w:val="22"/>
          <w:szCs w:val="22"/>
        </w:rPr>
      </w:pPr>
      <w:r w:rsidRPr="000B1B26">
        <w:rPr>
          <w:rFonts w:ascii="Calibri" w:hAnsi="Calibri" w:cs="Calibri"/>
          <w:b/>
          <w:sz w:val="22"/>
          <w:szCs w:val="22"/>
        </w:rPr>
        <w:t xml:space="preserve">b.1) </w:t>
      </w:r>
      <w:r w:rsidR="00250E26" w:rsidRPr="000B1B26">
        <w:rPr>
          <w:rFonts w:ascii="Calibri" w:hAnsi="Calibri" w:cs="Calibri"/>
          <w:b/>
          <w:sz w:val="22"/>
          <w:szCs w:val="22"/>
        </w:rPr>
        <w:t>Tributos</w:t>
      </w:r>
      <w:r w:rsidRPr="000B1B26">
        <w:rPr>
          <w:rFonts w:ascii="Calibri" w:hAnsi="Calibri" w:cs="Calibri"/>
          <w:b/>
          <w:sz w:val="22"/>
          <w:szCs w:val="22"/>
        </w:rPr>
        <w:t xml:space="preserve"> a Compensar</w:t>
      </w:r>
    </w:p>
    <w:p w14:paraId="65CB6546" w14:textId="77533DB7" w:rsidR="00250E26" w:rsidRDefault="00250E26" w:rsidP="00937ED9">
      <w:pPr>
        <w:spacing w:after="120"/>
        <w:jc w:val="both"/>
        <w:rPr>
          <w:rFonts w:ascii="Calibri" w:hAnsi="Calibri" w:cs="Calibri"/>
          <w:sz w:val="22"/>
          <w:szCs w:val="22"/>
        </w:rPr>
      </w:pPr>
      <w:r w:rsidRPr="000B1B26">
        <w:rPr>
          <w:rFonts w:ascii="Calibri" w:hAnsi="Calibri" w:cs="Calibri"/>
          <w:sz w:val="22"/>
          <w:szCs w:val="22"/>
        </w:rPr>
        <w:t>De acordo com o art. 1º da Lei</w:t>
      </w:r>
      <w:r w:rsidR="00750CA7" w:rsidRPr="000B1B26">
        <w:rPr>
          <w:rFonts w:ascii="Calibri" w:hAnsi="Calibri" w:cs="Calibri"/>
          <w:sz w:val="22"/>
          <w:szCs w:val="22"/>
        </w:rPr>
        <w:t xml:space="preserve"> nº</w:t>
      </w:r>
      <w:r w:rsidRPr="000B1B26">
        <w:rPr>
          <w:rFonts w:ascii="Calibri" w:hAnsi="Calibri" w:cs="Calibri"/>
          <w:sz w:val="22"/>
          <w:szCs w:val="22"/>
        </w:rPr>
        <w:t xml:space="preserve"> 10.637</w:t>
      </w:r>
      <w:r w:rsidR="00750CA7" w:rsidRPr="000B1B26">
        <w:rPr>
          <w:rFonts w:ascii="Calibri" w:hAnsi="Calibri" w:cs="Calibri"/>
          <w:sz w:val="22"/>
          <w:szCs w:val="22"/>
        </w:rPr>
        <w:t xml:space="preserve">, de 30 de dezembro de </w:t>
      </w:r>
      <w:r w:rsidRPr="000B1B26">
        <w:rPr>
          <w:rFonts w:ascii="Calibri" w:hAnsi="Calibri" w:cs="Calibri"/>
          <w:sz w:val="22"/>
          <w:szCs w:val="22"/>
        </w:rPr>
        <w:t>2002 e art. 1º da Lei</w:t>
      </w:r>
      <w:r w:rsidR="00750CA7" w:rsidRPr="000B1B26">
        <w:rPr>
          <w:rFonts w:ascii="Calibri" w:hAnsi="Calibri" w:cs="Calibri"/>
          <w:sz w:val="22"/>
          <w:szCs w:val="22"/>
        </w:rPr>
        <w:t xml:space="preserve"> nº</w:t>
      </w:r>
      <w:r w:rsidRPr="000B1B26">
        <w:rPr>
          <w:rFonts w:ascii="Calibri" w:hAnsi="Calibri" w:cs="Calibri"/>
          <w:sz w:val="22"/>
          <w:szCs w:val="22"/>
        </w:rPr>
        <w:t xml:space="preserve"> 10.833</w:t>
      </w:r>
      <w:r w:rsidR="00750CA7" w:rsidRPr="000B1B26">
        <w:rPr>
          <w:rFonts w:ascii="Calibri" w:hAnsi="Calibri" w:cs="Calibri"/>
          <w:sz w:val="22"/>
          <w:szCs w:val="22"/>
        </w:rPr>
        <w:t xml:space="preserve">, de 29 de dezembro de </w:t>
      </w:r>
      <w:r w:rsidRPr="000B1B26">
        <w:rPr>
          <w:rFonts w:ascii="Calibri" w:hAnsi="Calibri" w:cs="Calibri"/>
          <w:sz w:val="22"/>
          <w:szCs w:val="22"/>
        </w:rPr>
        <w:t>2003, a base de cálculo da apuração do PIS e da COFINS pelo regime não-cumulativo é o total das receitas auferidas no mês, excluídas as situações previstas em lei. As referidas leis, em seu art. 3º, preveem a possibilidade de aproveitamento de créditos de PIS (1,65%) e COFINS (7,6%) sobre “aluguéis de prédios, máquinas e equipamentos e energia elétrica ou térmica</w:t>
      </w:r>
      <w:r w:rsidR="00550C84" w:rsidRPr="000B1B26">
        <w:rPr>
          <w:rFonts w:ascii="Calibri" w:hAnsi="Calibri" w:cs="Calibri"/>
          <w:sz w:val="22"/>
          <w:szCs w:val="22"/>
        </w:rPr>
        <w:t>, além das despesas com depreciações e amortizações</w:t>
      </w:r>
      <w:r w:rsidRPr="000B1B26">
        <w:rPr>
          <w:rFonts w:ascii="Calibri" w:hAnsi="Calibri" w:cs="Calibri"/>
          <w:sz w:val="22"/>
          <w:szCs w:val="22"/>
        </w:rPr>
        <w:t xml:space="preserve">”. Assim, </w:t>
      </w:r>
      <w:r w:rsidR="000B1B26">
        <w:rPr>
          <w:rFonts w:ascii="Calibri" w:hAnsi="Calibri" w:cs="Calibri"/>
          <w:sz w:val="22"/>
          <w:szCs w:val="22"/>
        </w:rPr>
        <w:t>em 3</w:t>
      </w:r>
      <w:r w:rsidR="00077F70">
        <w:rPr>
          <w:rFonts w:ascii="Calibri" w:hAnsi="Calibri" w:cs="Calibri"/>
          <w:sz w:val="22"/>
          <w:szCs w:val="22"/>
        </w:rPr>
        <w:t>0</w:t>
      </w:r>
      <w:r w:rsidR="000B1B26">
        <w:rPr>
          <w:rFonts w:ascii="Calibri" w:hAnsi="Calibri" w:cs="Calibri"/>
          <w:sz w:val="22"/>
          <w:szCs w:val="22"/>
        </w:rPr>
        <w:t xml:space="preserve"> de </w:t>
      </w:r>
      <w:r w:rsidR="0094134D">
        <w:rPr>
          <w:rFonts w:ascii="Calibri" w:hAnsi="Calibri" w:cs="Calibri"/>
          <w:sz w:val="22"/>
          <w:szCs w:val="22"/>
        </w:rPr>
        <w:t>setembro</w:t>
      </w:r>
      <w:r w:rsidR="000B1B26">
        <w:rPr>
          <w:rFonts w:ascii="Calibri" w:hAnsi="Calibri" w:cs="Calibri"/>
          <w:sz w:val="22"/>
          <w:szCs w:val="22"/>
        </w:rPr>
        <w:t xml:space="preserve"> de 2022 </w:t>
      </w:r>
      <w:r w:rsidRPr="000B1B26">
        <w:rPr>
          <w:rFonts w:ascii="Calibri" w:hAnsi="Calibri" w:cs="Calibri"/>
          <w:sz w:val="22"/>
          <w:szCs w:val="22"/>
        </w:rPr>
        <w:t xml:space="preserve">o saldo de crédito de PIS </w:t>
      </w:r>
      <w:r w:rsidR="000B1B26">
        <w:rPr>
          <w:rFonts w:ascii="Calibri" w:hAnsi="Calibri" w:cs="Calibri"/>
          <w:sz w:val="22"/>
          <w:szCs w:val="22"/>
        </w:rPr>
        <w:t xml:space="preserve">era </w:t>
      </w:r>
      <w:r w:rsidRPr="000B1B26">
        <w:rPr>
          <w:rFonts w:ascii="Calibri" w:hAnsi="Calibri" w:cs="Calibri"/>
          <w:sz w:val="22"/>
          <w:szCs w:val="22"/>
        </w:rPr>
        <w:t xml:space="preserve">de R$ </w:t>
      </w:r>
      <w:r w:rsidR="00077F70">
        <w:rPr>
          <w:rFonts w:ascii="Calibri" w:hAnsi="Calibri" w:cs="Calibri"/>
          <w:sz w:val="22"/>
          <w:szCs w:val="22"/>
        </w:rPr>
        <w:t>2</w:t>
      </w:r>
      <w:r w:rsidR="0094134D">
        <w:rPr>
          <w:rFonts w:ascii="Calibri" w:hAnsi="Calibri" w:cs="Calibri"/>
          <w:sz w:val="22"/>
          <w:szCs w:val="22"/>
        </w:rPr>
        <w:t>35</w:t>
      </w:r>
      <w:r w:rsidRPr="000B1B26">
        <w:rPr>
          <w:rFonts w:ascii="Calibri" w:hAnsi="Calibri" w:cs="Calibri"/>
          <w:sz w:val="22"/>
          <w:szCs w:val="22"/>
        </w:rPr>
        <w:t xml:space="preserve"> mil e </w:t>
      </w:r>
      <w:r w:rsidR="000B1B26">
        <w:rPr>
          <w:rFonts w:ascii="Calibri" w:hAnsi="Calibri" w:cs="Calibri"/>
          <w:sz w:val="22"/>
          <w:szCs w:val="22"/>
        </w:rPr>
        <w:t xml:space="preserve">de </w:t>
      </w:r>
      <w:r w:rsidRPr="000B1B26">
        <w:rPr>
          <w:rFonts w:ascii="Calibri" w:hAnsi="Calibri" w:cs="Calibri"/>
          <w:sz w:val="22"/>
          <w:szCs w:val="22"/>
        </w:rPr>
        <w:t xml:space="preserve">COFINS </w:t>
      </w:r>
      <w:r w:rsidR="000B1B26">
        <w:rPr>
          <w:rFonts w:ascii="Calibri" w:hAnsi="Calibri" w:cs="Calibri"/>
          <w:sz w:val="22"/>
          <w:szCs w:val="22"/>
        </w:rPr>
        <w:t xml:space="preserve">era </w:t>
      </w:r>
      <w:r w:rsidRPr="000B1B26">
        <w:rPr>
          <w:rFonts w:ascii="Calibri" w:hAnsi="Calibri" w:cs="Calibri"/>
          <w:sz w:val="22"/>
          <w:szCs w:val="22"/>
        </w:rPr>
        <w:t>de R$</w:t>
      </w:r>
      <w:r w:rsidR="00D20248">
        <w:rPr>
          <w:rFonts w:ascii="Calibri" w:hAnsi="Calibri" w:cs="Calibri"/>
          <w:sz w:val="22"/>
          <w:szCs w:val="22"/>
        </w:rPr>
        <w:t xml:space="preserve"> </w:t>
      </w:r>
      <w:r w:rsidR="00077F70">
        <w:rPr>
          <w:rFonts w:ascii="Calibri" w:hAnsi="Calibri" w:cs="Calibri"/>
          <w:sz w:val="22"/>
          <w:szCs w:val="22"/>
        </w:rPr>
        <w:t>1,0</w:t>
      </w:r>
      <w:r w:rsidR="0094134D">
        <w:rPr>
          <w:rFonts w:ascii="Calibri" w:hAnsi="Calibri" w:cs="Calibri"/>
          <w:sz w:val="22"/>
          <w:szCs w:val="22"/>
        </w:rPr>
        <w:t>7</w:t>
      </w:r>
      <w:r w:rsidRPr="000B1B26">
        <w:rPr>
          <w:rFonts w:ascii="Calibri" w:hAnsi="Calibri" w:cs="Calibri"/>
          <w:sz w:val="22"/>
          <w:szCs w:val="22"/>
        </w:rPr>
        <w:t xml:space="preserve"> mil</w:t>
      </w:r>
      <w:r w:rsidR="00077F70">
        <w:rPr>
          <w:rFonts w:ascii="Calibri" w:hAnsi="Calibri" w:cs="Calibri"/>
          <w:sz w:val="22"/>
          <w:szCs w:val="22"/>
        </w:rPr>
        <w:t>hão</w:t>
      </w:r>
      <w:r w:rsidRPr="000B1B26">
        <w:rPr>
          <w:rFonts w:ascii="Calibri" w:hAnsi="Calibri" w:cs="Calibri"/>
          <w:sz w:val="22"/>
          <w:szCs w:val="22"/>
        </w:rPr>
        <w:t xml:space="preserve"> a serem </w:t>
      </w:r>
      <w:r w:rsidR="00D230AF" w:rsidRPr="000B1B26">
        <w:rPr>
          <w:rFonts w:ascii="Calibri" w:hAnsi="Calibri" w:cs="Calibri"/>
          <w:sz w:val="22"/>
          <w:szCs w:val="22"/>
        </w:rPr>
        <w:t>compensados</w:t>
      </w:r>
      <w:r w:rsidRPr="000B1B26">
        <w:rPr>
          <w:rFonts w:ascii="Calibri" w:hAnsi="Calibri" w:cs="Calibri"/>
          <w:sz w:val="22"/>
          <w:szCs w:val="22"/>
        </w:rPr>
        <w:t xml:space="preserve"> em </w:t>
      </w:r>
      <w:r w:rsidR="0092389C" w:rsidRPr="000B1B26">
        <w:rPr>
          <w:rFonts w:ascii="Calibri" w:hAnsi="Calibri" w:cs="Calibri"/>
          <w:sz w:val="22"/>
          <w:szCs w:val="22"/>
        </w:rPr>
        <w:t>períodos</w:t>
      </w:r>
      <w:r w:rsidRPr="000B1B26">
        <w:rPr>
          <w:rFonts w:ascii="Calibri" w:hAnsi="Calibri" w:cs="Calibri"/>
          <w:sz w:val="22"/>
          <w:szCs w:val="22"/>
        </w:rPr>
        <w:t xml:space="preserve"> posteriores</w:t>
      </w:r>
      <w:r w:rsidR="00987B82" w:rsidRPr="000B1B26">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3127"/>
        <w:gridCol w:w="1836"/>
        <w:gridCol w:w="1836"/>
        <w:gridCol w:w="1836"/>
        <w:gridCol w:w="1832"/>
      </w:tblGrid>
      <w:tr w:rsidR="00F731F8" w:rsidRPr="000B1B26" w14:paraId="07911491" w14:textId="77777777" w:rsidTr="000B1B26">
        <w:trPr>
          <w:trHeight w:hRule="exact" w:val="227"/>
        </w:trPr>
        <w:tc>
          <w:tcPr>
            <w:tcW w:w="1494" w:type="pct"/>
            <w:tcBorders>
              <w:top w:val="nil"/>
              <w:left w:val="nil"/>
              <w:bottom w:val="single" w:sz="8" w:space="0" w:color="auto"/>
              <w:right w:val="nil"/>
            </w:tcBorders>
            <w:shd w:val="clear" w:color="auto" w:fill="auto"/>
            <w:noWrap/>
            <w:vAlign w:val="center"/>
            <w:hideMark/>
          </w:tcPr>
          <w:p w14:paraId="609155A2" w14:textId="77777777" w:rsidR="00F731F8" w:rsidRPr="000B1B26" w:rsidRDefault="00F731F8" w:rsidP="00937ED9">
            <w:pPr>
              <w:spacing w:after="120"/>
              <w:rPr>
                <w:rFonts w:ascii="Calibri" w:hAnsi="Calibri" w:cs="Calibri"/>
                <w:b/>
                <w:bCs/>
                <w:color w:val="000000"/>
                <w:sz w:val="16"/>
                <w:szCs w:val="16"/>
              </w:rPr>
            </w:pPr>
            <w:r w:rsidRPr="000B1B26">
              <w:rPr>
                <w:rFonts w:ascii="Calibri" w:hAnsi="Calibri" w:cs="Calibri"/>
                <w:b/>
                <w:bCs/>
                <w:color w:val="000000"/>
                <w:sz w:val="16"/>
                <w:szCs w:val="16"/>
              </w:rPr>
              <w:t>TRIBUTOS A COMPENSAR</w:t>
            </w:r>
          </w:p>
        </w:tc>
        <w:tc>
          <w:tcPr>
            <w:tcW w:w="877" w:type="pct"/>
            <w:tcBorders>
              <w:top w:val="nil"/>
              <w:left w:val="nil"/>
              <w:bottom w:val="single" w:sz="8" w:space="0" w:color="auto"/>
              <w:right w:val="nil"/>
            </w:tcBorders>
            <w:shd w:val="clear" w:color="auto" w:fill="auto"/>
            <w:vAlign w:val="center"/>
            <w:hideMark/>
          </w:tcPr>
          <w:p w14:paraId="428F0E5B" w14:textId="1F652C08" w:rsidR="00F731F8" w:rsidRPr="000B1B26" w:rsidRDefault="00F731F8" w:rsidP="00937ED9">
            <w:pPr>
              <w:spacing w:after="120"/>
              <w:jc w:val="right"/>
              <w:rPr>
                <w:rFonts w:ascii="Calibri" w:hAnsi="Calibri" w:cs="Calibri"/>
                <w:b/>
                <w:bCs/>
                <w:color w:val="000000"/>
                <w:sz w:val="16"/>
                <w:szCs w:val="16"/>
              </w:rPr>
            </w:pPr>
            <w:r w:rsidRPr="000B1B26">
              <w:rPr>
                <w:rFonts w:ascii="Calibri" w:hAnsi="Calibri" w:cs="Calibri"/>
                <w:b/>
                <w:bCs/>
                <w:color w:val="000000"/>
                <w:sz w:val="16"/>
                <w:szCs w:val="16"/>
              </w:rPr>
              <w:t>Saldo em 31/12/202</w:t>
            </w:r>
            <w:r w:rsidR="000B1B26">
              <w:rPr>
                <w:rFonts w:ascii="Calibri" w:hAnsi="Calibri" w:cs="Calibri"/>
                <w:b/>
                <w:bCs/>
                <w:color w:val="000000"/>
                <w:sz w:val="16"/>
                <w:szCs w:val="16"/>
              </w:rPr>
              <w:t>1</w:t>
            </w:r>
          </w:p>
        </w:tc>
        <w:tc>
          <w:tcPr>
            <w:tcW w:w="877" w:type="pct"/>
            <w:tcBorders>
              <w:top w:val="nil"/>
              <w:left w:val="nil"/>
              <w:bottom w:val="single" w:sz="8" w:space="0" w:color="auto"/>
              <w:right w:val="nil"/>
            </w:tcBorders>
            <w:shd w:val="clear" w:color="auto" w:fill="auto"/>
            <w:vAlign w:val="center"/>
            <w:hideMark/>
          </w:tcPr>
          <w:p w14:paraId="05267F1F" w14:textId="77777777" w:rsidR="00F731F8" w:rsidRPr="000B1B26" w:rsidRDefault="00F731F8" w:rsidP="00937ED9">
            <w:pPr>
              <w:spacing w:after="120"/>
              <w:jc w:val="right"/>
              <w:rPr>
                <w:rFonts w:ascii="Calibri" w:hAnsi="Calibri" w:cs="Calibri"/>
                <w:b/>
                <w:bCs/>
                <w:color w:val="000000"/>
                <w:sz w:val="16"/>
                <w:szCs w:val="16"/>
              </w:rPr>
            </w:pPr>
            <w:r w:rsidRPr="000B1B26">
              <w:rPr>
                <w:rFonts w:ascii="Calibri" w:hAnsi="Calibri" w:cs="Calibri"/>
                <w:b/>
                <w:bCs/>
                <w:color w:val="000000"/>
                <w:sz w:val="16"/>
                <w:szCs w:val="16"/>
              </w:rPr>
              <w:t>Ingresso</w:t>
            </w:r>
          </w:p>
        </w:tc>
        <w:tc>
          <w:tcPr>
            <w:tcW w:w="877" w:type="pct"/>
            <w:tcBorders>
              <w:top w:val="nil"/>
              <w:left w:val="nil"/>
              <w:bottom w:val="single" w:sz="8" w:space="0" w:color="auto"/>
              <w:right w:val="nil"/>
            </w:tcBorders>
            <w:shd w:val="clear" w:color="auto" w:fill="auto"/>
            <w:vAlign w:val="center"/>
            <w:hideMark/>
          </w:tcPr>
          <w:p w14:paraId="30E7755F" w14:textId="46952F97" w:rsidR="00F731F8" w:rsidRPr="000B1B26" w:rsidRDefault="003B2A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Compensado</w:t>
            </w:r>
          </w:p>
        </w:tc>
        <w:tc>
          <w:tcPr>
            <w:tcW w:w="875" w:type="pct"/>
            <w:tcBorders>
              <w:top w:val="nil"/>
              <w:left w:val="nil"/>
              <w:bottom w:val="single" w:sz="8" w:space="0" w:color="auto"/>
              <w:right w:val="nil"/>
            </w:tcBorders>
            <w:shd w:val="clear" w:color="auto" w:fill="auto"/>
            <w:vAlign w:val="center"/>
            <w:hideMark/>
          </w:tcPr>
          <w:p w14:paraId="3A8E7E53" w14:textId="609E5391" w:rsidR="00F731F8" w:rsidRPr="000B1B26" w:rsidRDefault="00F731F8" w:rsidP="00937ED9">
            <w:pPr>
              <w:spacing w:after="120"/>
              <w:jc w:val="right"/>
              <w:rPr>
                <w:rFonts w:ascii="Calibri" w:hAnsi="Calibri" w:cs="Calibri"/>
                <w:b/>
                <w:bCs/>
                <w:color w:val="000000"/>
                <w:sz w:val="16"/>
                <w:szCs w:val="16"/>
              </w:rPr>
            </w:pPr>
            <w:r w:rsidRPr="000B1B26">
              <w:rPr>
                <w:rFonts w:ascii="Calibri" w:hAnsi="Calibri" w:cs="Calibri"/>
                <w:b/>
                <w:bCs/>
                <w:color w:val="000000"/>
                <w:sz w:val="16"/>
                <w:szCs w:val="16"/>
              </w:rPr>
              <w:t>Saldo em 3</w:t>
            </w:r>
            <w:r w:rsidR="00077F70">
              <w:rPr>
                <w:rFonts w:ascii="Calibri" w:hAnsi="Calibri" w:cs="Calibri"/>
                <w:b/>
                <w:bCs/>
                <w:color w:val="000000"/>
                <w:sz w:val="16"/>
                <w:szCs w:val="16"/>
              </w:rPr>
              <w:t>0</w:t>
            </w:r>
            <w:r w:rsidRPr="000B1B26">
              <w:rPr>
                <w:rFonts w:ascii="Calibri" w:hAnsi="Calibri" w:cs="Calibri"/>
                <w:b/>
                <w:bCs/>
                <w:color w:val="000000"/>
                <w:sz w:val="16"/>
                <w:szCs w:val="16"/>
              </w:rPr>
              <w:t>/</w:t>
            </w:r>
            <w:r w:rsidR="00FC0EC1">
              <w:rPr>
                <w:rFonts w:ascii="Calibri" w:hAnsi="Calibri" w:cs="Calibri"/>
                <w:b/>
                <w:bCs/>
                <w:color w:val="000000"/>
                <w:sz w:val="16"/>
                <w:szCs w:val="16"/>
              </w:rPr>
              <w:t>0</w:t>
            </w:r>
            <w:r w:rsidR="0094134D">
              <w:rPr>
                <w:rFonts w:ascii="Calibri" w:hAnsi="Calibri" w:cs="Calibri"/>
                <w:b/>
                <w:bCs/>
                <w:color w:val="000000"/>
                <w:sz w:val="16"/>
                <w:szCs w:val="16"/>
              </w:rPr>
              <w:t>9</w:t>
            </w:r>
            <w:r w:rsidRPr="000B1B26">
              <w:rPr>
                <w:rFonts w:ascii="Calibri" w:hAnsi="Calibri" w:cs="Calibri"/>
                <w:b/>
                <w:bCs/>
                <w:color w:val="000000"/>
                <w:sz w:val="16"/>
                <w:szCs w:val="16"/>
              </w:rPr>
              <w:t>/202</w:t>
            </w:r>
            <w:r w:rsidR="00FC0EC1">
              <w:rPr>
                <w:rFonts w:ascii="Calibri" w:hAnsi="Calibri" w:cs="Calibri"/>
                <w:b/>
                <w:bCs/>
                <w:color w:val="000000"/>
                <w:sz w:val="16"/>
                <w:szCs w:val="16"/>
              </w:rPr>
              <w:t>2</w:t>
            </w:r>
          </w:p>
        </w:tc>
      </w:tr>
      <w:tr w:rsidR="000B1B26" w:rsidRPr="000B1B26" w14:paraId="50E3C179" w14:textId="77777777" w:rsidTr="000B1B26">
        <w:trPr>
          <w:trHeight w:hRule="exact" w:val="227"/>
        </w:trPr>
        <w:tc>
          <w:tcPr>
            <w:tcW w:w="1494" w:type="pct"/>
            <w:tcBorders>
              <w:top w:val="nil"/>
              <w:left w:val="nil"/>
              <w:bottom w:val="nil"/>
              <w:right w:val="nil"/>
            </w:tcBorders>
            <w:shd w:val="clear" w:color="auto" w:fill="auto"/>
            <w:noWrap/>
            <w:vAlign w:val="center"/>
            <w:hideMark/>
          </w:tcPr>
          <w:p w14:paraId="63CEAD0E" w14:textId="77777777" w:rsidR="000B1B26" w:rsidRPr="000B1B26" w:rsidRDefault="000B1B26" w:rsidP="000B1B26">
            <w:pPr>
              <w:spacing w:after="120"/>
              <w:rPr>
                <w:rFonts w:ascii="Calibri" w:hAnsi="Calibri" w:cs="Calibri"/>
                <w:color w:val="000000"/>
                <w:sz w:val="16"/>
                <w:szCs w:val="16"/>
              </w:rPr>
            </w:pPr>
            <w:r w:rsidRPr="000B1B26">
              <w:rPr>
                <w:rFonts w:ascii="Calibri" w:hAnsi="Calibri" w:cs="Calibri"/>
                <w:color w:val="000000"/>
                <w:sz w:val="16"/>
                <w:szCs w:val="16"/>
              </w:rPr>
              <w:t>COFINS a Compensar</w:t>
            </w:r>
          </w:p>
        </w:tc>
        <w:tc>
          <w:tcPr>
            <w:tcW w:w="877" w:type="pct"/>
            <w:tcBorders>
              <w:top w:val="nil"/>
              <w:left w:val="nil"/>
              <w:bottom w:val="nil"/>
              <w:right w:val="nil"/>
            </w:tcBorders>
            <w:shd w:val="clear" w:color="auto" w:fill="auto"/>
            <w:noWrap/>
            <w:vAlign w:val="center"/>
            <w:hideMark/>
          </w:tcPr>
          <w:p w14:paraId="0AD1DCA3" w14:textId="6ACED587" w:rsidR="000B1B26" w:rsidRPr="000B1B26" w:rsidRDefault="000B1B26" w:rsidP="000B1B26">
            <w:pPr>
              <w:spacing w:after="120"/>
              <w:jc w:val="right"/>
              <w:rPr>
                <w:rFonts w:ascii="Calibri" w:hAnsi="Calibri" w:cs="Calibri"/>
                <w:color w:val="000000"/>
                <w:sz w:val="16"/>
                <w:szCs w:val="16"/>
              </w:rPr>
            </w:pPr>
            <w:r w:rsidRPr="000B1B26">
              <w:rPr>
                <w:rFonts w:ascii="Calibri" w:hAnsi="Calibri" w:cs="Calibri"/>
                <w:color w:val="000000"/>
                <w:sz w:val="16"/>
                <w:szCs w:val="16"/>
              </w:rPr>
              <w:t>821.965</w:t>
            </w:r>
          </w:p>
        </w:tc>
        <w:tc>
          <w:tcPr>
            <w:tcW w:w="877" w:type="pct"/>
            <w:tcBorders>
              <w:top w:val="nil"/>
              <w:left w:val="nil"/>
              <w:bottom w:val="nil"/>
              <w:right w:val="nil"/>
            </w:tcBorders>
            <w:shd w:val="clear" w:color="auto" w:fill="auto"/>
            <w:vAlign w:val="center"/>
            <w:hideMark/>
          </w:tcPr>
          <w:p w14:paraId="300A17EE" w14:textId="780AAE4B" w:rsidR="000B1B26" w:rsidRPr="000B1B26" w:rsidRDefault="0094134D" w:rsidP="000B1B26">
            <w:pPr>
              <w:spacing w:after="120"/>
              <w:jc w:val="right"/>
              <w:rPr>
                <w:rFonts w:ascii="Calibri" w:hAnsi="Calibri" w:cs="Calibri"/>
                <w:color w:val="000000"/>
                <w:sz w:val="16"/>
                <w:szCs w:val="16"/>
              </w:rPr>
            </w:pPr>
            <w:r>
              <w:rPr>
                <w:rFonts w:ascii="Calibri" w:hAnsi="Calibri" w:cs="Calibri"/>
                <w:color w:val="000000"/>
                <w:sz w:val="16"/>
                <w:szCs w:val="16"/>
              </w:rPr>
              <w:t>456.356</w:t>
            </w:r>
          </w:p>
        </w:tc>
        <w:tc>
          <w:tcPr>
            <w:tcW w:w="877" w:type="pct"/>
            <w:tcBorders>
              <w:top w:val="nil"/>
              <w:left w:val="nil"/>
              <w:bottom w:val="nil"/>
              <w:right w:val="nil"/>
            </w:tcBorders>
            <w:shd w:val="clear" w:color="auto" w:fill="auto"/>
            <w:vAlign w:val="center"/>
            <w:hideMark/>
          </w:tcPr>
          <w:p w14:paraId="215C7939" w14:textId="56DD0F63" w:rsidR="008028C9" w:rsidRDefault="000B1B26" w:rsidP="000B1B26">
            <w:pPr>
              <w:spacing w:after="120"/>
              <w:jc w:val="right"/>
              <w:rPr>
                <w:rFonts w:ascii="Calibri" w:hAnsi="Calibri" w:cs="Calibri"/>
                <w:color w:val="000000"/>
                <w:sz w:val="16"/>
                <w:szCs w:val="16"/>
              </w:rPr>
            </w:pPr>
            <w:r w:rsidRPr="000B1B26">
              <w:rPr>
                <w:rFonts w:ascii="Calibri" w:hAnsi="Calibri" w:cs="Calibri"/>
                <w:color w:val="000000"/>
                <w:sz w:val="16"/>
                <w:szCs w:val="16"/>
              </w:rPr>
              <w:t>(</w:t>
            </w:r>
            <w:r w:rsidR="0094134D">
              <w:rPr>
                <w:rFonts w:ascii="Calibri" w:hAnsi="Calibri" w:cs="Calibri"/>
                <w:color w:val="000000"/>
                <w:sz w:val="16"/>
                <w:szCs w:val="16"/>
              </w:rPr>
              <w:t>203.612</w:t>
            </w:r>
            <w:r w:rsidR="008028C9">
              <w:rPr>
                <w:rFonts w:ascii="Calibri" w:hAnsi="Calibri" w:cs="Calibri"/>
                <w:color w:val="000000"/>
                <w:sz w:val="16"/>
                <w:szCs w:val="16"/>
              </w:rPr>
              <w:t>)</w:t>
            </w:r>
          </w:p>
          <w:p w14:paraId="0E44E094" w14:textId="3774972B" w:rsidR="000B1B26" w:rsidRPr="000B1B26" w:rsidRDefault="008028C9" w:rsidP="000B1B26">
            <w:pPr>
              <w:spacing w:after="120"/>
              <w:jc w:val="right"/>
              <w:rPr>
                <w:rFonts w:ascii="Calibri" w:hAnsi="Calibri" w:cs="Calibri"/>
                <w:color w:val="000000"/>
                <w:sz w:val="16"/>
                <w:szCs w:val="16"/>
              </w:rPr>
            </w:pPr>
            <w:r>
              <w:rPr>
                <w:rFonts w:ascii="Calibri" w:hAnsi="Calibri" w:cs="Calibri"/>
                <w:color w:val="000000"/>
                <w:sz w:val="16"/>
                <w:szCs w:val="16"/>
              </w:rPr>
              <w:t>648)</w:t>
            </w:r>
            <w:r w:rsidR="000B1B26">
              <w:rPr>
                <w:rFonts w:ascii="Calibri" w:hAnsi="Calibri" w:cs="Calibri"/>
                <w:color w:val="000000"/>
                <w:sz w:val="16"/>
                <w:szCs w:val="16"/>
              </w:rPr>
              <w:t>167</w:t>
            </w:r>
            <w:r w:rsidR="000B1B26" w:rsidRPr="000B1B26">
              <w:rPr>
                <w:rFonts w:ascii="Calibri" w:hAnsi="Calibri" w:cs="Calibri"/>
                <w:color w:val="000000"/>
                <w:sz w:val="16"/>
                <w:szCs w:val="16"/>
              </w:rPr>
              <w:t>)</w:t>
            </w:r>
          </w:p>
        </w:tc>
        <w:tc>
          <w:tcPr>
            <w:tcW w:w="875" w:type="pct"/>
            <w:tcBorders>
              <w:top w:val="nil"/>
              <w:left w:val="nil"/>
              <w:bottom w:val="nil"/>
              <w:right w:val="nil"/>
            </w:tcBorders>
            <w:shd w:val="clear" w:color="auto" w:fill="auto"/>
            <w:vAlign w:val="center"/>
            <w:hideMark/>
          </w:tcPr>
          <w:p w14:paraId="03683C73" w14:textId="26F7A145" w:rsidR="000B1B26" w:rsidRPr="000B1B26" w:rsidRDefault="007B0458" w:rsidP="000B1B26">
            <w:pPr>
              <w:spacing w:after="120"/>
              <w:jc w:val="right"/>
              <w:rPr>
                <w:rFonts w:ascii="Calibri" w:hAnsi="Calibri" w:cs="Calibri"/>
                <w:color w:val="000000"/>
                <w:sz w:val="16"/>
                <w:szCs w:val="16"/>
              </w:rPr>
            </w:pPr>
            <w:r>
              <w:rPr>
                <w:rFonts w:ascii="Calibri" w:hAnsi="Calibri" w:cs="Calibri"/>
                <w:color w:val="000000"/>
                <w:sz w:val="16"/>
                <w:szCs w:val="16"/>
              </w:rPr>
              <w:t>1</w:t>
            </w:r>
            <w:r w:rsidR="0094134D">
              <w:rPr>
                <w:rFonts w:ascii="Calibri" w:hAnsi="Calibri" w:cs="Calibri"/>
                <w:color w:val="000000"/>
                <w:sz w:val="16"/>
                <w:szCs w:val="16"/>
              </w:rPr>
              <w:t>.074.709</w:t>
            </w:r>
          </w:p>
        </w:tc>
      </w:tr>
      <w:tr w:rsidR="000B1B26" w:rsidRPr="000B1B26" w14:paraId="16B46E6A" w14:textId="77777777" w:rsidTr="000B1B26">
        <w:trPr>
          <w:trHeight w:hRule="exact" w:val="227"/>
        </w:trPr>
        <w:tc>
          <w:tcPr>
            <w:tcW w:w="1494" w:type="pct"/>
            <w:tcBorders>
              <w:top w:val="nil"/>
              <w:left w:val="nil"/>
              <w:bottom w:val="nil"/>
              <w:right w:val="nil"/>
            </w:tcBorders>
            <w:shd w:val="clear" w:color="auto" w:fill="auto"/>
            <w:noWrap/>
            <w:vAlign w:val="center"/>
            <w:hideMark/>
          </w:tcPr>
          <w:p w14:paraId="4C82138D" w14:textId="77777777" w:rsidR="000B1B26" w:rsidRPr="000B1B26" w:rsidRDefault="000B1B26" w:rsidP="000B1B26">
            <w:pPr>
              <w:spacing w:after="120"/>
              <w:rPr>
                <w:rFonts w:ascii="Calibri" w:hAnsi="Calibri" w:cs="Calibri"/>
                <w:color w:val="000000"/>
                <w:sz w:val="16"/>
                <w:szCs w:val="16"/>
              </w:rPr>
            </w:pPr>
            <w:r w:rsidRPr="000B1B26">
              <w:rPr>
                <w:rFonts w:ascii="Calibri" w:hAnsi="Calibri" w:cs="Calibri"/>
                <w:color w:val="000000"/>
                <w:sz w:val="16"/>
                <w:szCs w:val="16"/>
              </w:rPr>
              <w:t>PIS a Compensar</w:t>
            </w:r>
          </w:p>
        </w:tc>
        <w:tc>
          <w:tcPr>
            <w:tcW w:w="877" w:type="pct"/>
            <w:tcBorders>
              <w:top w:val="nil"/>
              <w:left w:val="nil"/>
              <w:bottom w:val="nil"/>
              <w:right w:val="nil"/>
            </w:tcBorders>
            <w:shd w:val="clear" w:color="auto" w:fill="auto"/>
            <w:noWrap/>
            <w:vAlign w:val="center"/>
            <w:hideMark/>
          </w:tcPr>
          <w:p w14:paraId="3534E4D6" w14:textId="5B8EBCE0" w:rsidR="000B1B26" w:rsidRPr="000B1B26" w:rsidRDefault="000B1B26" w:rsidP="000B1B26">
            <w:pPr>
              <w:spacing w:after="120"/>
              <w:jc w:val="right"/>
              <w:rPr>
                <w:rFonts w:ascii="Calibri" w:hAnsi="Calibri" w:cs="Calibri"/>
                <w:color w:val="000000"/>
                <w:sz w:val="16"/>
                <w:szCs w:val="16"/>
              </w:rPr>
            </w:pPr>
            <w:r w:rsidRPr="000B1B26">
              <w:rPr>
                <w:rFonts w:ascii="Calibri" w:hAnsi="Calibri" w:cs="Calibri"/>
                <w:color w:val="000000"/>
                <w:sz w:val="16"/>
                <w:szCs w:val="16"/>
              </w:rPr>
              <w:t>179.544</w:t>
            </w:r>
          </w:p>
        </w:tc>
        <w:tc>
          <w:tcPr>
            <w:tcW w:w="877" w:type="pct"/>
            <w:tcBorders>
              <w:top w:val="nil"/>
              <w:left w:val="nil"/>
              <w:bottom w:val="nil"/>
              <w:right w:val="nil"/>
            </w:tcBorders>
            <w:shd w:val="clear" w:color="auto" w:fill="auto"/>
            <w:vAlign w:val="center"/>
            <w:hideMark/>
          </w:tcPr>
          <w:p w14:paraId="493BACB3" w14:textId="76D68F13" w:rsidR="000B1B26" w:rsidRPr="000B1B26" w:rsidRDefault="0094134D" w:rsidP="000B1B26">
            <w:pPr>
              <w:spacing w:after="120"/>
              <w:jc w:val="right"/>
              <w:rPr>
                <w:rFonts w:ascii="Calibri" w:hAnsi="Calibri" w:cs="Calibri"/>
                <w:color w:val="000000"/>
                <w:sz w:val="16"/>
                <w:szCs w:val="16"/>
              </w:rPr>
            </w:pPr>
            <w:r>
              <w:rPr>
                <w:rFonts w:ascii="Calibri" w:hAnsi="Calibri" w:cs="Calibri"/>
                <w:color w:val="000000"/>
                <w:sz w:val="16"/>
                <w:szCs w:val="16"/>
              </w:rPr>
              <w:t>99.077</w:t>
            </w:r>
          </w:p>
        </w:tc>
        <w:tc>
          <w:tcPr>
            <w:tcW w:w="877" w:type="pct"/>
            <w:tcBorders>
              <w:top w:val="nil"/>
              <w:left w:val="nil"/>
              <w:bottom w:val="nil"/>
              <w:right w:val="nil"/>
            </w:tcBorders>
            <w:shd w:val="clear" w:color="auto" w:fill="auto"/>
            <w:vAlign w:val="center"/>
            <w:hideMark/>
          </w:tcPr>
          <w:p w14:paraId="115D2965" w14:textId="506B7CFF" w:rsidR="000B1B26" w:rsidRPr="000B1B26" w:rsidRDefault="000B1B26" w:rsidP="000B1B26">
            <w:pPr>
              <w:spacing w:after="120"/>
              <w:jc w:val="right"/>
              <w:rPr>
                <w:rFonts w:ascii="Calibri" w:hAnsi="Calibri" w:cs="Calibri"/>
                <w:color w:val="000000"/>
                <w:sz w:val="16"/>
                <w:szCs w:val="16"/>
              </w:rPr>
            </w:pPr>
            <w:r w:rsidRPr="000B1B26">
              <w:rPr>
                <w:rFonts w:ascii="Calibri" w:hAnsi="Calibri" w:cs="Calibri"/>
                <w:color w:val="000000"/>
                <w:sz w:val="16"/>
                <w:szCs w:val="16"/>
              </w:rPr>
              <w:t>(</w:t>
            </w:r>
            <w:r w:rsidR="0094134D">
              <w:rPr>
                <w:rFonts w:ascii="Calibri" w:hAnsi="Calibri" w:cs="Calibri"/>
                <w:color w:val="000000"/>
                <w:sz w:val="16"/>
                <w:szCs w:val="16"/>
              </w:rPr>
              <w:t>43.085</w:t>
            </w:r>
            <w:r w:rsidR="008028C9">
              <w:rPr>
                <w:rFonts w:ascii="Calibri" w:hAnsi="Calibri" w:cs="Calibri"/>
                <w:color w:val="000000"/>
                <w:sz w:val="16"/>
                <w:szCs w:val="16"/>
              </w:rPr>
              <w:t>)</w:t>
            </w:r>
          </w:p>
        </w:tc>
        <w:tc>
          <w:tcPr>
            <w:tcW w:w="875" w:type="pct"/>
            <w:tcBorders>
              <w:top w:val="nil"/>
              <w:left w:val="nil"/>
              <w:bottom w:val="nil"/>
              <w:right w:val="nil"/>
            </w:tcBorders>
            <w:shd w:val="clear" w:color="auto" w:fill="auto"/>
            <w:vAlign w:val="center"/>
            <w:hideMark/>
          </w:tcPr>
          <w:p w14:paraId="3E09BD6A" w14:textId="56F2508A" w:rsidR="000B1B26" w:rsidRPr="000B1B26" w:rsidRDefault="0094134D" w:rsidP="000B1B26">
            <w:pPr>
              <w:spacing w:after="120"/>
              <w:jc w:val="right"/>
              <w:rPr>
                <w:rFonts w:ascii="Calibri" w:hAnsi="Calibri" w:cs="Calibri"/>
                <w:color w:val="000000"/>
                <w:sz w:val="16"/>
                <w:szCs w:val="16"/>
              </w:rPr>
            </w:pPr>
            <w:r>
              <w:rPr>
                <w:rFonts w:ascii="Calibri" w:hAnsi="Calibri" w:cs="Calibri"/>
                <w:color w:val="000000"/>
                <w:sz w:val="16"/>
                <w:szCs w:val="16"/>
              </w:rPr>
              <w:t>235.536</w:t>
            </w:r>
          </w:p>
        </w:tc>
      </w:tr>
      <w:tr w:rsidR="0065363F" w:rsidRPr="000B1B26" w14:paraId="0FCE14BD" w14:textId="77777777" w:rsidTr="000B1B26">
        <w:trPr>
          <w:trHeight w:hRule="exact" w:val="227"/>
        </w:trPr>
        <w:tc>
          <w:tcPr>
            <w:tcW w:w="1494" w:type="pct"/>
            <w:tcBorders>
              <w:top w:val="nil"/>
              <w:left w:val="nil"/>
              <w:bottom w:val="nil"/>
              <w:right w:val="nil"/>
            </w:tcBorders>
            <w:shd w:val="clear" w:color="auto" w:fill="auto"/>
            <w:noWrap/>
            <w:vAlign w:val="center"/>
          </w:tcPr>
          <w:p w14:paraId="351BD4F7" w14:textId="1ED4D78D" w:rsidR="0065363F" w:rsidRPr="000B1B26" w:rsidRDefault="0065363F" w:rsidP="000B1B26">
            <w:pPr>
              <w:spacing w:after="120"/>
              <w:rPr>
                <w:rFonts w:ascii="Calibri" w:hAnsi="Calibri" w:cs="Calibri"/>
                <w:color w:val="000000"/>
                <w:sz w:val="16"/>
                <w:szCs w:val="16"/>
              </w:rPr>
            </w:pPr>
            <w:r>
              <w:rPr>
                <w:rFonts w:ascii="Calibri" w:hAnsi="Calibri" w:cs="Calibri"/>
                <w:color w:val="000000"/>
                <w:sz w:val="16"/>
                <w:szCs w:val="16"/>
              </w:rPr>
              <w:t>IRPJ</w:t>
            </w:r>
          </w:p>
        </w:tc>
        <w:tc>
          <w:tcPr>
            <w:tcW w:w="877" w:type="pct"/>
            <w:tcBorders>
              <w:top w:val="nil"/>
              <w:left w:val="nil"/>
              <w:bottom w:val="nil"/>
              <w:right w:val="nil"/>
            </w:tcBorders>
            <w:shd w:val="clear" w:color="auto" w:fill="auto"/>
            <w:noWrap/>
            <w:vAlign w:val="center"/>
          </w:tcPr>
          <w:p w14:paraId="07C5E83E" w14:textId="7471DCDB" w:rsidR="0065363F" w:rsidRPr="000B1B26" w:rsidRDefault="0094134D" w:rsidP="000B1B26">
            <w:pPr>
              <w:spacing w:after="120"/>
              <w:jc w:val="right"/>
              <w:rPr>
                <w:rFonts w:ascii="Calibri" w:hAnsi="Calibri" w:cs="Calibri"/>
                <w:color w:val="000000"/>
                <w:sz w:val="16"/>
                <w:szCs w:val="16"/>
              </w:rPr>
            </w:pPr>
            <w:r>
              <w:rPr>
                <w:rFonts w:ascii="Calibri" w:hAnsi="Calibri" w:cs="Calibri"/>
                <w:color w:val="000000"/>
                <w:sz w:val="16"/>
                <w:szCs w:val="16"/>
              </w:rPr>
              <w:t>0</w:t>
            </w:r>
          </w:p>
        </w:tc>
        <w:tc>
          <w:tcPr>
            <w:tcW w:w="877" w:type="pct"/>
            <w:tcBorders>
              <w:top w:val="nil"/>
              <w:left w:val="nil"/>
              <w:bottom w:val="nil"/>
              <w:right w:val="nil"/>
            </w:tcBorders>
            <w:shd w:val="clear" w:color="auto" w:fill="auto"/>
            <w:vAlign w:val="center"/>
          </w:tcPr>
          <w:p w14:paraId="4E6B4433" w14:textId="6A0831AE" w:rsidR="0065363F" w:rsidRDefault="0094134D" w:rsidP="000B1B26">
            <w:pPr>
              <w:spacing w:after="120"/>
              <w:jc w:val="right"/>
              <w:rPr>
                <w:rFonts w:ascii="Calibri" w:hAnsi="Calibri" w:cs="Calibri"/>
                <w:color w:val="000000"/>
                <w:sz w:val="16"/>
                <w:szCs w:val="16"/>
              </w:rPr>
            </w:pPr>
            <w:r>
              <w:rPr>
                <w:rFonts w:ascii="Calibri" w:hAnsi="Calibri" w:cs="Calibri"/>
                <w:color w:val="000000"/>
                <w:sz w:val="16"/>
                <w:szCs w:val="16"/>
              </w:rPr>
              <w:t>816</w:t>
            </w:r>
          </w:p>
        </w:tc>
        <w:tc>
          <w:tcPr>
            <w:tcW w:w="877" w:type="pct"/>
            <w:tcBorders>
              <w:top w:val="nil"/>
              <w:left w:val="nil"/>
              <w:bottom w:val="nil"/>
              <w:right w:val="nil"/>
            </w:tcBorders>
            <w:shd w:val="clear" w:color="auto" w:fill="auto"/>
            <w:vAlign w:val="center"/>
          </w:tcPr>
          <w:p w14:paraId="042442C8" w14:textId="5766DCAA" w:rsidR="0065363F" w:rsidRPr="000B1B26" w:rsidRDefault="0094134D" w:rsidP="000B1B26">
            <w:pPr>
              <w:spacing w:after="120"/>
              <w:jc w:val="right"/>
              <w:rPr>
                <w:rFonts w:ascii="Calibri" w:hAnsi="Calibri" w:cs="Calibri"/>
                <w:color w:val="000000"/>
                <w:sz w:val="16"/>
                <w:szCs w:val="16"/>
              </w:rPr>
            </w:pPr>
            <w:r>
              <w:rPr>
                <w:rFonts w:ascii="Calibri" w:hAnsi="Calibri" w:cs="Calibri"/>
                <w:color w:val="000000"/>
                <w:sz w:val="16"/>
                <w:szCs w:val="16"/>
              </w:rPr>
              <w:t>0</w:t>
            </w:r>
          </w:p>
        </w:tc>
        <w:tc>
          <w:tcPr>
            <w:tcW w:w="875" w:type="pct"/>
            <w:tcBorders>
              <w:top w:val="nil"/>
              <w:left w:val="nil"/>
              <w:bottom w:val="nil"/>
              <w:right w:val="nil"/>
            </w:tcBorders>
            <w:shd w:val="clear" w:color="auto" w:fill="auto"/>
            <w:vAlign w:val="center"/>
          </w:tcPr>
          <w:p w14:paraId="7E22957F" w14:textId="227A7DD1" w:rsidR="0065363F" w:rsidRDefault="0094134D" w:rsidP="000B1B26">
            <w:pPr>
              <w:spacing w:after="120"/>
              <w:jc w:val="right"/>
              <w:rPr>
                <w:rFonts w:ascii="Calibri" w:hAnsi="Calibri" w:cs="Calibri"/>
                <w:color w:val="000000"/>
                <w:sz w:val="16"/>
                <w:szCs w:val="16"/>
              </w:rPr>
            </w:pPr>
            <w:r>
              <w:rPr>
                <w:rFonts w:ascii="Calibri" w:hAnsi="Calibri" w:cs="Calibri"/>
                <w:color w:val="000000"/>
                <w:sz w:val="16"/>
                <w:szCs w:val="16"/>
              </w:rPr>
              <w:t>816</w:t>
            </w:r>
          </w:p>
        </w:tc>
      </w:tr>
      <w:tr w:rsidR="00F731F8" w14:paraId="62640809" w14:textId="77777777" w:rsidTr="000B1B26">
        <w:trPr>
          <w:trHeight w:hRule="exact" w:val="227"/>
        </w:trPr>
        <w:tc>
          <w:tcPr>
            <w:tcW w:w="1494" w:type="pct"/>
            <w:tcBorders>
              <w:top w:val="single" w:sz="8" w:space="0" w:color="auto"/>
              <w:left w:val="nil"/>
              <w:bottom w:val="single" w:sz="8" w:space="0" w:color="auto"/>
              <w:right w:val="nil"/>
            </w:tcBorders>
            <w:shd w:val="clear" w:color="auto" w:fill="auto"/>
            <w:noWrap/>
            <w:vAlign w:val="center"/>
            <w:hideMark/>
          </w:tcPr>
          <w:p w14:paraId="49EBB067" w14:textId="77777777" w:rsidR="00F731F8" w:rsidRPr="000B1B26" w:rsidRDefault="00F731F8" w:rsidP="00937ED9">
            <w:pPr>
              <w:spacing w:after="120"/>
              <w:jc w:val="center"/>
              <w:rPr>
                <w:rFonts w:ascii="Calibri" w:hAnsi="Calibri" w:cs="Calibri"/>
                <w:b/>
                <w:bCs/>
                <w:color w:val="000000"/>
                <w:sz w:val="16"/>
                <w:szCs w:val="16"/>
              </w:rPr>
            </w:pPr>
            <w:r w:rsidRPr="000B1B26">
              <w:rPr>
                <w:rFonts w:ascii="Calibri" w:hAnsi="Calibri" w:cs="Calibri"/>
                <w:b/>
                <w:bCs/>
                <w:color w:val="000000"/>
                <w:sz w:val="16"/>
                <w:szCs w:val="16"/>
              </w:rPr>
              <w:t>TOTAL</w:t>
            </w:r>
          </w:p>
        </w:tc>
        <w:tc>
          <w:tcPr>
            <w:tcW w:w="877" w:type="pct"/>
            <w:tcBorders>
              <w:top w:val="single" w:sz="8" w:space="0" w:color="auto"/>
              <w:left w:val="nil"/>
              <w:bottom w:val="single" w:sz="8" w:space="0" w:color="auto"/>
              <w:right w:val="nil"/>
            </w:tcBorders>
            <w:shd w:val="clear" w:color="auto" w:fill="auto"/>
            <w:noWrap/>
            <w:vAlign w:val="center"/>
            <w:hideMark/>
          </w:tcPr>
          <w:p w14:paraId="71DB36EE" w14:textId="3AEC8FFB" w:rsidR="00F731F8" w:rsidRPr="000B1B26" w:rsidRDefault="000B1B26" w:rsidP="00937ED9">
            <w:pPr>
              <w:spacing w:after="120"/>
              <w:jc w:val="right"/>
              <w:rPr>
                <w:rFonts w:ascii="Calibri" w:hAnsi="Calibri" w:cs="Calibri"/>
                <w:b/>
                <w:bCs/>
                <w:color w:val="000000"/>
                <w:sz w:val="16"/>
                <w:szCs w:val="16"/>
              </w:rPr>
            </w:pPr>
            <w:r>
              <w:rPr>
                <w:rFonts w:ascii="Calibri" w:hAnsi="Calibri" w:cs="Calibri"/>
                <w:b/>
                <w:bCs/>
                <w:color w:val="000000"/>
                <w:sz w:val="16"/>
                <w:szCs w:val="16"/>
              </w:rPr>
              <w:t>1.001.509</w:t>
            </w:r>
          </w:p>
        </w:tc>
        <w:tc>
          <w:tcPr>
            <w:tcW w:w="877" w:type="pct"/>
            <w:tcBorders>
              <w:top w:val="single" w:sz="8" w:space="0" w:color="auto"/>
              <w:left w:val="nil"/>
              <w:bottom w:val="single" w:sz="8" w:space="0" w:color="auto"/>
              <w:right w:val="nil"/>
            </w:tcBorders>
            <w:shd w:val="clear" w:color="auto" w:fill="auto"/>
            <w:vAlign w:val="center"/>
            <w:hideMark/>
          </w:tcPr>
          <w:p w14:paraId="01D74EA9" w14:textId="73FB3A32" w:rsidR="00F731F8" w:rsidRPr="000B1B26" w:rsidRDefault="0094134D" w:rsidP="00937ED9">
            <w:pPr>
              <w:spacing w:after="120"/>
              <w:jc w:val="right"/>
              <w:rPr>
                <w:rFonts w:ascii="Calibri" w:hAnsi="Calibri" w:cs="Calibri"/>
                <w:b/>
                <w:bCs/>
                <w:color w:val="000000"/>
                <w:sz w:val="16"/>
                <w:szCs w:val="16"/>
              </w:rPr>
            </w:pPr>
            <w:r>
              <w:rPr>
                <w:rFonts w:ascii="Calibri" w:hAnsi="Calibri" w:cs="Calibri"/>
                <w:b/>
                <w:bCs/>
                <w:color w:val="000000"/>
                <w:sz w:val="16"/>
                <w:szCs w:val="16"/>
              </w:rPr>
              <w:t>556.249</w:t>
            </w:r>
          </w:p>
        </w:tc>
        <w:tc>
          <w:tcPr>
            <w:tcW w:w="877" w:type="pct"/>
            <w:tcBorders>
              <w:top w:val="single" w:sz="8" w:space="0" w:color="auto"/>
              <w:left w:val="nil"/>
              <w:bottom w:val="single" w:sz="8" w:space="0" w:color="auto"/>
              <w:right w:val="nil"/>
            </w:tcBorders>
            <w:shd w:val="clear" w:color="auto" w:fill="auto"/>
            <w:vAlign w:val="center"/>
            <w:hideMark/>
          </w:tcPr>
          <w:p w14:paraId="3BF16929" w14:textId="0A886CBC" w:rsidR="00F731F8" w:rsidRPr="000B1B26" w:rsidRDefault="00D90DF6" w:rsidP="00937ED9">
            <w:pPr>
              <w:spacing w:after="120"/>
              <w:jc w:val="right"/>
              <w:rPr>
                <w:rFonts w:ascii="Calibri" w:hAnsi="Calibri" w:cs="Calibri"/>
                <w:b/>
                <w:bCs/>
                <w:color w:val="000000"/>
                <w:sz w:val="16"/>
                <w:szCs w:val="16"/>
              </w:rPr>
            </w:pPr>
            <w:r w:rsidRPr="000B1B26">
              <w:rPr>
                <w:rFonts w:ascii="Calibri" w:hAnsi="Calibri" w:cs="Calibri"/>
                <w:b/>
                <w:bCs/>
                <w:color w:val="000000"/>
                <w:sz w:val="16"/>
                <w:szCs w:val="16"/>
              </w:rPr>
              <w:t>(</w:t>
            </w:r>
            <w:r w:rsidR="0094134D">
              <w:rPr>
                <w:rFonts w:ascii="Calibri" w:hAnsi="Calibri" w:cs="Calibri"/>
                <w:b/>
                <w:bCs/>
                <w:color w:val="000000"/>
                <w:sz w:val="16"/>
                <w:szCs w:val="16"/>
              </w:rPr>
              <w:t>246.697</w:t>
            </w:r>
            <w:r w:rsidRPr="000B1B26">
              <w:rPr>
                <w:rFonts w:ascii="Calibri" w:hAnsi="Calibri" w:cs="Calibri"/>
                <w:b/>
                <w:bCs/>
                <w:color w:val="000000"/>
                <w:sz w:val="16"/>
                <w:szCs w:val="16"/>
              </w:rPr>
              <w:t>)</w:t>
            </w:r>
          </w:p>
        </w:tc>
        <w:tc>
          <w:tcPr>
            <w:tcW w:w="875" w:type="pct"/>
            <w:tcBorders>
              <w:top w:val="single" w:sz="8" w:space="0" w:color="auto"/>
              <w:left w:val="nil"/>
              <w:bottom w:val="single" w:sz="8" w:space="0" w:color="auto"/>
              <w:right w:val="nil"/>
            </w:tcBorders>
            <w:shd w:val="clear" w:color="auto" w:fill="auto"/>
            <w:vAlign w:val="center"/>
            <w:hideMark/>
          </w:tcPr>
          <w:p w14:paraId="375C137A" w14:textId="3E55D632" w:rsidR="00F731F8" w:rsidRDefault="0016042D" w:rsidP="00937ED9">
            <w:pPr>
              <w:spacing w:after="120"/>
              <w:jc w:val="right"/>
              <w:rPr>
                <w:rFonts w:ascii="Calibri" w:hAnsi="Calibri" w:cs="Calibri"/>
                <w:b/>
                <w:bCs/>
                <w:color w:val="000000"/>
                <w:sz w:val="16"/>
                <w:szCs w:val="16"/>
              </w:rPr>
            </w:pPr>
            <w:r>
              <w:rPr>
                <w:rFonts w:ascii="Calibri" w:hAnsi="Calibri" w:cs="Calibri"/>
                <w:b/>
                <w:bCs/>
                <w:color w:val="000000"/>
                <w:sz w:val="16"/>
                <w:szCs w:val="16"/>
              </w:rPr>
              <w:t>1.311.061</w:t>
            </w:r>
          </w:p>
        </w:tc>
      </w:tr>
    </w:tbl>
    <w:p w14:paraId="46F909EB" w14:textId="55F01C97" w:rsidR="00FA0D6A" w:rsidRPr="002E2B5B" w:rsidRDefault="00FA0D6A" w:rsidP="000B3A75">
      <w:pPr>
        <w:spacing w:before="120" w:after="120"/>
        <w:jc w:val="both"/>
        <w:rPr>
          <w:rFonts w:ascii="Calibri" w:hAnsi="Calibri" w:cs="Calibri"/>
          <w:b/>
          <w:sz w:val="22"/>
          <w:szCs w:val="22"/>
        </w:rPr>
      </w:pPr>
      <w:r w:rsidRPr="0092389C">
        <w:rPr>
          <w:rFonts w:ascii="Calibri" w:hAnsi="Calibri" w:cs="Calibri"/>
          <w:b/>
          <w:sz w:val="22"/>
          <w:szCs w:val="22"/>
        </w:rPr>
        <w:t>b.2) Crédito Previdenciário a Compensar</w:t>
      </w:r>
    </w:p>
    <w:p w14:paraId="2731CFF9" w14:textId="42FAE3D9" w:rsidR="00FC6CF4" w:rsidRPr="002E2B5B" w:rsidRDefault="00404FDE" w:rsidP="00937ED9">
      <w:pPr>
        <w:spacing w:after="120"/>
        <w:jc w:val="both"/>
        <w:rPr>
          <w:rFonts w:ascii="Calibri" w:hAnsi="Calibri" w:cs="Calibri"/>
          <w:b/>
          <w:sz w:val="22"/>
          <w:szCs w:val="22"/>
        </w:rPr>
      </w:pPr>
      <w:r w:rsidRPr="002E2B5B">
        <w:rPr>
          <w:rFonts w:ascii="Calibri" w:hAnsi="Calibri" w:cs="Calibri"/>
          <w:sz w:val="22"/>
          <w:szCs w:val="22"/>
        </w:rPr>
        <w:t>Os seguintes fatos e princípios foram determinantes como justificativa para apuração de créditos previdenciários: Índices FAP declarados em divergência ao que determina o Portal FAPWeb; Atividades preponderantes declaradas em discordância com a real atividade exercida pelos funcionários de cada filial, conforme determina a Instrução Normativa 1.453</w:t>
      </w:r>
      <w:r w:rsidR="00A10351" w:rsidRPr="002E2B5B">
        <w:rPr>
          <w:rFonts w:ascii="Calibri" w:hAnsi="Calibri" w:cs="Calibri"/>
          <w:sz w:val="22"/>
          <w:szCs w:val="22"/>
        </w:rPr>
        <w:t xml:space="preserve">, de 24 de fevereiro de </w:t>
      </w:r>
      <w:r w:rsidRPr="002E2B5B">
        <w:rPr>
          <w:rFonts w:ascii="Calibri" w:hAnsi="Calibri" w:cs="Calibri"/>
          <w:sz w:val="22"/>
          <w:szCs w:val="22"/>
        </w:rPr>
        <w:t>2014</w:t>
      </w:r>
      <w:r w:rsidR="00A10351" w:rsidRPr="002E2B5B">
        <w:rPr>
          <w:rFonts w:ascii="Calibri" w:hAnsi="Calibri" w:cs="Calibri"/>
          <w:sz w:val="22"/>
          <w:szCs w:val="22"/>
        </w:rPr>
        <w:t>,</w:t>
      </w:r>
      <w:r w:rsidRPr="002E2B5B">
        <w:rPr>
          <w:rFonts w:ascii="Calibri" w:hAnsi="Calibri" w:cs="Calibri"/>
          <w:sz w:val="22"/>
          <w:szCs w:val="22"/>
        </w:rPr>
        <w:t xml:space="preserve"> e COSIT</w:t>
      </w:r>
      <w:r w:rsidR="00A10351" w:rsidRPr="002E2B5B">
        <w:rPr>
          <w:rFonts w:ascii="Calibri" w:hAnsi="Calibri" w:cs="Calibri"/>
          <w:sz w:val="22"/>
          <w:szCs w:val="22"/>
        </w:rPr>
        <w:t>, de 14 de junho de 2016</w:t>
      </w:r>
      <w:r w:rsidRPr="002E2B5B">
        <w:rPr>
          <w:rFonts w:ascii="Calibri" w:hAnsi="Calibri" w:cs="Calibri"/>
          <w:sz w:val="22"/>
          <w:szCs w:val="22"/>
        </w:rPr>
        <w:t>; Alíquota RAT declaradas em discordância com o determinado pelo Decreto 6.957</w:t>
      </w:r>
      <w:r w:rsidR="00A10351" w:rsidRPr="002E2B5B">
        <w:rPr>
          <w:rFonts w:ascii="Calibri" w:hAnsi="Calibri" w:cs="Calibri"/>
          <w:sz w:val="22"/>
          <w:szCs w:val="22"/>
        </w:rPr>
        <w:t>, de 09 de setembro de 2</w:t>
      </w:r>
      <w:r w:rsidRPr="002E2B5B">
        <w:rPr>
          <w:rFonts w:ascii="Calibri" w:hAnsi="Calibri" w:cs="Calibri"/>
          <w:sz w:val="22"/>
          <w:szCs w:val="22"/>
        </w:rPr>
        <w:t xml:space="preserve">009; Ausência de lançamento de desoneração em folha durante o período em que a mesma era obrigatória para o setor econômico da </w:t>
      </w:r>
      <w:r w:rsidR="00D60F6A">
        <w:rPr>
          <w:rFonts w:ascii="Calibri" w:hAnsi="Calibri" w:cs="Calibri"/>
          <w:sz w:val="22"/>
          <w:szCs w:val="22"/>
        </w:rPr>
        <w:t>Infra</w:t>
      </w:r>
      <w:r w:rsidR="00B406C5">
        <w:rPr>
          <w:rFonts w:ascii="Calibri" w:hAnsi="Calibri" w:cs="Calibri"/>
          <w:sz w:val="22"/>
          <w:szCs w:val="22"/>
        </w:rPr>
        <w:t xml:space="preserve"> S.A.</w:t>
      </w:r>
      <w:r w:rsidRPr="002E2B5B">
        <w:rPr>
          <w:rFonts w:ascii="Calibri" w:hAnsi="Calibri" w:cs="Calibri"/>
          <w:sz w:val="22"/>
          <w:szCs w:val="22"/>
        </w:rPr>
        <w:t>, conforme Lei</w:t>
      </w:r>
      <w:r w:rsidR="00214011">
        <w:rPr>
          <w:rFonts w:ascii="Calibri" w:hAnsi="Calibri" w:cs="Calibri"/>
          <w:sz w:val="22"/>
          <w:szCs w:val="22"/>
        </w:rPr>
        <w:t xml:space="preserve"> nº</w:t>
      </w:r>
      <w:r w:rsidRPr="002E2B5B">
        <w:rPr>
          <w:rFonts w:ascii="Calibri" w:hAnsi="Calibri" w:cs="Calibri"/>
          <w:sz w:val="22"/>
          <w:szCs w:val="22"/>
        </w:rPr>
        <w:t xml:space="preserve"> 12.546</w:t>
      </w:r>
      <w:r w:rsidR="00A10351" w:rsidRPr="002E2B5B">
        <w:rPr>
          <w:rFonts w:ascii="Calibri" w:hAnsi="Calibri" w:cs="Calibri"/>
          <w:sz w:val="22"/>
          <w:szCs w:val="22"/>
        </w:rPr>
        <w:t xml:space="preserve">, de 14 de dezembro de </w:t>
      </w:r>
      <w:r w:rsidRPr="002E2B5B">
        <w:rPr>
          <w:rFonts w:ascii="Calibri" w:hAnsi="Calibri" w:cs="Calibri"/>
          <w:sz w:val="22"/>
          <w:szCs w:val="22"/>
        </w:rPr>
        <w:t>2011</w:t>
      </w:r>
      <w:r w:rsidR="00A10351" w:rsidRPr="002E2B5B">
        <w:rPr>
          <w:rFonts w:ascii="Calibri" w:hAnsi="Calibri" w:cs="Calibri"/>
          <w:sz w:val="22"/>
          <w:szCs w:val="22"/>
        </w:rPr>
        <w:t>,</w:t>
      </w:r>
      <w:r w:rsidRPr="002E2B5B">
        <w:rPr>
          <w:rFonts w:ascii="Calibri" w:hAnsi="Calibri" w:cs="Calibri"/>
          <w:sz w:val="22"/>
          <w:szCs w:val="22"/>
        </w:rPr>
        <w:t xml:space="preserve"> e posteriores alterações; e Ausência de pagamento de DARF CPRB no período em que a mesma era obrigatória para o setor econômico da </w:t>
      </w:r>
      <w:r w:rsidR="00D60F6A">
        <w:rPr>
          <w:rFonts w:ascii="Calibri" w:hAnsi="Calibri" w:cs="Calibri"/>
          <w:sz w:val="22"/>
          <w:szCs w:val="22"/>
        </w:rPr>
        <w:t>Infra</w:t>
      </w:r>
      <w:r w:rsidR="00B406C5">
        <w:rPr>
          <w:rFonts w:ascii="Calibri" w:hAnsi="Calibri" w:cs="Calibri"/>
          <w:sz w:val="22"/>
          <w:szCs w:val="22"/>
        </w:rPr>
        <w:t xml:space="preserve"> S.A.</w:t>
      </w:r>
      <w:r w:rsidRPr="002E2B5B">
        <w:rPr>
          <w:rFonts w:ascii="Calibri" w:hAnsi="Calibri" w:cs="Calibri"/>
          <w:sz w:val="22"/>
          <w:szCs w:val="22"/>
        </w:rPr>
        <w:t xml:space="preserve">, conforme </w:t>
      </w:r>
      <w:r w:rsidR="00A10351" w:rsidRPr="002E2B5B">
        <w:rPr>
          <w:rFonts w:ascii="Calibri" w:hAnsi="Calibri" w:cs="Calibri"/>
          <w:sz w:val="22"/>
          <w:szCs w:val="22"/>
        </w:rPr>
        <w:t>Lei</w:t>
      </w:r>
      <w:r w:rsidR="00214011">
        <w:rPr>
          <w:rFonts w:ascii="Calibri" w:hAnsi="Calibri" w:cs="Calibri"/>
          <w:sz w:val="22"/>
          <w:szCs w:val="22"/>
        </w:rPr>
        <w:t xml:space="preserve"> nº</w:t>
      </w:r>
      <w:r w:rsidR="00A10351" w:rsidRPr="002E2B5B">
        <w:rPr>
          <w:rFonts w:ascii="Calibri" w:hAnsi="Calibri" w:cs="Calibri"/>
          <w:sz w:val="22"/>
          <w:szCs w:val="22"/>
        </w:rPr>
        <w:t xml:space="preserve"> 12.546, de 14 de dezembro de 2011, </w:t>
      </w:r>
      <w:r w:rsidRPr="002E2B5B">
        <w:rPr>
          <w:rFonts w:ascii="Calibri" w:hAnsi="Calibri" w:cs="Calibri"/>
          <w:sz w:val="22"/>
          <w:szCs w:val="22"/>
        </w:rPr>
        <w:t>e posteriores alterações.</w:t>
      </w:r>
      <w:r w:rsidR="006B1F74">
        <w:rPr>
          <w:rFonts w:ascii="Calibri" w:hAnsi="Calibri" w:cs="Calibri"/>
          <w:sz w:val="22"/>
          <w:szCs w:val="22"/>
        </w:rPr>
        <w:t xml:space="preserve"> </w:t>
      </w:r>
    </w:p>
    <w:tbl>
      <w:tblPr>
        <w:tblW w:w="5000" w:type="pct"/>
        <w:tblCellMar>
          <w:left w:w="70" w:type="dxa"/>
          <w:right w:w="70" w:type="dxa"/>
        </w:tblCellMar>
        <w:tblLook w:val="04A0" w:firstRow="1" w:lastRow="0" w:firstColumn="1" w:lastColumn="0" w:noHBand="0" w:noVBand="1"/>
      </w:tblPr>
      <w:tblGrid>
        <w:gridCol w:w="5471"/>
        <w:gridCol w:w="710"/>
        <w:gridCol w:w="283"/>
        <w:gridCol w:w="1834"/>
        <w:gridCol w:w="1991"/>
        <w:gridCol w:w="178"/>
      </w:tblGrid>
      <w:tr w:rsidR="004C6C47" w:rsidRPr="002E2B5B" w14:paraId="333AE8D4" w14:textId="77777777" w:rsidTr="00314D3C">
        <w:trPr>
          <w:trHeight w:val="255"/>
        </w:trPr>
        <w:tc>
          <w:tcPr>
            <w:tcW w:w="2613" w:type="pct"/>
            <w:tcBorders>
              <w:top w:val="single" w:sz="4" w:space="0" w:color="auto"/>
              <w:left w:val="nil"/>
              <w:bottom w:val="single" w:sz="4" w:space="0" w:color="auto"/>
              <w:right w:val="nil"/>
            </w:tcBorders>
            <w:shd w:val="clear" w:color="auto" w:fill="auto"/>
            <w:noWrap/>
            <w:vAlign w:val="bottom"/>
            <w:hideMark/>
          </w:tcPr>
          <w:p w14:paraId="1CEE3169" w14:textId="77777777" w:rsidR="00FF1438" w:rsidRPr="002E2B5B" w:rsidRDefault="00FF1438" w:rsidP="00937ED9">
            <w:pPr>
              <w:spacing w:after="120"/>
              <w:rPr>
                <w:rFonts w:ascii="Calibri" w:hAnsi="Calibri" w:cs="Calibri"/>
                <w:b/>
                <w:bCs/>
                <w:sz w:val="16"/>
                <w:szCs w:val="16"/>
              </w:rPr>
            </w:pPr>
            <w:r w:rsidRPr="002E2B5B">
              <w:rPr>
                <w:rFonts w:ascii="Calibri" w:hAnsi="Calibri" w:cs="Calibri"/>
                <w:b/>
                <w:bCs/>
                <w:sz w:val="16"/>
                <w:szCs w:val="16"/>
              </w:rPr>
              <w:t>CRÉDITO PREVIDENCIÁRIO</w:t>
            </w:r>
          </w:p>
        </w:tc>
        <w:tc>
          <w:tcPr>
            <w:tcW w:w="339" w:type="pct"/>
            <w:tcBorders>
              <w:top w:val="single" w:sz="4" w:space="0" w:color="auto"/>
              <w:left w:val="nil"/>
              <w:bottom w:val="single" w:sz="4" w:space="0" w:color="auto"/>
              <w:right w:val="nil"/>
            </w:tcBorders>
            <w:shd w:val="clear" w:color="auto" w:fill="auto"/>
            <w:noWrap/>
            <w:vAlign w:val="bottom"/>
            <w:hideMark/>
          </w:tcPr>
          <w:p w14:paraId="78EA5425" w14:textId="77777777" w:rsidR="00FF1438" w:rsidRPr="002E2B5B" w:rsidRDefault="00FF1438" w:rsidP="00937ED9">
            <w:pPr>
              <w:spacing w:after="120"/>
              <w:jc w:val="center"/>
              <w:rPr>
                <w:rFonts w:ascii="Calibri" w:hAnsi="Calibri" w:cs="Calibri"/>
                <w:b/>
                <w:bCs/>
                <w:sz w:val="16"/>
                <w:szCs w:val="16"/>
              </w:rPr>
            </w:pPr>
          </w:p>
        </w:tc>
        <w:tc>
          <w:tcPr>
            <w:tcW w:w="135" w:type="pct"/>
            <w:tcBorders>
              <w:top w:val="single" w:sz="4" w:space="0" w:color="auto"/>
              <w:left w:val="nil"/>
              <w:bottom w:val="single" w:sz="4" w:space="0" w:color="auto"/>
              <w:right w:val="nil"/>
            </w:tcBorders>
            <w:shd w:val="clear" w:color="auto" w:fill="auto"/>
            <w:noWrap/>
            <w:vAlign w:val="bottom"/>
            <w:hideMark/>
          </w:tcPr>
          <w:p w14:paraId="50AB08D3" w14:textId="77777777" w:rsidR="00FF1438" w:rsidRPr="002E2B5B" w:rsidRDefault="00FF1438" w:rsidP="00937ED9">
            <w:pPr>
              <w:spacing w:after="120"/>
              <w:jc w:val="center"/>
              <w:rPr>
                <w:rFonts w:ascii="Calibri" w:hAnsi="Calibri" w:cs="Calibri"/>
                <w:b/>
                <w:bCs/>
                <w:sz w:val="16"/>
                <w:szCs w:val="16"/>
              </w:rPr>
            </w:pPr>
          </w:p>
        </w:tc>
        <w:tc>
          <w:tcPr>
            <w:tcW w:w="876" w:type="pct"/>
            <w:tcBorders>
              <w:top w:val="single" w:sz="4" w:space="0" w:color="auto"/>
              <w:left w:val="nil"/>
              <w:bottom w:val="single" w:sz="4" w:space="0" w:color="auto"/>
              <w:right w:val="nil"/>
            </w:tcBorders>
          </w:tcPr>
          <w:p w14:paraId="4C7E6A62" w14:textId="77777777" w:rsidR="00FF1438" w:rsidRPr="002E2B5B" w:rsidRDefault="00FF1438" w:rsidP="00937ED9">
            <w:pPr>
              <w:spacing w:after="120"/>
              <w:jc w:val="right"/>
              <w:rPr>
                <w:rFonts w:ascii="Calibri" w:hAnsi="Calibri" w:cs="Calibri"/>
                <w:b/>
                <w:bCs/>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28C40260" w14:textId="77777777" w:rsidR="00FF1438" w:rsidRPr="002E2B5B" w:rsidRDefault="00FF1438" w:rsidP="00937ED9">
            <w:pPr>
              <w:spacing w:after="120"/>
              <w:jc w:val="right"/>
              <w:rPr>
                <w:rFonts w:ascii="Calibri" w:hAnsi="Calibri" w:cs="Calibri"/>
                <w:b/>
                <w:bCs/>
                <w:sz w:val="16"/>
                <w:szCs w:val="16"/>
              </w:rPr>
            </w:pPr>
          </w:p>
        </w:tc>
        <w:tc>
          <w:tcPr>
            <w:tcW w:w="85" w:type="pct"/>
            <w:tcBorders>
              <w:top w:val="single" w:sz="4" w:space="0" w:color="auto"/>
              <w:left w:val="nil"/>
              <w:bottom w:val="single" w:sz="4" w:space="0" w:color="auto"/>
              <w:right w:val="nil"/>
            </w:tcBorders>
            <w:shd w:val="clear" w:color="auto" w:fill="auto"/>
            <w:noWrap/>
            <w:vAlign w:val="bottom"/>
            <w:hideMark/>
          </w:tcPr>
          <w:p w14:paraId="029BEF60" w14:textId="77777777" w:rsidR="00FF1438" w:rsidRPr="002E2B5B" w:rsidRDefault="00FF1438" w:rsidP="00937ED9">
            <w:pPr>
              <w:spacing w:after="120"/>
              <w:jc w:val="center"/>
              <w:rPr>
                <w:rFonts w:ascii="Calibri" w:hAnsi="Calibri" w:cs="Calibri"/>
                <w:b/>
                <w:bCs/>
                <w:sz w:val="16"/>
                <w:szCs w:val="16"/>
              </w:rPr>
            </w:pPr>
          </w:p>
        </w:tc>
      </w:tr>
      <w:tr w:rsidR="004C6C47" w:rsidRPr="002E2B5B" w14:paraId="1EA050EC" w14:textId="77777777" w:rsidTr="00987B82">
        <w:trPr>
          <w:trHeight w:val="317"/>
        </w:trPr>
        <w:tc>
          <w:tcPr>
            <w:tcW w:w="2613" w:type="pct"/>
            <w:tcBorders>
              <w:top w:val="nil"/>
              <w:left w:val="nil"/>
              <w:right w:val="nil"/>
            </w:tcBorders>
            <w:shd w:val="clear" w:color="auto" w:fill="auto"/>
            <w:noWrap/>
            <w:vAlign w:val="bottom"/>
            <w:hideMark/>
          </w:tcPr>
          <w:p w14:paraId="7602D446" w14:textId="77777777" w:rsidR="00FF1438" w:rsidRPr="002E2B5B" w:rsidRDefault="00FF1438" w:rsidP="00937ED9">
            <w:pPr>
              <w:spacing w:after="120"/>
              <w:rPr>
                <w:rFonts w:ascii="Calibri" w:hAnsi="Calibri" w:cs="Calibri"/>
                <w:sz w:val="16"/>
                <w:szCs w:val="16"/>
              </w:rPr>
            </w:pPr>
            <w:r w:rsidRPr="002E2B5B">
              <w:rPr>
                <w:rFonts w:ascii="Calibri" w:hAnsi="Calibri" w:cs="Calibri"/>
                <w:sz w:val="16"/>
                <w:szCs w:val="16"/>
              </w:rPr>
              <w:t>Crédito Previdenciário</w:t>
            </w:r>
          </w:p>
        </w:tc>
        <w:tc>
          <w:tcPr>
            <w:tcW w:w="339" w:type="pct"/>
            <w:tcBorders>
              <w:top w:val="nil"/>
              <w:left w:val="nil"/>
              <w:right w:val="nil"/>
            </w:tcBorders>
            <w:shd w:val="clear" w:color="auto" w:fill="auto"/>
            <w:noWrap/>
            <w:vAlign w:val="bottom"/>
            <w:hideMark/>
          </w:tcPr>
          <w:p w14:paraId="6596684E" w14:textId="77777777" w:rsidR="00FF1438" w:rsidRPr="002E2B5B" w:rsidRDefault="00FF1438" w:rsidP="00937ED9">
            <w:pPr>
              <w:spacing w:after="120"/>
              <w:rPr>
                <w:rFonts w:ascii="Calibri" w:hAnsi="Calibri" w:cs="Calibri"/>
                <w:sz w:val="16"/>
                <w:szCs w:val="16"/>
              </w:rPr>
            </w:pPr>
          </w:p>
        </w:tc>
        <w:tc>
          <w:tcPr>
            <w:tcW w:w="135" w:type="pct"/>
            <w:tcBorders>
              <w:top w:val="nil"/>
              <w:left w:val="nil"/>
              <w:right w:val="nil"/>
            </w:tcBorders>
            <w:shd w:val="clear" w:color="auto" w:fill="auto"/>
            <w:noWrap/>
            <w:vAlign w:val="bottom"/>
            <w:hideMark/>
          </w:tcPr>
          <w:p w14:paraId="562C614F" w14:textId="77777777" w:rsidR="00FF1438" w:rsidRPr="002E2B5B" w:rsidRDefault="00FF1438" w:rsidP="00937ED9">
            <w:pPr>
              <w:spacing w:after="120"/>
              <w:rPr>
                <w:rFonts w:ascii="Calibri" w:hAnsi="Calibri" w:cs="Calibri"/>
                <w:b/>
                <w:bCs/>
                <w:sz w:val="16"/>
                <w:szCs w:val="16"/>
              </w:rPr>
            </w:pPr>
          </w:p>
        </w:tc>
        <w:tc>
          <w:tcPr>
            <w:tcW w:w="876" w:type="pct"/>
            <w:tcBorders>
              <w:top w:val="nil"/>
              <w:left w:val="nil"/>
              <w:right w:val="nil"/>
            </w:tcBorders>
          </w:tcPr>
          <w:p w14:paraId="7F9DFFE4" w14:textId="77777777" w:rsidR="00FF1438" w:rsidRPr="002E2B5B" w:rsidRDefault="00FF1438" w:rsidP="00937ED9">
            <w:pPr>
              <w:spacing w:after="120"/>
              <w:jc w:val="right"/>
              <w:rPr>
                <w:rFonts w:ascii="Calibri" w:hAnsi="Calibri" w:cs="Calibri"/>
                <w:sz w:val="16"/>
                <w:szCs w:val="16"/>
              </w:rPr>
            </w:pPr>
          </w:p>
        </w:tc>
        <w:tc>
          <w:tcPr>
            <w:tcW w:w="951" w:type="pct"/>
            <w:tcBorders>
              <w:top w:val="nil"/>
              <w:left w:val="nil"/>
              <w:right w:val="nil"/>
            </w:tcBorders>
            <w:shd w:val="clear" w:color="auto" w:fill="auto"/>
            <w:noWrap/>
            <w:hideMark/>
          </w:tcPr>
          <w:p w14:paraId="6B6ED91E" w14:textId="77777777" w:rsidR="00FF1438" w:rsidRPr="002E2B5B" w:rsidRDefault="00FF1438" w:rsidP="00937ED9">
            <w:pPr>
              <w:spacing w:after="120"/>
              <w:jc w:val="right"/>
              <w:rPr>
                <w:rFonts w:ascii="Calibri" w:hAnsi="Calibri" w:cs="Calibri"/>
                <w:sz w:val="16"/>
                <w:szCs w:val="16"/>
              </w:rPr>
            </w:pPr>
            <w:r w:rsidRPr="002E2B5B">
              <w:rPr>
                <w:rFonts w:ascii="Calibri" w:hAnsi="Calibri" w:cs="Calibri"/>
                <w:sz w:val="16"/>
                <w:szCs w:val="16"/>
              </w:rPr>
              <w:t xml:space="preserve">        54.285.136 </w:t>
            </w:r>
          </w:p>
        </w:tc>
        <w:tc>
          <w:tcPr>
            <w:tcW w:w="85" w:type="pct"/>
            <w:tcBorders>
              <w:top w:val="nil"/>
              <w:left w:val="nil"/>
              <w:right w:val="nil"/>
            </w:tcBorders>
            <w:shd w:val="clear" w:color="auto" w:fill="auto"/>
            <w:noWrap/>
            <w:vAlign w:val="bottom"/>
            <w:hideMark/>
          </w:tcPr>
          <w:p w14:paraId="168C4784" w14:textId="77777777" w:rsidR="00FF1438" w:rsidRPr="002E2B5B" w:rsidRDefault="00FF1438" w:rsidP="00937ED9">
            <w:pPr>
              <w:spacing w:after="120"/>
              <w:rPr>
                <w:rFonts w:ascii="Calibri" w:hAnsi="Calibri" w:cs="Calibri"/>
                <w:sz w:val="16"/>
                <w:szCs w:val="16"/>
              </w:rPr>
            </w:pPr>
          </w:p>
        </w:tc>
      </w:tr>
      <w:tr w:rsidR="004C6C47" w:rsidRPr="002E2B5B" w14:paraId="346477AA" w14:textId="77777777" w:rsidTr="00987B82">
        <w:trPr>
          <w:trHeight w:val="255"/>
        </w:trPr>
        <w:tc>
          <w:tcPr>
            <w:tcW w:w="2613" w:type="pct"/>
            <w:tcBorders>
              <w:top w:val="nil"/>
              <w:left w:val="nil"/>
              <w:right w:val="nil"/>
            </w:tcBorders>
            <w:shd w:val="clear" w:color="auto" w:fill="auto"/>
            <w:noWrap/>
            <w:vAlign w:val="bottom"/>
            <w:hideMark/>
          </w:tcPr>
          <w:p w14:paraId="074D2988" w14:textId="77777777" w:rsidR="00FF1438" w:rsidRPr="002E2B5B" w:rsidRDefault="00FF1438" w:rsidP="00937ED9">
            <w:pPr>
              <w:spacing w:after="120"/>
              <w:rPr>
                <w:rFonts w:ascii="Calibri" w:hAnsi="Calibri" w:cs="Calibri"/>
                <w:sz w:val="16"/>
                <w:szCs w:val="16"/>
              </w:rPr>
            </w:pPr>
            <w:r w:rsidRPr="002E2B5B">
              <w:rPr>
                <w:rFonts w:ascii="Calibri" w:hAnsi="Calibri" w:cs="Calibri"/>
                <w:sz w:val="16"/>
                <w:szCs w:val="16"/>
              </w:rPr>
              <w:t>Crédito Compensado em 2018</w:t>
            </w:r>
          </w:p>
        </w:tc>
        <w:tc>
          <w:tcPr>
            <w:tcW w:w="339" w:type="pct"/>
            <w:tcBorders>
              <w:top w:val="nil"/>
              <w:left w:val="nil"/>
              <w:right w:val="nil"/>
            </w:tcBorders>
            <w:shd w:val="clear" w:color="auto" w:fill="auto"/>
            <w:noWrap/>
            <w:vAlign w:val="bottom"/>
            <w:hideMark/>
          </w:tcPr>
          <w:p w14:paraId="363EF7EF" w14:textId="77777777" w:rsidR="00FF1438" w:rsidRPr="002E2B5B" w:rsidRDefault="00FF1438" w:rsidP="00937ED9">
            <w:pPr>
              <w:spacing w:after="120"/>
              <w:rPr>
                <w:rFonts w:ascii="Calibri" w:hAnsi="Calibri" w:cs="Calibri"/>
                <w:sz w:val="16"/>
                <w:szCs w:val="16"/>
              </w:rPr>
            </w:pPr>
          </w:p>
        </w:tc>
        <w:tc>
          <w:tcPr>
            <w:tcW w:w="135" w:type="pct"/>
            <w:tcBorders>
              <w:top w:val="nil"/>
              <w:left w:val="nil"/>
              <w:right w:val="nil"/>
            </w:tcBorders>
            <w:shd w:val="clear" w:color="auto" w:fill="auto"/>
            <w:noWrap/>
            <w:vAlign w:val="bottom"/>
            <w:hideMark/>
          </w:tcPr>
          <w:p w14:paraId="28BA6823" w14:textId="77777777" w:rsidR="00FF1438" w:rsidRPr="002E2B5B" w:rsidRDefault="00FF1438" w:rsidP="00937ED9">
            <w:pPr>
              <w:spacing w:after="120"/>
              <w:rPr>
                <w:rFonts w:ascii="Calibri" w:hAnsi="Calibri" w:cs="Calibri"/>
                <w:sz w:val="16"/>
                <w:szCs w:val="16"/>
              </w:rPr>
            </w:pPr>
          </w:p>
        </w:tc>
        <w:tc>
          <w:tcPr>
            <w:tcW w:w="876" w:type="pct"/>
            <w:tcBorders>
              <w:top w:val="nil"/>
              <w:left w:val="nil"/>
              <w:right w:val="nil"/>
            </w:tcBorders>
          </w:tcPr>
          <w:p w14:paraId="1239D82A" w14:textId="77777777" w:rsidR="00FF1438" w:rsidRPr="002E2B5B" w:rsidRDefault="00FF1438" w:rsidP="00937ED9">
            <w:pPr>
              <w:spacing w:after="120"/>
              <w:jc w:val="right"/>
              <w:rPr>
                <w:rFonts w:ascii="Calibri" w:hAnsi="Calibri" w:cs="Calibri"/>
                <w:sz w:val="16"/>
                <w:szCs w:val="16"/>
              </w:rPr>
            </w:pPr>
          </w:p>
        </w:tc>
        <w:tc>
          <w:tcPr>
            <w:tcW w:w="951" w:type="pct"/>
            <w:tcBorders>
              <w:top w:val="nil"/>
              <w:left w:val="nil"/>
              <w:right w:val="nil"/>
            </w:tcBorders>
            <w:shd w:val="clear" w:color="auto" w:fill="auto"/>
            <w:noWrap/>
          </w:tcPr>
          <w:p w14:paraId="502687BE" w14:textId="77777777" w:rsidR="00FF1438" w:rsidRPr="002E2B5B" w:rsidRDefault="00B41017" w:rsidP="00937ED9">
            <w:pPr>
              <w:spacing w:after="120"/>
              <w:jc w:val="right"/>
              <w:rPr>
                <w:rFonts w:ascii="Calibri" w:hAnsi="Calibri" w:cs="Calibri"/>
                <w:sz w:val="16"/>
                <w:szCs w:val="16"/>
              </w:rPr>
            </w:pPr>
            <w:r w:rsidRPr="002E2B5B">
              <w:rPr>
                <w:rFonts w:ascii="Calibri" w:hAnsi="Calibri" w:cs="Calibri"/>
                <w:sz w:val="16"/>
                <w:szCs w:val="16"/>
              </w:rPr>
              <w:t xml:space="preserve"> </w:t>
            </w:r>
            <w:r w:rsidR="00FF1438" w:rsidRPr="002E2B5B">
              <w:rPr>
                <w:rFonts w:ascii="Calibri" w:hAnsi="Calibri" w:cs="Calibri"/>
                <w:sz w:val="16"/>
                <w:szCs w:val="16"/>
              </w:rPr>
              <w:t xml:space="preserve">            </w:t>
            </w:r>
            <w:r w:rsidRPr="002E2B5B">
              <w:rPr>
                <w:rFonts w:ascii="Calibri" w:hAnsi="Calibri" w:cs="Calibri"/>
                <w:sz w:val="16"/>
                <w:szCs w:val="16"/>
              </w:rPr>
              <w:t xml:space="preserve"> </w:t>
            </w:r>
            <w:r w:rsidR="00FF1438" w:rsidRPr="002E2B5B">
              <w:rPr>
                <w:rFonts w:ascii="Calibri" w:hAnsi="Calibri" w:cs="Calibri"/>
                <w:sz w:val="16"/>
                <w:szCs w:val="16"/>
              </w:rPr>
              <w:t>(26.966.503)</w:t>
            </w:r>
          </w:p>
        </w:tc>
        <w:tc>
          <w:tcPr>
            <w:tcW w:w="85" w:type="pct"/>
            <w:tcBorders>
              <w:top w:val="nil"/>
              <w:left w:val="nil"/>
              <w:right w:val="nil"/>
            </w:tcBorders>
            <w:shd w:val="clear" w:color="auto" w:fill="auto"/>
            <w:noWrap/>
            <w:vAlign w:val="bottom"/>
            <w:hideMark/>
          </w:tcPr>
          <w:p w14:paraId="71325E9C" w14:textId="77777777" w:rsidR="00FF1438" w:rsidRPr="002E2B5B" w:rsidRDefault="00FF1438" w:rsidP="00937ED9">
            <w:pPr>
              <w:spacing w:after="120"/>
              <w:rPr>
                <w:rFonts w:ascii="Calibri" w:hAnsi="Calibri" w:cs="Calibri"/>
                <w:sz w:val="16"/>
                <w:szCs w:val="16"/>
              </w:rPr>
            </w:pPr>
          </w:p>
        </w:tc>
      </w:tr>
      <w:tr w:rsidR="004C6C47" w:rsidRPr="002E2B5B" w14:paraId="76603E63" w14:textId="77777777" w:rsidTr="00987B82">
        <w:trPr>
          <w:trHeight w:val="255"/>
        </w:trPr>
        <w:tc>
          <w:tcPr>
            <w:tcW w:w="2613" w:type="pct"/>
            <w:tcBorders>
              <w:left w:val="nil"/>
              <w:right w:val="nil"/>
            </w:tcBorders>
            <w:shd w:val="clear" w:color="auto" w:fill="auto"/>
            <w:noWrap/>
            <w:vAlign w:val="bottom"/>
          </w:tcPr>
          <w:p w14:paraId="0D4F8B4E" w14:textId="77777777" w:rsidR="00FF1438" w:rsidRPr="002E2B5B" w:rsidRDefault="00FF1438" w:rsidP="00937ED9">
            <w:pPr>
              <w:spacing w:after="120"/>
              <w:rPr>
                <w:rFonts w:ascii="Calibri" w:hAnsi="Calibri" w:cs="Calibri"/>
                <w:sz w:val="16"/>
                <w:szCs w:val="16"/>
              </w:rPr>
            </w:pPr>
            <w:r w:rsidRPr="002E2B5B">
              <w:rPr>
                <w:rFonts w:ascii="Calibri" w:hAnsi="Calibri" w:cs="Calibri"/>
                <w:sz w:val="16"/>
                <w:szCs w:val="16"/>
              </w:rPr>
              <w:t xml:space="preserve">Crédito Compensado </w:t>
            </w:r>
            <w:r w:rsidR="00CD3248" w:rsidRPr="002E2B5B">
              <w:rPr>
                <w:rFonts w:ascii="Calibri" w:hAnsi="Calibri" w:cs="Calibri"/>
                <w:sz w:val="16"/>
                <w:szCs w:val="16"/>
              </w:rPr>
              <w:t xml:space="preserve">em </w:t>
            </w:r>
            <w:r w:rsidRPr="002E2B5B">
              <w:rPr>
                <w:rFonts w:ascii="Calibri" w:hAnsi="Calibri" w:cs="Calibri"/>
                <w:sz w:val="16"/>
                <w:szCs w:val="16"/>
              </w:rPr>
              <w:t>2019</w:t>
            </w:r>
          </w:p>
        </w:tc>
        <w:tc>
          <w:tcPr>
            <w:tcW w:w="339" w:type="pct"/>
            <w:tcBorders>
              <w:left w:val="nil"/>
              <w:right w:val="nil"/>
            </w:tcBorders>
            <w:shd w:val="clear" w:color="auto" w:fill="auto"/>
            <w:noWrap/>
            <w:vAlign w:val="bottom"/>
          </w:tcPr>
          <w:p w14:paraId="3F9FDAF2" w14:textId="77777777" w:rsidR="00FF1438" w:rsidRPr="002E2B5B" w:rsidRDefault="00FF1438" w:rsidP="00937ED9">
            <w:pPr>
              <w:spacing w:after="120"/>
              <w:rPr>
                <w:rFonts w:ascii="Calibri" w:hAnsi="Calibri" w:cs="Calibri"/>
                <w:sz w:val="16"/>
                <w:szCs w:val="16"/>
              </w:rPr>
            </w:pPr>
          </w:p>
        </w:tc>
        <w:tc>
          <w:tcPr>
            <w:tcW w:w="135" w:type="pct"/>
            <w:tcBorders>
              <w:left w:val="nil"/>
              <w:right w:val="nil"/>
            </w:tcBorders>
            <w:shd w:val="clear" w:color="auto" w:fill="auto"/>
            <w:noWrap/>
            <w:vAlign w:val="bottom"/>
          </w:tcPr>
          <w:p w14:paraId="729F44D0" w14:textId="77777777" w:rsidR="00FF1438" w:rsidRPr="002E2B5B" w:rsidRDefault="00FF1438" w:rsidP="00937ED9">
            <w:pPr>
              <w:spacing w:after="120"/>
              <w:rPr>
                <w:rFonts w:ascii="Calibri" w:hAnsi="Calibri" w:cs="Calibri"/>
                <w:sz w:val="16"/>
                <w:szCs w:val="16"/>
              </w:rPr>
            </w:pPr>
          </w:p>
        </w:tc>
        <w:tc>
          <w:tcPr>
            <w:tcW w:w="876" w:type="pct"/>
            <w:tcBorders>
              <w:left w:val="nil"/>
              <w:right w:val="nil"/>
            </w:tcBorders>
            <w:vAlign w:val="bottom"/>
          </w:tcPr>
          <w:p w14:paraId="631FC3AA" w14:textId="77777777" w:rsidR="00FF1438" w:rsidRPr="002E2B5B" w:rsidRDefault="00FF1438" w:rsidP="00937ED9">
            <w:pPr>
              <w:spacing w:after="120"/>
              <w:jc w:val="right"/>
              <w:rPr>
                <w:rFonts w:ascii="Calibri" w:hAnsi="Calibri" w:cs="Calibri"/>
                <w:sz w:val="16"/>
                <w:szCs w:val="16"/>
              </w:rPr>
            </w:pPr>
          </w:p>
        </w:tc>
        <w:tc>
          <w:tcPr>
            <w:tcW w:w="951" w:type="pct"/>
            <w:tcBorders>
              <w:left w:val="nil"/>
              <w:right w:val="nil"/>
            </w:tcBorders>
            <w:shd w:val="clear" w:color="auto" w:fill="auto"/>
            <w:noWrap/>
            <w:vAlign w:val="bottom"/>
          </w:tcPr>
          <w:p w14:paraId="54A2445F" w14:textId="77777777" w:rsidR="00FF1438" w:rsidRPr="002E2B5B" w:rsidRDefault="00FF1438" w:rsidP="00937ED9">
            <w:pPr>
              <w:spacing w:after="120"/>
              <w:jc w:val="right"/>
              <w:rPr>
                <w:rFonts w:ascii="Calibri" w:hAnsi="Calibri" w:cs="Calibri"/>
                <w:sz w:val="16"/>
                <w:szCs w:val="16"/>
              </w:rPr>
            </w:pPr>
            <w:r w:rsidRPr="002E2B5B">
              <w:rPr>
                <w:rFonts w:ascii="Calibri" w:hAnsi="Calibri" w:cs="Calibri"/>
                <w:sz w:val="16"/>
                <w:szCs w:val="16"/>
              </w:rPr>
              <w:t>(</w:t>
            </w:r>
            <w:r w:rsidR="00CD3248" w:rsidRPr="002E2B5B">
              <w:rPr>
                <w:rFonts w:ascii="Calibri" w:hAnsi="Calibri" w:cs="Calibri"/>
                <w:sz w:val="16"/>
                <w:szCs w:val="16"/>
              </w:rPr>
              <w:t>9.477.108</w:t>
            </w:r>
            <w:r w:rsidRPr="002E2B5B">
              <w:rPr>
                <w:rFonts w:ascii="Calibri" w:hAnsi="Calibri" w:cs="Calibri"/>
                <w:sz w:val="16"/>
                <w:szCs w:val="16"/>
              </w:rPr>
              <w:t>)</w:t>
            </w:r>
          </w:p>
        </w:tc>
        <w:tc>
          <w:tcPr>
            <w:tcW w:w="85" w:type="pct"/>
            <w:tcBorders>
              <w:left w:val="nil"/>
              <w:right w:val="nil"/>
            </w:tcBorders>
            <w:shd w:val="clear" w:color="auto" w:fill="auto"/>
            <w:noWrap/>
            <w:vAlign w:val="bottom"/>
          </w:tcPr>
          <w:p w14:paraId="7025D4C3" w14:textId="77777777" w:rsidR="00FF1438" w:rsidRPr="002E2B5B" w:rsidRDefault="00FF1438" w:rsidP="00937ED9">
            <w:pPr>
              <w:spacing w:after="120"/>
              <w:rPr>
                <w:rFonts w:ascii="Calibri" w:hAnsi="Calibri" w:cs="Calibri"/>
                <w:b/>
                <w:sz w:val="16"/>
                <w:szCs w:val="16"/>
              </w:rPr>
            </w:pPr>
          </w:p>
        </w:tc>
      </w:tr>
      <w:tr w:rsidR="004C6C47" w:rsidRPr="002E2B5B" w14:paraId="15C0BFFD" w14:textId="77777777" w:rsidTr="00987B82">
        <w:trPr>
          <w:trHeight w:val="255"/>
        </w:trPr>
        <w:tc>
          <w:tcPr>
            <w:tcW w:w="2613" w:type="pct"/>
            <w:tcBorders>
              <w:left w:val="nil"/>
              <w:right w:val="nil"/>
            </w:tcBorders>
            <w:shd w:val="clear" w:color="auto" w:fill="auto"/>
            <w:noWrap/>
            <w:vAlign w:val="center"/>
          </w:tcPr>
          <w:p w14:paraId="65465E6A" w14:textId="77777777" w:rsidR="00B8368E" w:rsidRPr="002E2B5B" w:rsidRDefault="00B8368E" w:rsidP="00937ED9">
            <w:pPr>
              <w:spacing w:after="120"/>
              <w:rPr>
                <w:rFonts w:ascii="Calibri" w:hAnsi="Calibri" w:cs="Calibri"/>
                <w:sz w:val="16"/>
                <w:szCs w:val="16"/>
              </w:rPr>
            </w:pPr>
            <w:r w:rsidRPr="002E2B5B">
              <w:rPr>
                <w:rFonts w:ascii="Calibri" w:hAnsi="Calibri" w:cs="Calibri"/>
                <w:sz w:val="16"/>
                <w:szCs w:val="16"/>
              </w:rPr>
              <w:t xml:space="preserve">Reconhecimento </w:t>
            </w:r>
            <w:r w:rsidR="00CD3248" w:rsidRPr="002E2B5B">
              <w:rPr>
                <w:rFonts w:ascii="Calibri" w:hAnsi="Calibri" w:cs="Calibri"/>
                <w:sz w:val="16"/>
                <w:szCs w:val="16"/>
              </w:rPr>
              <w:t>de Crédito em 2019</w:t>
            </w:r>
          </w:p>
        </w:tc>
        <w:tc>
          <w:tcPr>
            <w:tcW w:w="339" w:type="pct"/>
            <w:tcBorders>
              <w:left w:val="nil"/>
              <w:right w:val="nil"/>
            </w:tcBorders>
            <w:shd w:val="clear" w:color="auto" w:fill="auto"/>
            <w:noWrap/>
            <w:vAlign w:val="bottom"/>
          </w:tcPr>
          <w:p w14:paraId="57A0EB7D" w14:textId="77777777" w:rsidR="00B8368E" w:rsidRPr="002E2B5B" w:rsidRDefault="00B8368E" w:rsidP="00937ED9">
            <w:pPr>
              <w:spacing w:after="120"/>
              <w:rPr>
                <w:rFonts w:ascii="Calibri" w:hAnsi="Calibri" w:cs="Calibri"/>
                <w:sz w:val="16"/>
                <w:szCs w:val="16"/>
              </w:rPr>
            </w:pPr>
          </w:p>
        </w:tc>
        <w:tc>
          <w:tcPr>
            <w:tcW w:w="135" w:type="pct"/>
            <w:tcBorders>
              <w:left w:val="nil"/>
              <w:right w:val="nil"/>
            </w:tcBorders>
            <w:shd w:val="clear" w:color="auto" w:fill="auto"/>
            <w:noWrap/>
            <w:vAlign w:val="bottom"/>
          </w:tcPr>
          <w:p w14:paraId="5376F23A" w14:textId="77777777" w:rsidR="00B8368E" w:rsidRPr="002E2B5B" w:rsidRDefault="00B8368E" w:rsidP="00937ED9">
            <w:pPr>
              <w:spacing w:after="120"/>
              <w:rPr>
                <w:rFonts w:ascii="Calibri" w:hAnsi="Calibri" w:cs="Calibri"/>
                <w:sz w:val="16"/>
                <w:szCs w:val="16"/>
              </w:rPr>
            </w:pPr>
          </w:p>
        </w:tc>
        <w:tc>
          <w:tcPr>
            <w:tcW w:w="876" w:type="pct"/>
            <w:tcBorders>
              <w:left w:val="nil"/>
              <w:right w:val="nil"/>
            </w:tcBorders>
            <w:vAlign w:val="bottom"/>
          </w:tcPr>
          <w:p w14:paraId="1537706B" w14:textId="77777777" w:rsidR="00B8368E" w:rsidRPr="002E2B5B" w:rsidRDefault="00B8368E" w:rsidP="00937ED9">
            <w:pPr>
              <w:spacing w:after="120"/>
              <w:jc w:val="right"/>
              <w:rPr>
                <w:rFonts w:ascii="Calibri" w:hAnsi="Calibri" w:cs="Calibri"/>
                <w:sz w:val="16"/>
                <w:szCs w:val="16"/>
              </w:rPr>
            </w:pPr>
          </w:p>
        </w:tc>
        <w:tc>
          <w:tcPr>
            <w:tcW w:w="951" w:type="pct"/>
            <w:tcBorders>
              <w:left w:val="nil"/>
              <w:right w:val="nil"/>
            </w:tcBorders>
            <w:shd w:val="clear" w:color="auto" w:fill="auto"/>
            <w:noWrap/>
            <w:vAlign w:val="bottom"/>
          </w:tcPr>
          <w:p w14:paraId="0AE06814" w14:textId="77777777" w:rsidR="00B8368E" w:rsidRPr="002E2B5B" w:rsidRDefault="00CD3248" w:rsidP="00937ED9">
            <w:pPr>
              <w:spacing w:after="120"/>
              <w:jc w:val="right"/>
              <w:rPr>
                <w:rFonts w:ascii="Calibri" w:hAnsi="Calibri" w:cs="Calibri"/>
                <w:sz w:val="16"/>
                <w:szCs w:val="16"/>
              </w:rPr>
            </w:pPr>
            <w:r w:rsidRPr="002E2B5B">
              <w:rPr>
                <w:rFonts w:ascii="Calibri" w:hAnsi="Calibri" w:cs="Calibri"/>
                <w:sz w:val="16"/>
                <w:szCs w:val="16"/>
              </w:rPr>
              <w:t>16.61</w:t>
            </w:r>
            <w:r w:rsidR="00F51287" w:rsidRPr="002E2B5B">
              <w:rPr>
                <w:rFonts w:ascii="Calibri" w:hAnsi="Calibri" w:cs="Calibri"/>
                <w:sz w:val="16"/>
                <w:szCs w:val="16"/>
              </w:rPr>
              <w:t>3</w:t>
            </w:r>
          </w:p>
        </w:tc>
        <w:tc>
          <w:tcPr>
            <w:tcW w:w="85" w:type="pct"/>
            <w:tcBorders>
              <w:left w:val="nil"/>
              <w:right w:val="nil"/>
            </w:tcBorders>
            <w:shd w:val="clear" w:color="auto" w:fill="auto"/>
            <w:noWrap/>
            <w:vAlign w:val="bottom"/>
          </w:tcPr>
          <w:p w14:paraId="5E058B60" w14:textId="77777777" w:rsidR="00B8368E" w:rsidRPr="002E2B5B" w:rsidRDefault="00B8368E" w:rsidP="00937ED9">
            <w:pPr>
              <w:spacing w:after="120"/>
              <w:rPr>
                <w:rFonts w:ascii="Calibri" w:hAnsi="Calibri" w:cs="Calibri"/>
                <w:b/>
                <w:sz w:val="16"/>
                <w:szCs w:val="16"/>
              </w:rPr>
            </w:pPr>
          </w:p>
        </w:tc>
      </w:tr>
      <w:tr w:rsidR="00314D3C" w:rsidRPr="002E2B5B" w14:paraId="7DAA8D08" w14:textId="77777777" w:rsidTr="00314D3C">
        <w:trPr>
          <w:trHeight w:val="255"/>
        </w:trPr>
        <w:tc>
          <w:tcPr>
            <w:tcW w:w="2613" w:type="pct"/>
            <w:tcBorders>
              <w:left w:val="nil"/>
              <w:bottom w:val="single" w:sz="4" w:space="0" w:color="auto"/>
              <w:right w:val="nil"/>
            </w:tcBorders>
            <w:shd w:val="clear" w:color="auto" w:fill="auto"/>
            <w:noWrap/>
            <w:vAlign w:val="center"/>
          </w:tcPr>
          <w:p w14:paraId="1E9205C8" w14:textId="77777777" w:rsidR="0002343B" w:rsidRPr="002E2B5B" w:rsidRDefault="0002343B" w:rsidP="00937ED9">
            <w:pPr>
              <w:spacing w:after="120"/>
              <w:rPr>
                <w:rFonts w:ascii="Calibri" w:hAnsi="Calibri" w:cs="Calibri"/>
                <w:sz w:val="16"/>
                <w:szCs w:val="16"/>
              </w:rPr>
            </w:pPr>
            <w:r w:rsidRPr="002E2B5B">
              <w:rPr>
                <w:rFonts w:ascii="Calibri" w:hAnsi="Calibri" w:cs="Calibri"/>
                <w:sz w:val="16"/>
                <w:szCs w:val="16"/>
              </w:rPr>
              <w:t>Baixa por prescrição no 4º trimestre / 2020</w:t>
            </w:r>
          </w:p>
        </w:tc>
        <w:tc>
          <w:tcPr>
            <w:tcW w:w="339" w:type="pct"/>
            <w:tcBorders>
              <w:left w:val="nil"/>
              <w:bottom w:val="single" w:sz="4" w:space="0" w:color="auto"/>
              <w:right w:val="nil"/>
            </w:tcBorders>
            <w:shd w:val="clear" w:color="auto" w:fill="auto"/>
            <w:noWrap/>
            <w:vAlign w:val="bottom"/>
          </w:tcPr>
          <w:p w14:paraId="62F49E53" w14:textId="77777777" w:rsidR="0002343B" w:rsidRPr="002E2B5B" w:rsidRDefault="0002343B" w:rsidP="00937ED9">
            <w:pPr>
              <w:spacing w:after="120"/>
              <w:rPr>
                <w:rFonts w:ascii="Calibri" w:hAnsi="Calibri" w:cs="Calibri"/>
                <w:sz w:val="16"/>
                <w:szCs w:val="16"/>
              </w:rPr>
            </w:pPr>
          </w:p>
        </w:tc>
        <w:tc>
          <w:tcPr>
            <w:tcW w:w="135" w:type="pct"/>
            <w:tcBorders>
              <w:left w:val="nil"/>
              <w:bottom w:val="single" w:sz="4" w:space="0" w:color="auto"/>
              <w:right w:val="nil"/>
            </w:tcBorders>
            <w:shd w:val="clear" w:color="auto" w:fill="auto"/>
            <w:noWrap/>
            <w:vAlign w:val="bottom"/>
          </w:tcPr>
          <w:p w14:paraId="5D6AB9BB" w14:textId="77777777" w:rsidR="0002343B" w:rsidRPr="002E2B5B" w:rsidRDefault="0002343B" w:rsidP="00937ED9">
            <w:pPr>
              <w:spacing w:after="120"/>
              <w:rPr>
                <w:rFonts w:ascii="Calibri" w:hAnsi="Calibri" w:cs="Calibri"/>
                <w:sz w:val="16"/>
                <w:szCs w:val="16"/>
              </w:rPr>
            </w:pPr>
          </w:p>
        </w:tc>
        <w:tc>
          <w:tcPr>
            <w:tcW w:w="876" w:type="pct"/>
            <w:tcBorders>
              <w:left w:val="nil"/>
              <w:bottom w:val="single" w:sz="4" w:space="0" w:color="auto"/>
              <w:right w:val="nil"/>
            </w:tcBorders>
            <w:vAlign w:val="bottom"/>
          </w:tcPr>
          <w:p w14:paraId="62642422" w14:textId="77777777" w:rsidR="0002343B" w:rsidRPr="002E2B5B" w:rsidRDefault="0002343B" w:rsidP="00937ED9">
            <w:pPr>
              <w:spacing w:after="120"/>
              <w:jc w:val="right"/>
              <w:rPr>
                <w:rFonts w:ascii="Calibri" w:hAnsi="Calibri" w:cs="Calibri"/>
                <w:sz w:val="16"/>
                <w:szCs w:val="16"/>
              </w:rPr>
            </w:pPr>
          </w:p>
        </w:tc>
        <w:tc>
          <w:tcPr>
            <w:tcW w:w="951" w:type="pct"/>
            <w:tcBorders>
              <w:left w:val="nil"/>
              <w:bottom w:val="single" w:sz="4" w:space="0" w:color="auto"/>
              <w:right w:val="nil"/>
            </w:tcBorders>
            <w:shd w:val="clear" w:color="auto" w:fill="auto"/>
            <w:noWrap/>
            <w:vAlign w:val="bottom"/>
          </w:tcPr>
          <w:p w14:paraId="36CB0717" w14:textId="74A2C4BF" w:rsidR="0002343B" w:rsidRPr="002E2B5B" w:rsidRDefault="0002343B" w:rsidP="00937ED9">
            <w:pPr>
              <w:spacing w:after="120"/>
              <w:jc w:val="right"/>
              <w:rPr>
                <w:rFonts w:ascii="Calibri" w:hAnsi="Calibri" w:cs="Calibri"/>
                <w:sz w:val="16"/>
                <w:szCs w:val="16"/>
              </w:rPr>
            </w:pPr>
            <w:r w:rsidRPr="002E2B5B">
              <w:rPr>
                <w:rFonts w:ascii="Calibri" w:hAnsi="Calibri" w:cs="Calibri"/>
                <w:sz w:val="16"/>
                <w:szCs w:val="16"/>
              </w:rPr>
              <w:t>(16.171.75</w:t>
            </w:r>
            <w:r w:rsidR="00887504">
              <w:rPr>
                <w:rFonts w:ascii="Calibri" w:hAnsi="Calibri" w:cs="Calibri"/>
                <w:sz w:val="16"/>
                <w:szCs w:val="16"/>
              </w:rPr>
              <w:t>7)</w:t>
            </w:r>
          </w:p>
        </w:tc>
        <w:tc>
          <w:tcPr>
            <w:tcW w:w="85" w:type="pct"/>
            <w:tcBorders>
              <w:left w:val="nil"/>
              <w:right w:val="nil"/>
            </w:tcBorders>
            <w:shd w:val="clear" w:color="auto" w:fill="auto"/>
            <w:noWrap/>
            <w:vAlign w:val="bottom"/>
          </w:tcPr>
          <w:p w14:paraId="25DBD5EC" w14:textId="77777777" w:rsidR="0002343B" w:rsidRPr="002E2B5B" w:rsidRDefault="0002343B" w:rsidP="00937ED9">
            <w:pPr>
              <w:spacing w:after="120"/>
              <w:rPr>
                <w:rFonts w:ascii="Calibri" w:hAnsi="Calibri" w:cs="Calibri"/>
                <w:b/>
                <w:sz w:val="16"/>
                <w:szCs w:val="16"/>
              </w:rPr>
            </w:pPr>
          </w:p>
        </w:tc>
      </w:tr>
      <w:tr w:rsidR="00314D3C" w:rsidRPr="002E2B5B" w14:paraId="287B160F" w14:textId="77777777" w:rsidTr="00314D3C">
        <w:trPr>
          <w:trHeight w:val="255"/>
        </w:trPr>
        <w:tc>
          <w:tcPr>
            <w:tcW w:w="2613" w:type="pct"/>
            <w:tcBorders>
              <w:top w:val="single" w:sz="4" w:space="0" w:color="auto"/>
              <w:left w:val="nil"/>
              <w:bottom w:val="single" w:sz="4" w:space="0" w:color="auto"/>
              <w:right w:val="nil"/>
            </w:tcBorders>
            <w:shd w:val="clear" w:color="auto" w:fill="auto"/>
            <w:noWrap/>
            <w:vAlign w:val="bottom"/>
          </w:tcPr>
          <w:p w14:paraId="24A2CCF8" w14:textId="72668A03" w:rsidR="00314D3C" w:rsidRPr="002E2B5B" w:rsidRDefault="00314D3C" w:rsidP="00314D3C">
            <w:pPr>
              <w:spacing w:after="120"/>
              <w:rPr>
                <w:rFonts w:ascii="Calibri" w:hAnsi="Calibri" w:cs="Calibri"/>
                <w:sz w:val="16"/>
                <w:szCs w:val="16"/>
              </w:rPr>
            </w:pPr>
            <w:r w:rsidRPr="002E2B5B">
              <w:rPr>
                <w:rFonts w:ascii="Calibri" w:hAnsi="Calibri" w:cs="Calibri"/>
                <w:b/>
                <w:sz w:val="16"/>
                <w:szCs w:val="16"/>
              </w:rPr>
              <w:lastRenderedPageBreak/>
              <w:t>SALDO DE CRÉDITO PREVIDENCIÁRIO</w:t>
            </w:r>
            <w:r>
              <w:rPr>
                <w:rFonts w:ascii="Calibri" w:hAnsi="Calibri" w:cs="Calibri"/>
                <w:b/>
                <w:sz w:val="16"/>
                <w:szCs w:val="16"/>
              </w:rPr>
              <w:t xml:space="preserve"> APÓS BAIXA POR PRESCRIÇÃO </w:t>
            </w:r>
            <w:r w:rsidRPr="002E2B5B">
              <w:rPr>
                <w:rFonts w:ascii="Calibri" w:hAnsi="Calibri" w:cs="Calibri"/>
                <w:b/>
                <w:sz w:val="16"/>
                <w:szCs w:val="16"/>
              </w:rPr>
              <w:t xml:space="preserve"> </w:t>
            </w:r>
          </w:p>
        </w:tc>
        <w:tc>
          <w:tcPr>
            <w:tcW w:w="339" w:type="pct"/>
            <w:tcBorders>
              <w:top w:val="single" w:sz="4" w:space="0" w:color="auto"/>
              <w:left w:val="nil"/>
              <w:bottom w:val="single" w:sz="4" w:space="0" w:color="auto"/>
              <w:right w:val="nil"/>
            </w:tcBorders>
            <w:shd w:val="clear" w:color="auto" w:fill="auto"/>
            <w:noWrap/>
            <w:vAlign w:val="bottom"/>
          </w:tcPr>
          <w:p w14:paraId="149DFF44" w14:textId="77777777" w:rsidR="00314D3C" w:rsidRPr="002E2B5B" w:rsidRDefault="00314D3C" w:rsidP="00314D3C">
            <w:pPr>
              <w:spacing w:after="120"/>
              <w:rPr>
                <w:rFonts w:ascii="Calibri" w:hAnsi="Calibri" w:cs="Calibri"/>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0C569DE3" w14:textId="77777777" w:rsidR="00314D3C" w:rsidRPr="002E2B5B" w:rsidRDefault="00314D3C" w:rsidP="00314D3C">
            <w:pPr>
              <w:spacing w:after="120"/>
              <w:rPr>
                <w:rFonts w:ascii="Calibri" w:hAnsi="Calibri" w:cs="Calibri"/>
                <w:sz w:val="16"/>
                <w:szCs w:val="16"/>
              </w:rPr>
            </w:pPr>
          </w:p>
        </w:tc>
        <w:tc>
          <w:tcPr>
            <w:tcW w:w="876" w:type="pct"/>
            <w:tcBorders>
              <w:top w:val="single" w:sz="4" w:space="0" w:color="auto"/>
              <w:left w:val="nil"/>
              <w:bottom w:val="single" w:sz="4" w:space="0" w:color="auto"/>
              <w:right w:val="nil"/>
            </w:tcBorders>
            <w:vAlign w:val="bottom"/>
          </w:tcPr>
          <w:p w14:paraId="71F3BA32" w14:textId="77777777" w:rsidR="00314D3C" w:rsidRPr="002E2B5B" w:rsidRDefault="00314D3C" w:rsidP="00314D3C">
            <w:pPr>
              <w:spacing w:after="120"/>
              <w:jc w:val="right"/>
              <w:rPr>
                <w:rFonts w:ascii="Calibri" w:hAnsi="Calibri" w:cs="Calibri"/>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2E3AFADD" w14:textId="4710FE65" w:rsidR="00314D3C" w:rsidRPr="00314D3C" w:rsidRDefault="00314D3C" w:rsidP="00314D3C">
            <w:pPr>
              <w:spacing w:after="120"/>
              <w:jc w:val="right"/>
              <w:rPr>
                <w:rFonts w:ascii="Calibri" w:hAnsi="Calibri" w:cs="Calibri"/>
                <w:b/>
                <w:bCs/>
                <w:sz w:val="16"/>
                <w:szCs w:val="16"/>
              </w:rPr>
            </w:pPr>
            <w:r>
              <w:rPr>
                <w:rFonts w:ascii="Calibri" w:hAnsi="Calibri" w:cs="Calibri"/>
                <w:b/>
                <w:bCs/>
                <w:sz w:val="16"/>
                <w:szCs w:val="16"/>
              </w:rPr>
              <w:t>1.686.381</w:t>
            </w:r>
          </w:p>
        </w:tc>
        <w:tc>
          <w:tcPr>
            <w:tcW w:w="85" w:type="pct"/>
            <w:tcBorders>
              <w:left w:val="nil"/>
              <w:right w:val="nil"/>
            </w:tcBorders>
            <w:shd w:val="clear" w:color="auto" w:fill="auto"/>
            <w:noWrap/>
            <w:vAlign w:val="bottom"/>
          </w:tcPr>
          <w:p w14:paraId="27B6BCF0" w14:textId="77777777" w:rsidR="00314D3C" w:rsidRPr="002E2B5B" w:rsidRDefault="00314D3C" w:rsidP="00314D3C">
            <w:pPr>
              <w:spacing w:after="120"/>
              <w:rPr>
                <w:rFonts w:ascii="Calibri" w:hAnsi="Calibri" w:cs="Calibri"/>
                <w:b/>
                <w:sz w:val="16"/>
                <w:szCs w:val="16"/>
              </w:rPr>
            </w:pPr>
          </w:p>
        </w:tc>
      </w:tr>
      <w:tr w:rsidR="00314D3C" w:rsidRPr="002E2B5B" w14:paraId="00B6C5DC" w14:textId="77777777" w:rsidTr="00314D3C">
        <w:trPr>
          <w:trHeight w:val="255"/>
        </w:trPr>
        <w:tc>
          <w:tcPr>
            <w:tcW w:w="2613" w:type="pct"/>
            <w:tcBorders>
              <w:top w:val="single" w:sz="4" w:space="0" w:color="auto"/>
              <w:left w:val="nil"/>
              <w:right w:val="nil"/>
            </w:tcBorders>
            <w:shd w:val="clear" w:color="auto" w:fill="auto"/>
            <w:noWrap/>
            <w:vAlign w:val="bottom"/>
          </w:tcPr>
          <w:p w14:paraId="1ABBFC62" w14:textId="77777777" w:rsidR="00314D3C" w:rsidRPr="00887504" w:rsidRDefault="00314D3C" w:rsidP="00314D3C">
            <w:pPr>
              <w:spacing w:after="120"/>
              <w:rPr>
                <w:rFonts w:ascii="Calibri" w:hAnsi="Calibri" w:cs="Calibri"/>
                <w:bCs/>
                <w:sz w:val="16"/>
                <w:szCs w:val="16"/>
              </w:rPr>
            </w:pPr>
            <w:r w:rsidRPr="00887504">
              <w:rPr>
                <w:rFonts w:ascii="Calibri" w:hAnsi="Calibri" w:cs="Calibri"/>
                <w:bCs/>
                <w:sz w:val="16"/>
                <w:szCs w:val="16"/>
              </w:rPr>
              <w:t>CRÉDITO PRESCRITO EM 2021 (Até Abr/2021) RECONHECIDO NAS DFS DE 2019</w:t>
            </w:r>
          </w:p>
        </w:tc>
        <w:tc>
          <w:tcPr>
            <w:tcW w:w="339" w:type="pct"/>
            <w:tcBorders>
              <w:top w:val="single" w:sz="4" w:space="0" w:color="auto"/>
              <w:left w:val="nil"/>
              <w:right w:val="nil"/>
            </w:tcBorders>
            <w:shd w:val="clear" w:color="auto" w:fill="auto"/>
            <w:noWrap/>
            <w:vAlign w:val="bottom"/>
          </w:tcPr>
          <w:p w14:paraId="38CDF79F" w14:textId="77777777" w:rsidR="00314D3C" w:rsidRPr="00887504" w:rsidRDefault="00314D3C" w:rsidP="00314D3C">
            <w:pPr>
              <w:spacing w:after="120"/>
              <w:rPr>
                <w:rFonts w:ascii="Calibri" w:hAnsi="Calibri" w:cs="Calibri"/>
                <w:bCs/>
                <w:sz w:val="16"/>
                <w:szCs w:val="16"/>
              </w:rPr>
            </w:pPr>
          </w:p>
        </w:tc>
        <w:tc>
          <w:tcPr>
            <w:tcW w:w="135" w:type="pct"/>
            <w:tcBorders>
              <w:top w:val="single" w:sz="4" w:space="0" w:color="auto"/>
              <w:left w:val="nil"/>
              <w:right w:val="nil"/>
            </w:tcBorders>
            <w:shd w:val="clear" w:color="auto" w:fill="auto"/>
            <w:noWrap/>
            <w:vAlign w:val="bottom"/>
          </w:tcPr>
          <w:p w14:paraId="50A15532" w14:textId="77777777" w:rsidR="00314D3C" w:rsidRPr="00887504" w:rsidRDefault="00314D3C" w:rsidP="00314D3C">
            <w:pPr>
              <w:spacing w:after="120"/>
              <w:rPr>
                <w:rFonts w:ascii="Calibri" w:hAnsi="Calibri" w:cs="Calibri"/>
                <w:bCs/>
                <w:sz w:val="16"/>
                <w:szCs w:val="16"/>
              </w:rPr>
            </w:pPr>
          </w:p>
        </w:tc>
        <w:tc>
          <w:tcPr>
            <w:tcW w:w="876" w:type="pct"/>
            <w:tcBorders>
              <w:top w:val="single" w:sz="4" w:space="0" w:color="auto"/>
              <w:left w:val="nil"/>
              <w:right w:val="nil"/>
            </w:tcBorders>
            <w:vAlign w:val="bottom"/>
          </w:tcPr>
          <w:p w14:paraId="584E2F1D" w14:textId="77777777" w:rsidR="00314D3C" w:rsidRPr="00887504" w:rsidRDefault="00314D3C" w:rsidP="00314D3C">
            <w:pPr>
              <w:spacing w:after="120"/>
              <w:jc w:val="right"/>
              <w:rPr>
                <w:rFonts w:ascii="Calibri" w:hAnsi="Calibri" w:cs="Calibri"/>
                <w:bCs/>
                <w:sz w:val="16"/>
                <w:szCs w:val="16"/>
              </w:rPr>
            </w:pPr>
          </w:p>
        </w:tc>
        <w:tc>
          <w:tcPr>
            <w:tcW w:w="951" w:type="pct"/>
            <w:tcBorders>
              <w:top w:val="single" w:sz="4" w:space="0" w:color="auto"/>
              <w:left w:val="nil"/>
              <w:right w:val="nil"/>
            </w:tcBorders>
            <w:shd w:val="clear" w:color="auto" w:fill="auto"/>
            <w:noWrap/>
            <w:vAlign w:val="bottom"/>
          </w:tcPr>
          <w:p w14:paraId="4A723E1B" w14:textId="77777777" w:rsidR="00314D3C" w:rsidRPr="00887504" w:rsidRDefault="00314D3C" w:rsidP="00314D3C">
            <w:pPr>
              <w:spacing w:after="120"/>
              <w:jc w:val="right"/>
              <w:rPr>
                <w:rFonts w:ascii="Calibri" w:hAnsi="Calibri" w:cs="Calibri"/>
                <w:bCs/>
                <w:sz w:val="16"/>
                <w:szCs w:val="16"/>
              </w:rPr>
            </w:pPr>
            <w:r w:rsidRPr="00887504">
              <w:rPr>
                <w:rFonts w:ascii="Calibri" w:hAnsi="Calibri" w:cs="Calibri"/>
                <w:bCs/>
                <w:sz w:val="16"/>
                <w:szCs w:val="16"/>
              </w:rPr>
              <w:t>(271.209)</w:t>
            </w:r>
          </w:p>
        </w:tc>
        <w:tc>
          <w:tcPr>
            <w:tcW w:w="85" w:type="pct"/>
            <w:tcBorders>
              <w:left w:val="nil"/>
              <w:right w:val="nil"/>
            </w:tcBorders>
            <w:shd w:val="clear" w:color="auto" w:fill="auto"/>
            <w:noWrap/>
            <w:vAlign w:val="bottom"/>
          </w:tcPr>
          <w:p w14:paraId="1BC57218" w14:textId="77777777" w:rsidR="00314D3C" w:rsidRPr="002E2B5B" w:rsidRDefault="00314D3C" w:rsidP="00314D3C">
            <w:pPr>
              <w:spacing w:after="120"/>
              <w:rPr>
                <w:rFonts w:ascii="Calibri" w:hAnsi="Calibri" w:cs="Calibri"/>
                <w:b/>
                <w:sz w:val="16"/>
                <w:szCs w:val="16"/>
              </w:rPr>
            </w:pPr>
          </w:p>
        </w:tc>
      </w:tr>
      <w:tr w:rsidR="00314D3C" w:rsidRPr="002E2B5B" w14:paraId="2AB44943" w14:textId="77777777" w:rsidTr="00987B82">
        <w:trPr>
          <w:trHeight w:val="255"/>
        </w:trPr>
        <w:tc>
          <w:tcPr>
            <w:tcW w:w="2613" w:type="pct"/>
            <w:tcBorders>
              <w:left w:val="nil"/>
              <w:bottom w:val="single" w:sz="4" w:space="0" w:color="auto"/>
              <w:right w:val="nil"/>
            </w:tcBorders>
            <w:shd w:val="clear" w:color="auto" w:fill="auto"/>
            <w:noWrap/>
            <w:vAlign w:val="bottom"/>
          </w:tcPr>
          <w:p w14:paraId="7ED132CE" w14:textId="77777777" w:rsidR="00314D3C" w:rsidRPr="00887504" w:rsidRDefault="00314D3C" w:rsidP="00314D3C">
            <w:pPr>
              <w:spacing w:after="120"/>
              <w:rPr>
                <w:rFonts w:ascii="Calibri" w:hAnsi="Calibri" w:cs="Calibri"/>
                <w:bCs/>
                <w:sz w:val="16"/>
                <w:szCs w:val="16"/>
              </w:rPr>
            </w:pPr>
            <w:r w:rsidRPr="00887504">
              <w:rPr>
                <w:rFonts w:ascii="Calibri" w:hAnsi="Calibri" w:cs="Calibri"/>
                <w:bCs/>
                <w:sz w:val="16"/>
                <w:szCs w:val="16"/>
              </w:rPr>
              <w:t>CRÉDITO PRESCRITO EM 2021 (Até jun/2021) RECONHECIDO NAS DFS DE 2020</w:t>
            </w:r>
          </w:p>
        </w:tc>
        <w:tc>
          <w:tcPr>
            <w:tcW w:w="339" w:type="pct"/>
            <w:tcBorders>
              <w:left w:val="nil"/>
              <w:bottom w:val="single" w:sz="4" w:space="0" w:color="auto"/>
              <w:right w:val="nil"/>
            </w:tcBorders>
            <w:shd w:val="clear" w:color="auto" w:fill="auto"/>
            <w:noWrap/>
            <w:vAlign w:val="bottom"/>
          </w:tcPr>
          <w:p w14:paraId="3A96F748" w14:textId="77777777" w:rsidR="00314D3C" w:rsidRPr="00887504" w:rsidRDefault="00314D3C" w:rsidP="00314D3C">
            <w:pPr>
              <w:spacing w:after="120"/>
              <w:rPr>
                <w:rFonts w:ascii="Calibri" w:hAnsi="Calibri" w:cs="Calibri"/>
                <w:bCs/>
                <w:sz w:val="16"/>
                <w:szCs w:val="16"/>
              </w:rPr>
            </w:pPr>
          </w:p>
        </w:tc>
        <w:tc>
          <w:tcPr>
            <w:tcW w:w="135" w:type="pct"/>
            <w:tcBorders>
              <w:left w:val="nil"/>
              <w:bottom w:val="single" w:sz="4" w:space="0" w:color="auto"/>
              <w:right w:val="nil"/>
            </w:tcBorders>
            <w:shd w:val="clear" w:color="auto" w:fill="auto"/>
            <w:noWrap/>
            <w:vAlign w:val="bottom"/>
          </w:tcPr>
          <w:p w14:paraId="4C99607E" w14:textId="77777777" w:rsidR="00314D3C" w:rsidRPr="00887504" w:rsidRDefault="00314D3C" w:rsidP="00314D3C">
            <w:pPr>
              <w:spacing w:after="120"/>
              <w:rPr>
                <w:rFonts w:ascii="Calibri" w:hAnsi="Calibri" w:cs="Calibri"/>
                <w:bCs/>
                <w:sz w:val="16"/>
                <w:szCs w:val="16"/>
              </w:rPr>
            </w:pPr>
          </w:p>
        </w:tc>
        <w:tc>
          <w:tcPr>
            <w:tcW w:w="876" w:type="pct"/>
            <w:tcBorders>
              <w:left w:val="nil"/>
              <w:bottom w:val="single" w:sz="4" w:space="0" w:color="auto"/>
              <w:right w:val="nil"/>
            </w:tcBorders>
            <w:vAlign w:val="bottom"/>
          </w:tcPr>
          <w:p w14:paraId="3317ABB9" w14:textId="77777777" w:rsidR="00314D3C" w:rsidRPr="00887504" w:rsidRDefault="00314D3C" w:rsidP="00314D3C">
            <w:pPr>
              <w:spacing w:after="120"/>
              <w:jc w:val="right"/>
              <w:rPr>
                <w:rFonts w:ascii="Calibri" w:hAnsi="Calibri" w:cs="Calibri"/>
                <w:bCs/>
                <w:sz w:val="16"/>
                <w:szCs w:val="16"/>
              </w:rPr>
            </w:pPr>
          </w:p>
        </w:tc>
        <w:tc>
          <w:tcPr>
            <w:tcW w:w="951" w:type="pct"/>
            <w:tcBorders>
              <w:left w:val="nil"/>
              <w:bottom w:val="single" w:sz="4" w:space="0" w:color="auto"/>
              <w:right w:val="nil"/>
            </w:tcBorders>
            <w:shd w:val="clear" w:color="auto" w:fill="auto"/>
            <w:noWrap/>
            <w:vAlign w:val="bottom"/>
          </w:tcPr>
          <w:p w14:paraId="2E23ABE7" w14:textId="77777777" w:rsidR="00314D3C" w:rsidRPr="00887504" w:rsidRDefault="00314D3C" w:rsidP="00314D3C">
            <w:pPr>
              <w:spacing w:after="120"/>
              <w:jc w:val="right"/>
              <w:rPr>
                <w:rFonts w:ascii="Calibri" w:hAnsi="Calibri" w:cs="Calibri"/>
                <w:bCs/>
                <w:sz w:val="16"/>
                <w:szCs w:val="16"/>
              </w:rPr>
            </w:pPr>
            <w:r w:rsidRPr="00887504">
              <w:rPr>
                <w:rFonts w:ascii="Calibri" w:hAnsi="Calibri" w:cs="Calibri"/>
                <w:bCs/>
                <w:sz w:val="16"/>
                <w:szCs w:val="16"/>
              </w:rPr>
              <w:t>(132.239)</w:t>
            </w:r>
          </w:p>
        </w:tc>
        <w:tc>
          <w:tcPr>
            <w:tcW w:w="85" w:type="pct"/>
            <w:tcBorders>
              <w:left w:val="nil"/>
              <w:bottom w:val="single" w:sz="4" w:space="0" w:color="auto"/>
              <w:right w:val="nil"/>
            </w:tcBorders>
            <w:shd w:val="clear" w:color="auto" w:fill="auto"/>
            <w:noWrap/>
            <w:vAlign w:val="bottom"/>
          </w:tcPr>
          <w:p w14:paraId="298692A3" w14:textId="77777777" w:rsidR="00314D3C" w:rsidRPr="002E2B5B" w:rsidRDefault="00314D3C" w:rsidP="00314D3C">
            <w:pPr>
              <w:spacing w:after="120"/>
              <w:rPr>
                <w:rFonts w:ascii="Calibri" w:hAnsi="Calibri" w:cs="Calibri"/>
                <w:b/>
                <w:sz w:val="16"/>
                <w:szCs w:val="16"/>
              </w:rPr>
            </w:pPr>
          </w:p>
        </w:tc>
      </w:tr>
      <w:tr w:rsidR="00314D3C" w:rsidRPr="002E2B5B" w14:paraId="03BD3B95"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10AEAFA6" w14:textId="22A3EC4C" w:rsidR="00314D3C" w:rsidRPr="002E2B5B" w:rsidRDefault="00314D3C" w:rsidP="00314D3C">
            <w:pPr>
              <w:spacing w:after="120"/>
              <w:rPr>
                <w:rFonts w:ascii="Calibri" w:hAnsi="Calibri" w:cs="Calibri"/>
                <w:b/>
                <w:sz w:val="16"/>
                <w:szCs w:val="16"/>
              </w:rPr>
            </w:pPr>
            <w:r w:rsidRPr="002E2B5B">
              <w:rPr>
                <w:rFonts w:ascii="Calibri" w:hAnsi="Calibri" w:cs="Calibri"/>
                <w:b/>
                <w:sz w:val="16"/>
                <w:szCs w:val="16"/>
              </w:rPr>
              <w:t>SALDO DE CRÉDITO PREVIDENCIÁRIO EM 31/12/2020</w:t>
            </w:r>
          </w:p>
        </w:tc>
        <w:tc>
          <w:tcPr>
            <w:tcW w:w="339" w:type="pct"/>
            <w:tcBorders>
              <w:top w:val="single" w:sz="4" w:space="0" w:color="auto"/>
              <w:left w:val="nil"/>
              <w:bottom w:val="single" w:sz="4" w:space="0" w:color="auto"/>
              <w:right w:val="nil"/>
            </w:tcBorders>
            <w:shd w:val="clear" w:color="auto" w:fill="auto"/>
            <w:noWrap/>
            <w:vAlign w:val="bottom"/>
          </w:tcPr>
          <w:p w14:paraId="18953744" w14:textId="77777777" w:rsidR="00314D3C" w:rsidRPr="002E2B5B" w:rsidRDefault="00314D3C" w:rsidP="00314D3C">
            <w:pPr>
              <w:spacing w:after="120"/>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2F75FBE1" w14:textId="77777777" w:rsidR="00314D3C" w:rsidRPr="002E2B5B" w:rsidRDefault="00314D3C" w:rsidP="00314D3C">
            <w:pPr>
              <w:spacing w:after="120"/>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C4CA7D9" w14:textId="77777777" w:rsidR="00314D3C" w:rsidRPr="002E2B5B" w:rsidRDefault="00314D3C" w:rsidP="00314D3C">
            <w:pPr>
              <w:spacing w:after="120"/>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3D02A1E" w14:textId="25AD076D" w:rsidR="00314D3C" w:rsidRDefault="00314D3C" w:rsidP="00314D3C">
            <w:pPr>
              <w:spacing w:after="120"/>
              <w:jc w:val="right"/>
              <w:rPr>
                <w:rFonts w:ascii="Calibri" w:hAnsi="Calibri" w:cs="Calibri"/>
                <w:b/>
                <w:sz w:val="16"/>
                <w:szCs w:val="16"/>
              </w:rPr>
            </w:pPr>
            <w:r>
              <w:rPr>
                <w:rFonts w:ascii="Calibri" w:hAnsi="Calibri" w:cs="Calibri"/>
                <w:b/>
                <w:sz w:val="16"/>
                <w:szCs w:val="16"/>
              </w:rPr>
              <w:t>1.282.933</w:t>
            </w:r>
          </w:p>
        </w:tc>
        <w:tc>
          <w:tcPr>
            <w:tcW w:w="85" w:type="pct"/>
            <w:tcBorders>
              <w:top w:val="single" w:sz="4" w:space="0" w:color="auto"/>
              <w:left w:val="nil"/>
              <w:bottom w:val="single" w:sz="4" w:space="0" w:color="auto"/>
              <w:right w:val="nil"/>
            </w:tcBorders>
            <w:shd w:val="clear" w:color="auto" w:fill="auto"/>
            <w:noWrap/>
            <w:vAlign w:val="bottom"/>
          </w:tcPr>
          <w:p w14:paraId="63EC8528" w14:textId="77777777" w:rsidR="00314D3C" w:rsidRPr="002E2B5B" w:rsidRDefault="00314D3C" w:rsidP="00314D3C">
            <w:pPr>
              <w:spacing w:after="120"/>
              <w:rPr>
                <w:rFonts w:ascii="Calibri" w:hAnsi="Calibri" w:cs="Calibri"/>
                <w:b/>
                <w:sz w:val="16"/>
                <w:szCs w:val="16"/>
              </w:rPr>
            </w:pPr>
          </w:p>
        </w:tc>
      </w:tr>
      <w:tr w:rsidR="00314D3C" w:rsidRPr="002E2B5B" w14:paraId="0568FF60"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6F216491" w14:textId="61C73936" w:rsidR="00314D3C" w:rsidRPr="00314D3C" w:rsidRDefault="00314D3C" w:rsidP="00314D3C">
            <w:pPr>
              <w:spacing w:after="120"/>
              <w:rPr>
                <w:rFonts w:ascii="Calibri" w:hAnsi="Calibri" w:cs="Calibri"/>
                <w:bCs/>
                <w:sz w:val="16"/>
                <w:szCs w:val="16"/>
              </w:rPr>
            </w:pPr>
            <w:r w:rsidRPr="00314D3C">
              <w:rPr>
                <w:rFonts w:ascii="Calibri" w:hAnsi="Calibri" w:cs="Calibri"/>
                <w:bCs/>
                <w:sz w:val="16"/>
                <w:szCs w:val="16"/>
              </w:rPr>
              <w:t>CRÉDITO PRESCRITO EM 2021 RECONHECIDO NAS DFS DE 2021</w:t>
            </w:r>
          </w:p>
        </w:tc>
        <w:tc>
          <w:tcPr>
            <w:tcW w:w="339" w:type="pct"/>
            <w:tcBorders>
              <w:top w:val="single" w:sz="4" w:space="0" w:color="auto"/>
              <w:left w:val="nil"/>
              <w:bottom w:val="single" w:sz="4" w:space="0" w:color="auto"/>
              <w:right w:val="nil"/>
            </w:tcBorders>
            <w:shd w:val="clear" w:color="auto" w:fill="auto"/>
            <w:noWrap/>
            <w:vAlign w:val="bottom"/>
          </w:tcPr>
          <w:p w14:paraId="6F1BFE2B" w14:textId="77777777" w:rsidR="00314D3C" w:rsidRPr="00314D3C" w:rsidRDefault="00314D3C" w:rsidP="00314D3C">
            <w:pPr>
              <w:spacing w:after="120"/>
              <w:rPr>
                <w:rFonts w:ascii="Calibri" w:hAnsi="Calibri" w:cs="Calibri"/>
                <w:bCs/>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1FF29C41" w14:textId="77777777" w:rsidR="00314D3C" w:rsidRPr="00314D3C" w:rsidRDefault="00314D3C" w:rsidP="00314D3C">
            <w:pPr>
              <w:spacing w:after="120"/>
              <w:rPr>
                <w:rFonts w:ascii="Calibri" w:hAnsi="Calibri" w:cs="Calibri"/>
                <w:bCs/>
                <w:sz w:val="16"/>
                <w:szCs w:val="16"/>
              </w:rPr>
            </w:pPr>
          </w:p>
        </w:tc>
        <w:tc>
          <w:tcPr>
            <w:tcW w:w="876" w:type="pct"/>
            <w:tcBorders>
              <w:top w:val="single" w:sz="4" w:space="0" w:color="auto"/>
              <w:left w:val="nil"/>
              <w:bottom w:val="single" w:sz="4" w:space="0" w:color="auto"/>
              <w:right w:val="nil"/>
            </w:tcBorders>
            <w:vAlign w:val="bottom"/>
          </w:tcPr>
          <w:p w14:paraId="39611AFE" w14:textId="77777777" w:rsidR="00314D3C" w:rsidRPr="00314D3C" w:rsidRDefault="00314D3C" w:rsidP="00314D3C">
            <w:pPr>
              <w:spacing w:after="120"/>
              <w:jc w:val="right"/>
              <w:rPr>
                <w:rFonts w:ascii="Calibri" w:hAnsi="Calibri" w:cs="Calibri"/>
                <w:bCs/>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5D5550A6" w14:textId="22277A92" w:rsidR="00314D3C" w:rsidRPr="00314D3C" w:rsidRDefault="00314D3C" w:rsidP="00314D3C">
            <w:pPr>
              <w:spacing w:after="120"/>
              <w:jc w:val="right"/>
              <w:rPr>
                <w:rFonts w:ascii="Calibri" w:hAnsi="Calibri" w:cs="Calibri"/>
                <w:bCs/>
                <w:sz w:val="16"/>
                <w:szCs w:val="16"/>
              </w:rPr>
            </w:pPr>
            <w:r w:rsidRPr="00314D3C">
              <w:rPr>
                <w:rFonts w:ascii="Calibri" w:hAnsi="Calibri" w:cs="Calibri"/>
                <w:bCs/>
                <w:sz w:val="16"/>
                <w:szCs w:val="16"/>
              </w:rPr>
              <w:t>(510.827)</w:t>
            </w:r>
          </w:p>
        </w:tc>
        <w:tc>
          <w:tcPr>
            <w:tcW w:w="85" w:type="pct"/>
            <w:tcBorders>
              <w:top w:val="single" w:sz="4" w:space="0" w:color="auto"/>
              <w:left w:val="nil"/>
              <w:bottom w:val="single" w:sz="4" w:space="0" w:color="auto"/>
              <w:right w:val="nil"/>
            </w:tcBorders>
            <w:shd w:val="clear" w:color="auto" w:fill="auto"/>
            <w:noWrap/>
            <w:vAlign w:val="bottom"/>
          </w:tcPr>
          <w:p w14:paraId="2D03C9FF" w14:textId="77777777" w:rsidR="00314D3C" w:rsidRPr="002E2B5B" w:rsidRDefault="00314D3C" w:rsidP="00314D3C">
            <w:pPr>
              <w:spacing w:after="120"/>
              <w:rPr>
                <w:rFonts w:ascii="Calibri" w:hAnsi="Calibri" w:cs="Calibri"/>
                <w:b/>
                <w:sz w:val="16"/>
                <w:szCs w:val="16"/>
              </w:rPr>
            </w:pPr>
          </w:p>
        </w:tc>
      </w:tr>
      <w:tr w:rsidR="00314D3C" w:rsidRPr="002E2B5B" w14:paraId="0E696F7E" w14:textId="77777777" w:rsidTr="00564A77">
        <w:trPr>
          <w:trHeight w:val="255"/>
        </w:trPr>
        <w:tc>
          <w:tcPr>
            <w:tcW w:w="2613" w:type="pct"/>
            <w:tcBorders>
              <w:top w:val="single" w:sz="4" w:space="0" w:color="auto"/>
              <w:left w:val="nil"/>
              <w:bottom w:val="single" w:sz="4" w:space="0" w:color="auto"/>
              <w:right w:val="nil"/>
            </w:tcBorders>
            <w:shd w:val="clear" w:color="auto" w:fill="auto"/>
            <w:noWrap/>
            <w:vAlign w:val="bottom"/>
          </w:tcPr>
          <w:p w14:paraId="317AE8AC" w14:textId="2CA8C992" w:rsidR="00314D3C" w:rsidRPr="002E2B5B" w:rsidRDefault="00314D3C" w:rsidP="00314D3C">
            <w:pPr>
              <w:spacing w:after="120"/>
              <w:rPr>
                <w:rFonts w:ascii="Calibri" w:hAnsi="Calibri" w:cs="Calibri"/>
                <w:b/>
                <w:sz w:val="16"/>
                <w:szCs w:val="16"/>
              </w:rPr>
            </w:pPr>
            <w:r w:rsidRPr="002E2B5B">
              <w:rPr>
                <w:rFonts w:ascii="Calibri" w:hAnsi="Calibri" w:cs="Calibri"/>
                <w:b/>
                <w:sz w:val="16"/>
                <w:szCs w:val="16"/>
              </w:rPr>
              <w:t xml:space="preserve">SALDO DE CRÉDITO PREVIDENCIÁRIO EM </w:t>
            </w:r>
            <w:r>
              <w:rPr>
                <w:rFonts w:ascii="Calibri" w:hAnsi="Calibri" w:cs="Calibri"/>
                <w:b/>
                <w:sz w:val="16"/>
                <w:szCs w:val="16"/>
              </w:rPr>
              <w:t>31/12</w:t>
            </w:r>
            <w:r w:rsidRPr="002E2B5B">
              <w:rPr>
                <w:rFonts w:ascii="Calibri" w:hAnsi="Calibri" w:cs="Calibri"/>
                <w:b/>
                <w:sz w:val="16"/>
                <w:szCs w:val="16"/>
              </w:rPr>
              <w:t>/2021</w:t>
            </w:r>
          </w:p>
        </w:tc>
        <w:tc>
          <w:tcPr>
            <w:tcW w:w="339" w:type="pct"/>
            <w:tcBorders>
              <w:top w:val="single" w:sz="4" w:space="0" w:color="auto"/>
              <w:left w:val="nil"/>
              <w:bottom w:val="single" w:sz="4" w:space="0" w:color="auto"/>
              <w:right w:val="nil"/>
            </w:tcBorders>
            <w:shd w:val="clear" w:color="auto" w:fill="auto"/>
            <w:noWrap/>
            <w:vAlign w:val="bottom"/>
          </w:tcPr>
          <w:p w14:paraId="533CE301" w14:textId="77777777" w:rsidR="00314D3C" w:rsidRPr="002E2B5B" w:rsidRDefault="00314D3C" w:rsidP="00314D3C">
            <w:pPr>
              <w:spacing w:after="120"/>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61DD7301" w14:textId="77777777" w:rsidR="00314D3C" w:rsidRPr="002E2B5B" w:rsidRDefault="00314D3C" w:rsidP="00314D3C">
            <w:pPr>
              <w:spacing w:after="120"/>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0791DECF" w14:textId="77777777" w:rsidR="00314D3C" w:rsidRPr="002E2B5B" w:rsidRDefault="00314D3C" w:rsidP="00314D3C">
            <w:pPr>
              <w:spacing w:after="120"/>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21D5ED4" w14:textId="692D6561" w:rsidR="00314D3C" w:rsidRDefault="00314D3C" w:rsidP="00314D3C">
            <w:pPr>
              <w:spacing w:after="120"/>
              <w:jc w:val="right"/>
              <w:rPr>
                <w:rFonts w:ascii="Calibri" w:hAnsi="Calibri" w:cs="Calibri"/>
                <w:b/>
                <w:sz w:val="16"/>
                <w:szCs w:val="16"/>
              </w:rPr>
            </w:pPr>
            <w:r>
              <w:rPr>
                <w:rFonts w:ascii="Calibri" w:hAnsi="Calibri" w:cs="Calibri"/>
                <w:b/>
                <w:sz w:val="16"/>
                <w:szCs w:val="16"/>
              </w:rPr>
              <w:t>772.106</w:t>
            </w:r>
          </w:p>
        </w:tc>
        <w:tc>
          <w:tcPr>
            <w:tcW w:w="85" w:type="pct"/>
            <w:tcBorders>
              <w:top w:val="single" w:sz="4" w:space="0" w:color="auto"/>
              <w:left w:val="nil"/>
              <w:bottom w:val="single" w:sz="4" w:space="0" w:color="auto"/>
              <w:right w:val="nil"/>
            </w:tcBorders>
            <w:shd w:val="clear" w:color="auto" w:fill="auto"/>
            <w:noWrap/>
            <w:vAlign w:val="bottom"/>
          </w:tcPr>
          <w:p w14:paraId="3BCBA443" w14:textId="77777777" w:rsidR="00314D3C" w:rsidRPr="002E2B5B" w:rsidRDefault="00314D3C" w:rsidP="00314D3C">
            <w:pPr>
              <w:spacing w:after="120"/>
              <w:rPr>
                <w:rFonts w:ascii="Calibri" w:hAnsi="Calibri" w:cs="Calibri"/>
                <w:b/>
                <w:sz w:val="16"/>
                <w:szCs w:val="16"/>
              </w:rPr>
            </w:pPr>
          </w:p>
        </w:tc>
      </w:tr>
      <w:tr w:rsidR="00314D3C" w:rsidRPr="002E2B5B" w14:paraId="409FB105" w14:textId="77777777" w:rsidTr="00B44858">
        <w:trPr>
          <w:trHeight w:val="255"/>
        </w:trPr>
        <w:tc>
          <w:tcPr>
            <w:tcW w:w="2613" w:type="pct"/>
            <w:tcBorders>
              <w:top w:val="single" w:sz="4" w:space="0" w:color="auto"/>
              <w:left w:val="nil"/>
              <w:right w:val="nil"/>
            </w:tcBorders>
            <w:shd w:val="clear" w:color="auto" w:fill="auto"/>
            <w:noWrap/>
            <w:vAlign w:val="bottom"/>
          </w:tcPr>
          <w:p w14:paraId="4C5989C4" w14:textId="63AB8512" w:rsidR="00314D3C" w:rsidRPr="00314D3C" w:rsidRDefault="00314D3C" w:rsidP="00314D3C">
            <w:pPr>
              <w:spacing w:after="120"/>
              <w:rPr>
                <w:rFonts w:ascii="Calibri" w:hAnsi="Calibri" w:cs="Calibri"/>
                <w:bCs/>
                <w:sz w:val="16"/>
                <w:szCs w:val="16"/>
              </w:rPr>
            </w:pPr>
            <w:r w:rsidRPr="00314D3C">
              <w:rPr>
                <w:rFonts w:ascii="Calibri" w:hAnsi="Calibri" w:cs="Calibri"/>
                <w:bCs/>
                <w:sz w:val="16"/>
                <w:szCs w:val="16"/>
              </w:rPr>
              <w:t>CRÉDITO PRESCRITO 1º TRIMESTRE DE 2022</w:t>
            </w:r>
          </w:p>
        </w:tc>
        <w:tc>
          <w:tcPr>
            <w:tcW w:w="339" w:type="pct"/>
            <w:tcBorders>
              <w:top w:val="single" w:sz="4" w:space="0" w:color="auto"/>
              <w:left w:val="nil"/>
              <w:right w:val="nil"/>
            </w:tcBorders>
            <w:shd w:val="clear" w:color="auto" w:fill="auto"/>
            <w:noWrap/>
            <w:vAlign w:val="bottom"/>
          </w:tcPr>
          <w:p w14:paraId="22070B3B" w14:textId="77777777" w:rsidR="00314D3C" w:rsidRPr="00314D3C" w:rsidRDefault="00314D3C" w:rsidP="00314D3C">
            <w:pPr>
              <w:spacing w:after="120"/>
              <w:rPr>
                <w:rFonts w:ascii="Calibri" w:hAnsi="Calibri" w:cs="Calibri"/>
                <w:bCs/>
                <w:sz w:val="16"/>
                <w:szCs w:val="16"/>
              </w:rPr>
            </w:pPr>
          </w:p>
        </w:tc>
        <w:tc>
          <w:tcPr>
            <w:tcW w:w="135" w:type="pct"/>
            <w:tcBorders>
              <w:top w:val="single" w:sz="4" w:space="0" w:color="auto"/>
              <w:left w:val="nil"/>
              <w:right w:val="nil"/>
            </w:tcBorders>
            <w:shd w:val="clear" w:color="auto" w:fill="auto"/>
            <w:noWrap/>
            <w:vAlign w:val="bottom"/>
          </w:tcPr>
          <w:p w14:paraId="0346A6E9" w14:textId="77777777" w:rsidR="00314D3C" w:rsidRPr="00314D3C" w:rsidRDefault="00314D3C" w:rsidP="00314D3C">
            <w:pPr>
              <w:spacing w:after="120"/>
              <w:rPr>
                <w:rFonts w:ascii="Calibri" w:hAnsi="Calibri" w:cs="Calibri"/>
                <w:bCs/>
                <w:sz w:val="16"/>
                <w:szCs w:val="16"/>
              </w:rPr>
            </w:pPr>
          </w:p>
        </w:tc>
        <w:tc>
          <w:tcPr>
            <w:tcW w:w="876" w:type="pct"/>
            <w:tcBorders>
              <w:top w:val="single" w:sz="4" w:space="0" w:color="auto"/>
              <w:left w:val="nil"/>
              <w:right w:val="nil"/>
            </w:tcBorders>
            <w:vAlign w:val="bottom"/>
          </w:tcPr>
          <w:p w14:paraId="487DEF44" w14:textId="77777777" w:rsidR="00314D3C" w:rsidRPr="00314D3C" w:rsidRDefault="00314D3C" w:rsidP="00314D3C">
            <w:pPr>
              <w:spacing w:after="120"/>
              <w:jc w:val="right"/>
              <w:rPr>
                <w:rFonts w:ascii="Calibri" w:hAnsi="Calibri" w:cs="Calibri"/>
                <w:bCs/>
                <w:sz w:val="16"/>
                <w:szCs w:val="16"/>
              </w:rPr>
            </w:pPr>
          </w:p>
        </w:tc>
        <w:tc>
          <w:tcPr>
            <w:tcW w:w="951" w:type="pct"/>
            <w:tcBorders>
              <w:top w:val="single" w:sz="4" w:space="0" w:color="auto"/>
              <w:left w:val="nil"/>
              <w:right w:val="nil"/>
            </w:tcBorders>
            <w:shd w:val="clear" w:color="auto" w:fill="auto"/>
            <w:noWrap/>
            <w:vAlign w:val="bottom"/>
          </w:tcPr>
          <w:p w14:paraId="2250ED82" w14:textId="3A3909F1" w:rsidR="00314D3C" w:rsidRPr="00314D3C" w:rsidRDefault="00314D3C" w:rsidP="00314D3C">
            <w:pPr>
              <w:spacing w:after="120"/>
              <w:jc w:val="right"/>
              <w:rPr>
                <w:rFonts w:ascii="Calibri" w:hAnsi="Calibri" w:cs="Calibri"/>
                <w:bCs/>
                <w:sz w:val="16"/>
                <w:szCs w:val="16"/>
              </w:rPr>
            </w:pPr>
            <w:r w:rsidRPr="00314D3C">
              <w:rPr>
                <w:rFonts w:ascii="Calibri" w:hAnsi="Calibri" w:cs="Calibri"/>
                <w:bCs/>
                <w:sz w:val="16"/>
                <w:szCs w:val="16"/>
              </w:rPr>
              <w:t>(205.186)</w:t>
            </w:r>
          </w:p>
        </w:tc>
        <w:tc>
          <w:tcPr>
            <w:tcW w:w="85" w:type="pct"/>
            <w:tcBorders>
              <w:top w:val="single" w:sz="4" w:space="0" w:color="auto"/>
              <w:left w:val="nil"/>
              <w:right w:val="nil"/>
            </w:tcBorders>
            <w:shd w:val="clear" w:color="auto" w:fill="auto"/>
            <w:noWrap/>
            <w:vAlign w:val="bottom"/>
          </w:tcPr>
          <w:p w14:paraId="15B44AA1" w14:textId="77777777" w:rsidR="00314D3C" w:rsidRPr="002E2B5B" w:rsidRDefault="00314D3C" w:rsidP="00314D3C">
            <w:pPr>
              <w:spacing w:after="120"/>
              <w:rPr>
                <w:rFonts w:ascii="Calibri" w:hAnsi="Calibri" w:cs="Calibri"/>
                <w:b/>
                <w:sz w:val="16"/>
                <w:szCs w:val="16"/>
              </w:rPr>
            </w:pPr>
          </w:p>
        </w:tc>
      </w:tr>
      <w:tr w:rsidR="00564A77" w:rsidRPr="002E2B5B" w14:paraId="4867586A" w14:textId="77777777" w:rsidTr="00B44858">
        <w:trPr>
          <w:trHeight w:val="255"/>
        </w:trPr>
        <w:tc>
          <w:tcPr>
            <w:tcW w:w="2613" w:type="pct"/>
            <w:tcBorders>
              <w:left w:val="nil"/>
              <w:right w:val="nil"/>
            </w:tcBorders>
            <w:shd w:val="clear" w:color="auto" w:fill="auto"/>
            <w:noWrap/>
            <w:vAlign w:val="bottom"/>
          </w:tcPr>
          <w:p w14:paraId="2DA591CB" w14:textId="7BDBE9E5" w:rsidR="00564A77" w:rsidRPr="00314D3C" w:rsidRDefault="00564A77" w:rsidP="00314D3C">
            <w:pPr>
              <w:spacing w:after="120"/>
              <w:rPr>
                <w:rFonts w:ascii="Calibri" w:hAnsi="Calibri" w:cs="Calibri"/>
                <w:bCs/>
                <w:sz w:val="16"/>
                <w:szCs w:val="16"/>
              </w:rPr>
            </w:pPr>
            <w:r w:rsidRPr="00314D3C">
              <w:rPr>
                <w:rFonts w:ascii="Calibri" w:hAnsi="Calibri" w:cs="Calibri"/>
                <w:bCs/>
                <w:sz w:val="16"/>
                <w:szCs w:val="16"/>
              </w:rPr>
              <w:t xml:space="preserve">CRÉDITO PRESCRITO </w:t>
            </w:r>
            <w:r>
              <w:rPr>
                <w:rFonts w:ascii="Calibri" w:hAnsi="Calibri" w:cs="Calibri"/>
                <w:bCs/>
                <w:sz w:val="16"/>
                <w:szCs w:val="16"/>
              </w:rPr>
              <w:t>2</w:t>
            </w:r>
            <w:r w:rsidRPr="00314D3C">
              <w:rPr>
                <w:rFonts w:ascii="Calibri" w:hAnsi="Calibri" w:cs="Calibri"/>
                <w:bCs/>
                <w:sz w:val="16"/>
                <w:szCs w:val="16"/>
              </w:rPr>
              <w:t>º TRIMESTRE DE 2022</w:t>
            </w:r>
          </w:p>
        </w:tc>
        <w:tc>
          <w:tcPr>
            <w:tcW w:w="339" w:type="pct"/>
            <w:tcBorders>
              <w:left w:val="nil"/>
              <w:right w:val="nil"/>
            </w:tcBorders>
            <w:shd w:val="clear" w:color="auto" w:fill="auto"/>
            <w:noWrap/>
            <w:vAlign w:val="bottom"/>
          </w:tcPr>
          <w:p w14:paraId="43D6DE21" w14:textId="77777777" w:rsidR="00564A77" w:rsidRPr="00314D3C" w:rsidRDefault="00564A77" w:rsidP="00314D3C">
            <w:pPr>
              <w:spacing w:after="120"/>
              <w:rPr>
                <w:rFonts w:ascii="Calibri" w:hAnsi="Calibri" w:cs="Calibri"/>
                <w:bCs/>
                <w:sz w:val="16"/>
                <w:szCs w:val="16"/>
              </w:rPr>
            </w:pPr>
          </w:p>
        </w:tc>
        <w:tc>
          <w:tcPr>
            <w:tcW w:w="135" w:type="pct"/>
            <w:tcBorders>
              <w:left w:val="nil"/>
              <w:right w:val="nil"/>
            </w:tcBorders>
            <w:shd w:val="clear" w:color="auto" w:fill="auto"/>
            <w:noWrap/>
            <w:vAlign w:val="bottom"/>
          </w:tcPr>
          <w:p w14:paraId="25147979" w14:textId="77777777" w:rsidR="00564A77" w:rsidRPr="00314D3C" w:rsidRDefault="00564A77" w:rsidP="00314D3C">
            <w:pPr>
              <w:spacing w:after="120"/>
              <w:rPr>
                <w:rFonts w:ascii="Calibri" w:hAnsi="Calibri" w:cs="Calibri"/>
                <w:bCs/>
                <w:sz w:val="16"/>
                <w:szCs w:val="16"/>
              </w:rPr>
            </w:pPr>
          </w:p>
        </w:tc>
        <w:tc>
          <w:tcPr>
            <w:tcW w:w="876" w:type="pct"/>
            <w:tcBorders>
              <w:left w:val="nil"/>
              <w:right w:val="nil"/>
            </w:tcBorders>
            <w:vAlign w:val="bottom"/>
          </w:tcPr>
          <w:p w14:paraId="1D84D680" w14:textId="77777777" w:rsidR="00564A77" w:rsidRPr="00314D3C" w:rsidRDefault="00564A77" w:rsidP="00314D3C">
            <w:pPr>
              <w:spacing w:after="120"/>
              <w:jc w:val="right"/>
              <w:rPr>
                <w:rFonts w:ascii="Calibri" w:hAnsi="Calibri" w:cs="Calibri"/>
                <w:bCs/>
                <w:sz w:val="16"/>
                <w:szCs w:val="16"/>
              </w:rPr>
            </w:pPr>
          </w:p>
        </w:tc>
        <w:tc>
          <w:tcPr>
            <w:tcW w:w="951" w:type="pct"/>
            <w:tcBorders>
              <w:left w:val="nil"/>
              <w:right w:val="nil"/>
            </w:tcBorders>
            <w:shd w:val="clear" w:color="auto" w:fill="auto"/>
            <w:noWrap/>
            <w:vAlign w:val="bottom"/>
          </w:tcPr>
          <w:p w14:paraId="0C25A12E" w14:textId="5EE6EC11" w:rsidR="00564A77" w:rsidRPr="00314D3C" w:rsidRDefault="00564A77" w:rsidP="00314D3C">
            <w:pPr>
              <w:spacing w:after="120"/>
              <w:jc w:val="right"/>
              <w:rPr>
                <w:rFonts w:ascii="Calibri" w:hAnsi="Calibri" w:cs="Calibri"/>
                <w:bCs/>
                <w:sz w:val="16"/>
                <w:szCs w:val="16"/>
              </w:rPr>
            </w:pPr>
            <w:r>
              <w:rPr>
                <w:rFonts w:ascii="Calibri" w:hAnsi="Calibri" w:cs="Calibri"/>
                <w:bCs/>
                <w:sz w:val="16"/>
                <w:szCs w:val="16"/>
              </w:rPr>
              <w:t>(125.239)</w:t>
            </w:r>
          </w:p>
        </w:tc>
        <w:tc>
          <w:tcPr>
            <w:tcW w:w="85" w:type="pct"/>
            <w:tcBorders>
              <w:left w:val="nil"/>
              <w:right w:val="nil"/>
            </w:tcBorders>
            <w:shd w:val="clear" w:color="auto" w:fill="auto"/>
            <w:noWrap/>
            <w:vAlign w:val="bottom"/>
          </w:tcPr>
          <w:p w14:paraId="1AA5096D" w14:textId="77777777" w:rsidR="00564A77" w:rsidRPr="002E2B5B" w:rsidRDefault="00564A77" w:rsidP="00314D3C">
            <w:pPr>
              <w:spacing w:after="120"/>
              <w:rPr>
                <w:rFonts w:ascii="Calibri" w:hAnsi="Calibri" w:cs="Calibri"/>
                <w:b/>
                <w:sz w:val="16"/>
                <w:szCs w:val="16"/>
              </w:rPr>
            </w:pPr>
          </w:p>
        </w:tc>
      </w:tr>
      <w:tr w:rsidR="00B44858" w:rsidRPr="002E2B5B" w14:paraId="11C8772D" w14:textId="77777777" w:rsidTr="00B44858">
        <w:trPr>
          <w:trHeight w:val="255"/>
        </w:trPr>
        <w:tc>
          <w:tcPr>
            <w:tcW w:w="2613" w:type="pct"/>
            <w:tcBorders>
              <w:left w:val="nil"/>
              <w:bottom w:val="single" w:sz="4" w:space="0" w:color="auto"/>
              <w:right w:val="nil"/>
            </w:tcBorders>
            <w:shd w:val="clear" w:color="auto" w:fill="auto"/>
            <w:noWrap/>
            <w:vAlign w:val="bottom"/>
          </w:tcPr>
          <w:p w14:paraId="3804059E" w14:textId="3D193EC1" w:rsidR="00B44858" w:rsidRPr="00314D3C" w:rsidRDefault="00B44858" w:rsidP="00314D3C">
            <w:pPr>
              <w:spacing w:after="120"/>
              <w:rPr>
                <w:rFonts w:ascii="Calibri" w:hAnsi="Calibri" w:cs="Calibri"/>
                <w:bCs/>
                <w:sz w:val="16"/>
                <w:szCs w:val="16"/>
              </w:rPr>
            </w:pPr>
            <w:r w:rsidRPr="00314D3C">
              <w:rPr>
                <w:rFonts w:ascii="Calibri" w:hAnsi="Calibri" w:cs="Calibri"/>
                <w:bCs/>
                <w:sz w:val="16"/>
                <w:szCs w:val="16"/>
              </w:rPr>
              <w:t xml:space="preserve">CRÉDITO PRESCRITO </w:t>
            </w:r>
            <w:r>
              <w:rPr>
                <w:rFonts w:ascii="Calibri" w:hAnsi="Calibri" w:cs="Calibri"/>
                <w:bCs/>
                <w:sz w:val="16"/>
                <w:szCs w:val="16"/>
              </w:rPr>
              <w:t>3</w:t>
            </w:r>
            <w:r w:rsidRPr="00314D3C">
              <w:rPr>
                <w:rFonts w:ascii="Calibri" w:hAnsi="Calibri" w:cs="Calibri"/>
                <w:bCs/>
                <w:sz w:val="16"/>
                <w:szCs w:val="16"/>
              </w:rPr>
              <w:t>º TRIMESTRE DE 2022</w:t>
            </w:r>
          </w:p>
        </w:tc>
        <w:tc>
          <w:tcPr>
            <w:tcW w:w="339" w:type="pct"/>
            <w:tcBorders>
              <w:left w:val="nil"/>
              <w:bottom w:val="single" w:sz="4" w:space="0" w:color="auto"/>
              <w:right w:val="nil"/>
            </w:tcBorders>
            <w:shd w:val="clear" w:color="auto" w:fill="auto"/>
            <w:noWrap/>
            <w:vAlign w:val="bottom"/>
          </w:tcPr>
          <w:p w14:paraId="0D585BB0" w14:textId="77777777" w:rsidR="00B44858" w:rsidRPr="00314D3C" w:rsidRDefault="00B44858" w:rsidP="00314D3C">
            <w:pPr>
              <w:spacing w:after="120"/>
              <w:rPr>
                <w:rFonts w:ascii="Calibri" w:hAnsi="Calibri" w:cs="Calibri"/>
                <w:bCs/>
                <w:sz w:val="16"/>
                <w:szCs w:val="16"/>
              </w:rPr>
            </w:pPr>
          </w:p>
        </w:tc>
        <w:tc>
          <w:tcPr>
            <w:tcW w:w="135" w:type="pct"/>
            <w:tcBorders>
              <w:left w:val="nil"/>
              <w:bottom w:val="single" w:sz="4" w:space="0" w:color="auto"/>
              <w:right w:val="nil"/>
            </w:tcBorders>
            <w:shd w:val="clear" w:color="auto" w:fill="auto"/>
            <w:noWrap/>
            <w:vAlign w:val="bottom"/>
          </w:tcPr>
          <w:p w14:paraId="11C227E3" w14:textId="77777777" w:rsidR="00B44858" w:rsidRPr="00314D3C" w:rsidRDefault="00B44858" w:rsidP="00314D3C">
            <w:pPr>
              <w:spacing w:after="120"/>
              <w:rPr>
                <w:rFonts w:ascii="Calibri" w:hAnsi="Calibri" w:cs="Calibri"/>
                <w:bCs/>
                <w:sz w:val="16"/>
                <w:szCs w:val="16"/>
              </w:rPr>
            </w:pPr>
          </w:p>
        </w:tc>
        <w:tc>
          <w:tcPr>
            <w:tcW w:w="876" w:type="pct"/>
            <w:tcBorders>
              <w:left w:val="nil"/>
              <w:bottom w:val="single" w:sz="4" w:space="0" w:color="auto"/>
              <w:right w:val="nil"/>
            </w:tcBorders>
            <w:vAlign w:val="bottom"/>
          </w:tcPr>
          <w:p w14:paraId="6080E4BD" w14:textId="77777777" w:rsidR="00B44858" w:rsidRPr="00314D3C" w:rsidRDefault="00B44858" w:rsidP="00314D3C">
            <w:pPr>
              <w:spacing w:after="120"/>
              <w:jc w:val="right"/>
              <w:rPr>
                <w:rFonts w:ascii="Calibri" w:hAnsi="Calibri" w:cs="Calibri"/>
                <w:bCs/>
                <w:sz w:val="16"/>
                <w:szCs w:val="16"/>
              </w:rPr>
            </w:pPr>
          </w:p>
        </w:tc>
        <w:tc>
          <w:tcPr>
            <w:tcW w:w="951" w:type="pct"/>
            <w:tcBorders>
              <w:left w:val="nil"/>
              <w:bottom w:val="single" w:sz="4" w:space="0" w:color="auto"/>
              <w:right w:val="nil"/>
            </w:tcBorders>
            <w:shd w:val="clear" w:color="auto" w:fill="auto"/>
            <w:noWrap/>
            <w:vAlign w:val="bottom"/>
          </w:tcPr>
          <w:p w14:paraId="4BD4061E" w14:textId="0F701D88" w:rsidR="00B44858" w:rsidRDefault="00B44858" w:rsidP="00314D3C">
            <w:pPr>
              <w:spacing w:after="120"/>
              <w:jc w:val="right"/>
              <w:rPr>
                <w:rFonts w:ascii="Calibri" w:hAnsi="Calibri" w:cs="Calibri"/>
                <w:bCs/>
                <w:sz w:val="16"/>
                <w:szCs w:val="16"/>
              </w:rPr>
            </w:pPr>
            <w:r>
              <w:rPr>
                <w:rFonts w:ascii="Calibri" w:hAnsi="Calibri" w:cs="Calibri"/>
                <w:bCs/>
                <w:sz w:val="16"/>
                <w:szCs w:val="16"/>
              </w:rPr>
              <w:t>(145.456)</w:t>
            </w:r>
          </w:p>
        </w:tc>
        <w:tc>
          <w:tcPr>
            <w:tcW w:w="85" w:type="pct"/>
            <w:tcBorders>
              <w:left w:val="nil"/>
              <w:bottom w:val="single" w:sz="4" w:space="0" w:color="auto"/>
              <w:right w:val="nil"/>
            </w:tcBorders>
            <w:shd w:val="clear" w:color="auto" w:fill="auto"/>
            <w:noWrap/>
            <w:vAlign w:val="bottom"/>
          </w:tcPr>
          <w:p w14:paraId="1FFB967A" w14:textId="77777777" w:rsidR="00B44858" w:rsidRPr="002E2B5B" w:rsidRDefault="00B44858" w:rsidP="00314D3C">
            <w:pPr>
              <w:spacing w:after="120"/>
              <w:rPr>
                <w:rFonts w:ascii="Calibri" w:hAnsi="Calibri" w:cs="Calibri"/>
                <w:b/>
                <w:sz w:val="16"/>
                <w:szCs w:val="16"/>
              </w:rPr>
            </w:pPr>
          </w:p>
        </w:tc>
      </w:tr>
      <w:tr w:rsidR="00314D3C" w:rsidRPr="002E2B5B" w14:paraId="465FE58D" w14:textId="77777777" w:rsidTr="00987B82">
        <w:trPr>
          <w:trHeight w:val="255"/>
        </w:trPr>
        <w:tc>
          <w:tcPr>
            <w:tcW w:w="2613" w:type="pct"/>
            <w:tcBorders>
              <w:top w:val="single" w:sz="4" w:space="0" w:color="auto"/>
              <w:left w:val="nil"/>
              <w:bottom w:val="single" w:sz="4" w:space="0" w:color="auto"/>
              <w:right w:val="nil"/>
            </w:tcBorders>
            <w:shd w:val="clear" w:color="auto" w:fill="auto"/>
            <w:noWrap/>
            <w:vAlign w:val="bottom"/>
          </w:tcPr>
          <w:p w14:paraId="616B6535" w14:textId="68BFC012" w:rsidR="00314D3C" w:rsidRPr="002E2B5B" w:rsidRDefault="00314D3C" w:rsidP="00314D3C">
            <w:pPr>
              <w:spacing w:after="120"/>
              <w:rPr>
                <w:rFonts w:ascii="Calibri" w:hAnsi="Calibri" w:cs="Calibri"/>
                <w:b/>
                <w:sz w:val="16"/>
                <w:szCs w:val="16"/>
              </w:rPr>
            </w:pPr>
            <w:r w:rsidRPr="002E2B5B">
              <w:rPr>
                <w:rFonts w:ascii="Calibri" w:hAnsi="Calibri" w:cs="Calibri"/>
                <w:b/>
                <w:sz w:val="16"/>
                <w:szCs w:val="16"/>
              </w:rPr>
              <w:t xml:space="preserve">SALDO DE CRÉDITO PREVIDENCIÁRIO EM </w:t>
            </w:r>
            <w:r>
              <w:rPr>
                <w:rFonts w:ascii="Calibri" w:hAnsi="Calibri" w:cs="Calibri"/>
                <w:b/>
                <w:sz w:val="16"/>
                <w:szCs w:val="16"/>
              </w:rPr>
              <w:t>3</w:t>
            </w:r>
            <w:r w:rsidR="00564A77">
              <w:rPr>
                <w:rFonts w:ascii="Calibri" w:hAnsi="Calibri" w:cs="Calibri"/>
                <w:b/>
                <w:sz w:val="16"/>
                <w:szCs w:val="16"/>
              </w:rPr>
              <w:t>0</w:t>
            </w:r>
            <w:r>
              <w:rPr>
                <w:rFonts w:ascii="Calibri" w:hAnsi="Calibri" w:cs="Calibri"/>
                <w:b/>
                <w:sz w:val="16"/>
                <w:szCs w:val="16"/>
              </w:rPr>
              <w:t>/0</w:t>
            </w:r>
            <w:r w:rsidR="00B44858">
              <w:rPr>
                <w:rFonts w:ascii="Calibri" w:hAnsi="Calibri" w:cs="Calibri"/>
                <w:b/>
                <w:sz w:val="16"/>
                <w:szCs w:val="16"/>
              </w:rPr>
              <w:t>9</w:t>
            </w:r>
            <w:r w:rsidRPr="002E2B5B">
              <w:rPr>
                <w:rFonts w:ascii="Calibri" w:hAnsi="Calibri" w:cs="Calibri"/>
                <w:b/>
                <w:sz w:val="16"/>
                <w:szCs w:val="16"/>
              </w:rPr>
              <w:t>/202</w:t>
            </w:r>
            <w:r>
              <w:rPr>
                <w:rFonts w:ascii="Calibri" w:hAnsi="Calibri" w:cs="Calibri"/>
                <w:b/>
                <w:sz w:val="16"/>
                <w:szCs w:val="16"/>
              </w:rPr>
              <w:t>2</w:t>
            </w:r>
          </w:p>
        </w:tc>
        <w:tc>
          <w:tcPr>
            <w:tcW w:w="339" w:type="pct"/>
            <w:tcBorders>
              <w:top w:val="single" w:sz="4" w:space="0" w:color="auto"/>
              <w:left w:val="nil"/>
              <w:bottom w:val="single" w:sz="4" w:space="0" w:color="auto"/>
              <w:right w:val="nil"/>
            </w:tcBorders>
            <w:shd w:val="clear" w:color="auto" w:fill="auto"/>
            <w:noWrap/>
            <w:vAlign w:val="bottom"/>
          </w:tcPr>
          <w:p w14:paraId="7016823C" w14:textId="77777777" w:rsidR="00314D3C" w:rsidRPr="002E2B5B" w:rsidRDefault="00314D3C" w:rsidP="00314D3C">
            <w:pPr>
              <w:spacing w:after="120"/>
              <w:rPr>
                <w:rFonts w:ascii="Calibri" w:hAnsi="Calibri" w:cs="Calibri"/>
                <w:b/>
                <w:sz w:val="16"/>
                <w:szCs w:val="16"/>
              </w:rPr>
            </w:pPr>
          </w:p>
        </w:tc>
        <w:tc>
          <w:tcPr>
            <w:tcW w:w="135" w:type="pct"/>
            <w:tcBorders>
              <w:top w:val="single" w:sz="4" w:space="0" w:color="auto"/>
              <w:left w:val="nil"/>
              <w:bottom w:val="single" w:sz="4" w:space="0" w:color="auto"/>
              <w:right w:val="nil"/>
            </w:tcBorders>
            <w:shd w:val="clear" w:color="auto" w:fill="auto"/>
            <w:noWrap/>
            <w:vAlign w:val="bottom"/>
          </w:tcPr>
          <w:p w14:paraId="2A8F2BCA" w14:textId="77777777" w:rsidR="00314D3C" w:rsidRPr="002E2B5B" w:rsidRDefault="00314D3C" w:rsidP="00314D3C">
            <w:pPr>
              <w:spacing w:after="120"/>
              <w:rPr>
                <w:rFonts w:ascii="Calibri" w:hAnsi="Calibri" w:cs="Calibri"/>
                <w:b/>
                <w:sz w:val="16"/>
                <w:szCs w:val="16"/>
              </w:rPr>
            </w:pPr>
          </w:p>
        </w:tc>
        <w:tc>
          <w:tcPr>
            <w:tcW w:w="876" w:type="pct"/>
            <w:tcBorders>
              <w:top w:val="single" w:sz="4" w:space="0" w:color="auto"/>
              <w:left w:val="nil"/>
              <w:bottom w:val="single" w:sz="4" w:space="0" w:color="auto"/>
              <w:right w:val="nil"/>
            </w:tcBorders>
            <w:vAlign w:val="bottom"/>
          </w:tcPr>
          <w:p w14:paraId="518F9EC0" w14:textId="77777777" w:rsidR="00314D3C" w:rsidRPr="002E2B5B" w:rsidRDefault="00314D3C" w:rsidP="00314D3C">
            <w:pPr>
              <w:spacing w:after="120"/>
              <w:jc w:val="right"/>
              <w:rPr>
                <w:rFonts w:ascii="Calibri" w:hAnsi="Calibri" w:cs="Calibri"/>
                <w:b/>
                <w:sz w:val="16"/>
                <w:szCs w:val="16"/>
              </w:rPr>
            </w:pPr>
          </w:p>
        </w:tc>
        <w:tc>
          <w:tcPr>
            <w:tcW w:w="951" w:type="pct"/>
            <w:tcBorders>
              <w:top w:val="single" w:sz="4" w:space="0" w:color="auto"/>
              <w:left w:val="nil"/>
              <w:bottom w:val="single" w:sz="4" w:space="0" w:color="auto"/>
              <w:right w:val="nil"/>
            </w:tcBorders>
            <w:shd w:val="clear" w:color="auto" w:fill="auto"/>
            <w:noWrap/>
            <w:vAlign w:val="bottom"/>
          </w:tcPr>
          <w:p w14:paraId="0DCA18B3" w14:textId="45CBB69D" w:rsidR="00314D3C" w:rsidRPr="002E2B5B" w:rsidRDefault="00B44858" w:rsidP="00314D3C">
            <w:pPr>
              <w:spacing w:after="120"/>
              <w:jc w:val="right"/>
              <w:rPr>
                <w:rFonts w:ascii="Calibri" w:hAnsi="Calibri" w:cs="Calibri"/>
                <w:b/>
                <w:sz w:val="16"/>
                <w:szCs w:val="16"/>
              </w:rPr>
            </w:pPr>
            <w:r>
              <w:rPr>
                <w:rFonts w:ascii="Calibri" w:hAnsi="Calibri" w:cs="Calibri"/>
                <w:b/>
                <w:sz w:val="16"/>
                <w:szCs w:val="16"/>
              </w:rPr>
              <w:t>296.225</w:t>
            </w:r>
          </w:p>
        </w:tc>
        <w:tc>
          <w:tcPr>
            <w:tcW w:w="85" w:type="pct"/>
            <w:tcBorders>
              <w:top w:val="single" w:sz="4" w:space="0" w:color="auto"/>
              <w:left w:val="nil"/>
              <w:bottom w:val="single" w:sz="4" w:space="0" w:color="auto"/>
              <w:right w:val="nil"/>
            </w:tcBorders>
            <w:shd w:val="clear" w:color="auto" w:fill="auto"/>
            <w:noWrap/>
            <w:vAlign w:val="bottom"/>
          </w:tcPr>
          <w:p w14:paraId="1D22428D" w14:textId="77777777" w:rsidR="00314D3C" w:rsidRPr="002E2B5B" w:rsidRDefault="00314D3C" w:rsidP="00314D3C">
            <w:pPr>
              <w:spacing w:after="120"/>
              <w:rPr>
                <w:rFonts w:ascii="Calibri" w:hAnsi="Calibri" w:cs="Calibri"/>
                <w:b/>
                <w:sz w:val="16"/>
                <w:szCs w:val="16"/>
              </w:rPr>
            </w:pPr>
          </w:p>
        </w:tc>
      </w:tr>
    </w:tbl>
    <w:p w14:paraId="4C29FD13" w14:textId="62D5C86A" w:rsidR="00D52821" w:rsidRPr="002E2B5B" w:rsidRDefault="00404FDE" w:rsidP="000B3A75">
      <w:pPr>
        <w:spacing w:before="120" w:after="120"/>
        <w:jc w:val="both"/>
        <w:rPr>
          <w:rFonts w:ascii="Calibri" w:hAnsi="Calibri" w:cs="Calibri"/>
          <w:sz w:val="22"/>
          <w:szCs w:val="22"/>
        </w:rPr>
      </w:pPr>
      <w:r w:rsidRPr="002E2B5B">
        <w:rPr>
          <w:rFonts w:ascii="Calibri" w:hAnsi="Calibri" w:cs="Calibri"/>
          <w:sz w:val="22"/>
          <w:szCs w:val="22"/>
        </w:rPr>
        <w:t>Os créditos previdenciários est</w:t>
      </w:r>
      <w:r w:rsidR="009D7492">
        <w:rPr>
          <w:rFonts w:ascii="Calibri" w:hAnsi="Calibri" w:cs="Calibri"/>
          <w:sz w:val="22"/>
          <w:szCs w:val="22"/>
        </w:rPr>
        <w:t>avam</w:t>
      </w:r>
      <w:r w:rsidR="00C535B0" w:rsidRPr="002E2B5B">
        <w:rPr>
          <w:rFonts w:ascii="Calibri" w:hAnsi="Calibri" w:cs="Calibri"/>
          <w:sz w:val="22"/>
          <w:szCs w:val="22"/>
        </w:rPr>
        <w:t xml:space="preserve"> </w:t>
      </w:r>
      <w:r w:rsidRPr="002E2B5B">
        <w:rPr>
          <w:rFonts w:ascii="Calibri" w:hAnsi="Calibri" w:cs="Calibri"/>
          <w:sz w:val="22"/>
          <w:szCs w:val="22"/>
        </w:rPr>
        <w:t xml:space="preserve">sendo compensados nas guias de pagamentos do INSS referentes às folhas de pagamentos da </w:t>
      </w:r>
      <w:r w:rsidR="00D60F6A">
        <w:rPr>
          <w:rFonts w:ascii="Calibri" w:hAnsi="Calibri" w:cs="Calibri"/>
          <w:sz w:val="22"/>
          <w:szCs w:val="22"/>
        </w:rPr>
        <w:t>Infra</w:t>
      </w:r>
      <w:r w:rsidR="00B406C5">
        <w:rPr>
          <w:rFonts w:ascii="Calibri" w:hAnsi="Calibri" w:cs="Calibri"/>
          <w:sz w:val="22"/>
          <w:szCs w:val="22"/>
        </w:rPr>
        <w:t xml:space="preserve"> S.A.</w:t>
      </w:r>
      <w:r w:rsidRPr="002E2B5B">
        <w:rPr>
          <w:rFonts w:ascii="Calibri" w:hAnsi="Calibri" w:cs="Calibri"/>
          <w:sz w:val="22"/>
          <w:szCs w:val="22"/>
        </w:rPr>
        <w:t xml:space="preserve"> e das extintas empresas Rede Ferroviária Federal S/A – RFFSA e Empresa Brasileira de Planejamento de Transportes – GEIPOT</w:t>
      </w:r>
      <w:r w:rsidR="0052637A" w:rsidRPr="002E2B5B">
        <w:rPr>
          <w:rFonts w:ascii="Calibri" w:hAnsi="Calibri" w:cs="Calibri"/>
          <w:sz w:val="22"/>
          <w:szCs w:val="22"/>
        </w:rPr>
        <w:t>.</w:t>
      </w:r>
    </w:p>
    <w:p w14:paraId="5C350B96" w14:textId="574EF09A" w:rsidR="00F0767F" w:rsidRPr="002E2B5B" w:rsidRDefault="005D16F5" w:rsidP="00937ED9">
      <w:pPr>
        <w:spacing w:after="120"/>
        <w:jc w:val="both"/>
        <w:rPr>
          <w:rFonts w:ascii="Calibri" w:hAnsi="Calibri" w:cs="Calibri"/>
          <w:sz w:val="22"/>
          <w:szCs w:val="22"/>
        </w:rPr>
      </w:pPr>
      <w:r w:rsidRPr="002E2B5B">
        <w:rPr>
          <w:rFonts w:ascii="Calibri" w:hAnsi="Calibri" w:cs="Calibri"/>
          <w:sz w:val="22"/>
          <w:szCs w:val="22"/>
        </w:rPr>
        <w:t xml:space="preserve">No final do segundo trimestre de 2019, </w:t>
      </w:r>
      <w:r w:rsidR="0034767A" w:rsidRPr="002E2B5B">
        <w:rPr>
          <w:rFonts w:ascii="Calibri" w:hAnsi="Calibri" w:cs="Calibri"/>
          <w:sz w:val="22"/>
          <w:szCs w:val="22"/>
        </w:rPr>
        <w:t>houve a suspensão das compensações de créditos previdenciários</w:t>
      </w:r>
      <w:r w:rsidR="009D7492">
        <w:rPr>
          <w:rFonts w:ascii="Calibri" w:hAnsi="Calibri" w:cs="Calibri"/>
          <w:sz w:val="22"/>
          <w:szCs w:val="22"/>
        </w:rPr>
        <w:t xml:space="preserve"> </w:t>
      </w:r>
      <w:r w:rsidR="009D7492" w:rsidRPr="009D7492">
        <w:rPr>
          <w:rFonts w:ascii="Calibri" w:hAnsi="Calibri" w:cs="Calibri"/>
          <w:sz w:val="22"/>
          <w:szCs w:val="22"/>
        </w:rPr>
        <w:t>aguardando posicionamento da Receita Federal do Brasil quanto à legalidade desse crédito.</w:t>
      </w:r>
    </w:p>
    <w:p w14:paraId="0A067ADF" w14:textId="7F90C77C" w:rsidR="009D7492" w:rsidRPr="009D7492" w:rsidRDefault="009D7492" w:rsidP="009D7492">
      <w:pPr>
        <w:spacing w:after="120"/>
        <w:jc w:val="both"/>
        <w:rPr>
          <w:rFonts w:ascii="Calibri" w:hAnsi="Calibri" w:cs="Calibri"/>
          <w:sz w:val="22"/>
          <w:szCs w:val="22"/>
        </w:rPr>
      </w:pPr>
      <w:r w:rsidRPr="009D7492">
        <w:rPr>
          <w:rFonts w:ascii="Calibri" w:hAnsi="Calibri" w:cs="Calibri"/>
          <w:sz w:val="22"/>
          <w:szCs w:val="22"/>
        </w:rPr>
        <w:t>Por esses motivos o cronograma então vigente não foi observado, assim, em dezembro de 2020, após consulta à Superintendência de Gestão de Pessoas (SUGEP), verificou-se que seria necessário realizar uma baixa por prescrição do direito a recuperar no valor de R$ 16 milhões do saldo de INSS A COMPENSAR, restando como saldo a compensar o valor de R$ 1,6 milhão</w:t>
      </w:r>
      <w:r w:rsidR="003058AD">
        <w:rPr>
          <w:rFonts w:ascii="Calibri" w:hAnsi="Calibri" w:cs="Calibri"/>
          <w:sz w:val="22"/>
          <w:szCs w:val="22"/>
        </w:rPr>
        <w:t xml:space="preserve">, </w:t>
      </w:r>
      <w:r w:rsidR="003058AD" w:rsidRPr="002E2B5B">
        <w:rPr>
          <w:rFonts w:ascii="Calibri" w:hAnsi="Calibri" w:cs="Calibri"/>
          <w:sz w:val="22"/>
          <w:szCs w:val="22"/>
        </w:rPr>
        <w:t>o qua</w:t>
      </w:r>
      <w:r w:rsidR="003058AD">
        <w:rPr>
          <w:rFonts w:ascii="Calibri" w:hAnsi="Calibri" w:cs="Calibri"/>
          <w:sz w:val="22"/>
          <w:szCs w:val="22"/>
        </w:rPr>
        <w:t xml:space="preserve">l </w:t>
      </w:r>
      <w:r w:rsidR="003058AD" w:rsidRPr="00233E70">
        <w:rPr>
          <w:rFonts w:ascii="Calibri" w:hAnsi="Calibri" w:cs="Calibri"/>
          <w:sz w:val="22"/>
          <w:szCs w:val="22"/>
        </w:rPr>
        <w:t>está sendo baixado proporcionalmente à medida que os créditos prescrevem.</w:t>
      </w:r>
    </w:p>
    <w:p w14:paraId="33B5557B" w14:textId="7E241C65" w:rsidR="009D7492" w:rsidRDefault="00461767" w:rsidP="009D7492">
      <w:pPr>
        <w:spacing w:after="120"/>
        <w:jc w:val="both"/>
        <w:rPr>
          <w:rFonts w:ascii="Calibri" w:hAnsi="Calibri" w:cs="Calibri"/>
          <w:sz w:val="22"/>
          <w:szCs w:val="22"/>
        </w:rPr>
      </w:pPr>
      <w:r>
        <w:rPr>
          <w:rFonts w:ascii="Calibri" w:hAnsi="Calibri" w:cs="Calibri"/>
          <w:sz w:val="22"/>
          <w:szCs w:val="22"/>
        </w:rPr>
        <w:t xml:space="preserve">Até o </w:t>
      </w:r>
      <w:r w:rsidR="000659B3">
        <w:rPr>
          <w:rFonts w:ascii="Calibri" w:hAnsi="Calibri" w:cs="Calibri"/>
          <w:sz w:val="22"/>
          <w:szCs w:val="22"/>
        </w:rPr>
        <w:t>3</w:t>
      </w:r>
      <w:r w:rsidR="00314D3C">
        <w:rPr>
          <w:rFonts w:ascii="Calibri" w:hAnsi="Calibri" w:cs="Calibri"/>
          <w:sz w:val="22"/>
          <w:szCs w:val="22"/>
        </w:rPr>
        <w:t>º</w:t>
      </w:r>
      <w:r w:rsidR="009D7492" w:rsidRPr="009D7492">
        <w:rPr>
          <w:rFonts w:ascii="Calibri" w:hAnsi="Calibri" w:cs="Calibri"/>
          <w:sz w:val="22"/>
          <w:szCs w:val="22"/>
        </w:rPr>
        <w:t xml:space="preserve"> trimestre de 2022, foi prescrito o valor de </w:t>
      </w:r>
      <w:r w:rsidR="00314D3C">
        <w:rPr>
          <w:rFonts w:ascii="Calibri" w:hAnsi="Calibri" w:cs="Calibri"/>
          <w:sz w:val="22"/>
          <w:szCs w:val="22"/>
        </w:rPr>
        <w:t xml:space="preserve">R$ </w:t>
      </w:r>
      <w:r w:rsidR="000659B3">
        <w:rPr>
          <w:rFonts w:ascii="Calibri" w:hAnsi="Calibri" w:cs="Calibri"/>
          <w:sz w:val="22"/>
          <w:szCs w:val="22"/>
        </w:rPr>
        <w:t>476</w:t>
      </w:r>
      <w:r w:rsidR="00314D3C">
        <w:rPr>
          <w:rFonts w:ascii="Calibri" w:hAnsi="Calibri" w:cs="Calibri"/>
          <w:sz w:val="22"/>
          <w:szCs w:val="22"/>
        </w:rPr>
        <w:t xml:space="preserve"> mil</w:t>
      </w:r>
      <w:r w:rsidR="009D7492" w:rsidRPr="009D7492">
        <w:rPr>
          <w:rFonts w:ascii="Calibri" w:hAnsi="Calibri" w:cs="Calibri"/>
          <w:sz w:val="22"/>
          <w:szCs w:val="22"/>
        </w:rPr>
        <w:t xml:space="preserve"> e deduzido do saldo de INSS a Compensar, restando como saldo a compensar o valor de R$ </w:t>
      </w:r>
      <w:r w:rsidR="000659B3">
        <w:rPr>
          <w:rFonts w:ascii="Calibri" w:hAnsi="Calibri" w:cs="Calibri"/>
          <w:sz w:val="22"/>
          <w:szCs w:val="22"/>
        </w:rPr>
        <w:t>296</w:t>
      </w:r>
      <w:r w:rsidR="009D7492" w:rsidRPr="009D7492">
        <w:rPr>
          <w:rFonts w:ascii="Calibri" w:hAnsi="Calibri" w:cs="Calibri"/>
          <w:sz w:val="22"/>
          <w:szCs w:val="22"/>
        </w:rPr>
        <w:t xml:space="preserve"> mil em 3</w:t>
      </w:r>
      <w:r>
        <w:rPr>
          <w:rFonts w:ascii="Calibri" w:hAnsi="Calibri" w:cs="Calibri"/>
          <w:sz w:val="22"/>
          <w:szCs w:val="22"/>
        </w:rPr>
        <w:t>0</w:t>
      </w:r>
      <w:r w:rsidR="009D7492" w:rsidRPr="009D7492">
        <w:rPr>
          <w:rFonts w:ascii="Calibri" w:hAnsi="Calibri" w:cs="Calibri"/>
          <w:sz w:val="22"/>
          <w:szCs w:val="22"/>
        </w:rPr>
        <w:t xml:space="preserve"> de </w:t>
      </w:r>
      <w:r w:rsidR="000659B3">
        <w:rPr>
          <w:rFonts w:ascii="Calibri" w:hAnsi="Calibri" w:cs="Calibri"/>
          <w:sz w:val="22"/>
          <w:szCs w:val="22"/>
        </w:rPr>
        <w:t>setembr</w:t>
      </w:r>
      <w:r w:rsidR="009D7492" w:rsidRPr="009D7492">
        <w:rPr>
          <w:rFonts w:ascii="Calibri" w:hAnsi="Calibri" w:cs="Calibri"/>
          <w:sz w:val="22"/>
          <w:szCs w:val="22"/>
        </w:rPr>
        <w:t>o de 2022.</w:t>
      </w:r>
    </w:p>
    <w:p w14:paraId="7C001EE1" w14:textId="55155474" w:rsidR="00C93801" w:rsidRDefault="00C93801" w:rsidP="00937ED9">
      <w:pPr>
        <w:numPr>
          <w:ilvl w:val="0"/>
          <w:numId w:val="10"/>
        </w:numPr>
        <w:spacing w:after="120"/>
        <w:ind w:left="284" w:hanging="284"/>
        <w:rPr>
          <w:rFonts w:ascii="Calibri" w:hAnsi="Calibri" w:cs="Calibri"/>
          <w:b/>
          <w:sz w:val="22"/>
          <w:szCs w:val="22"/>
        </w:rPr>
      </w:pPr>
      <w:r w:rsidRPr="002B0FF5">
        <w:rPr>
          <w:rFonts w:ascii="Calibri" w:hAnsi="Calibri" w:cs="Calibri"/>
          <w:b/>
          <w:sz w:val="22"/>
          <w:szCs w:val="22"/>
        </w:rPr>
        <w:t xml:space="preserve">Termos de Execução Descentralizada (TED) </w:t>
      </w:r>
    </w:p>
    <w:p w14:paraId="1EDD1586" w14:textId="62549458" w:rsidR="00643935" w:rsidRDefault="00246D27" w:rsidP="00CE2185">
      <w:pPr>
        <w:widowControl w:val="0"/>
        <w:tabs>
          <w:tab w:val="left" w:pos="709"/>
        </w:tabs>
        <w:spacing w:after="120" w:line="276" w:lineRule="auto"/>
        <w:jc w:val="both"/>
        <w:rPr>
          <w:rFonts w:ascii="Calibri" w:hAnsi="Calibri" w:cs="Calibri"/>
          <w:sz w:val="22"/>
          <w:szCs w:val="22"/>
        </w:rPr>
      </w:pPr>
      <w:r w:rsidRPr="00246D27">
        <w:rPr>
          <w:rFonts w:ascii="Calibri" w:hAnsi="Calibri" w:cs="Calibri"/>
          <w:sz w:val="22"/>
          <w:szCs w:val="22"/>
        </w:rPr>
        <w:t xml:space="preserve">Os Termos de Execução Descentralizada celebrados entre a </w:t>
      </w:r>
      <w:r w:rsidR="00207539">
        <w:rPr>
          <w:rFonts w:ascii="Calibri" w:hAnsi="Calibri" w:cs="Calibri"/>
          <w:sz w:val="22"/>
          <w:szCs w:val="22"/>
        </w:rPr>
        <w:t>Infra S.A.</w:t>
      </w:r>
      <w:r w:rsidRPr="00246D27">
        <w:rPr>
          <w:rFonts w:ascii="Calibri" w:hAnsi="Calibri" w:cs="Calibri"/>
          <w:sz w:val="22"/>
          <w:szCs w:val="22"/>
        </w:rPr>
        <w:t xml:space="preserve"> e órgãos vinculados à União para execução de serviços de interesse </w:t>
      </w:r>
      <w:r w:rsidR="009E7AA5">
        <w:rPr>
          <w:rFonts w:ascii="Calibri" w:hAnsi="Calibri" w:cs="Calibri"/>
          <w:sz w:val="22"/>
          <w:szCs w:val="22"/>
        </w:rPr>
        <w:t>público</w:t>
      </w:r>
      <w:r w:rsidRPr="00246D27">
        <w:rPr>
          <w:rFonts w:ascii="Calibri" w:hAnsi="Calibri" w:cs="Calibri"/>
          <w:sz w:val="22"/>
          <w:szCs w:val="22"/>
        </w:rPr>
        <w:t>, com valor a comprovar em 30 de setembro de 2022, são:</w:t>
      </w:r>
    </w:p>
    <w:tbl>
      <w:tblPr>
        <w:tblW w:w="5000" w:type="pct"/>
        <w:tblCellMar>
          <w:left w:w="70" w:type="dxa"/>
          <w:right w:w="70" w:type="dxa"/>
        </w:tblCellMar>
        <w:tblLook w:val="04A0" w:firstRow="1" w:lastRow="0" w:firstColumn="1" w:lastColumn="0" w:noHBand="0" w:noVBand="1"/>
      </w:tblPr>
      <w:tblGrid>
        <w:gridCol w:w="1576"/>
        <w:gridCol w:w="940"/>
        <w:gridCol w:w="4821"/>
        <w:gridCol w:w="1005"/>
        <w:gridCol w:w="2125"/>
      </w:tblGrid>
      <w:tr w:rsidR="00246D27" w14:paraId="429BA9F1" w14:textId="77777777" w:rsidTr="007D40EC">
        <w:trPr>
          <w:trHeight w:hRule="exact" w:val="465"/>
        </w:trPr>
        <w:tc>
          <w:tcPr>
            <w:tcW w:w="753" w:type="pct"/>
            <w:tcBorders>
              <w:top w:val="nil"/>
              <w:left w:val="nil"/>
              <w:bottom w:val="single" w:sz="8" w:space="0" w:color="auto"/>
              <w:right w:val="nil"/>
            </w:tcBorders>
            <w:shd w:val="clear" w:color="auto" w:fill="auto"/>
            <w:noWrap/>
            <w:vAlign w:val="center"/>
            <w:hideMark/>
          </w:tcPr>
          <w:p w14:paraId="29D423DD" w14:textId="77777777" w:rsidR="00246D27" w:rsidRDefault="00246D27" w:rsidP="007D40EC">
            <w:pPr>
              <w:rPr>
                <w:rFonts w:ascii="Calibri" w:hAnsi="Calibri" w:cs="Calibri"/>
                <w:b/>
                <w:bCs/>
                <w:color w:val="000000"/>
                <w:sz w:val="16"/>
                <w:szCs w:val="16"/>
              </w:rPr>
            </w:pPr>
            <w:r>
              <w:rPr>
                <w:rFonts w:ascii="Calibri" w:hAnsi="Calibri" w:cs="Calibri"/>
                <w:b/>
                <w:bCs/>
                <w:color w:val="000000"/>
                <w:sz w:val="16"/>
                <w:szCs w:val="16"/>
              </w:rPr>
              <w:t>Nº TED</w:t>
            </w:r>
          </w:p>
        </w:tc>
        <w:tc>
          <w:tcPr>
            <w:tcW w:w="449" w:type="pct"/>
            <w:tcBorders>
              <w:top w:val="nil"/>
              <w:left w:val="nil"/>
              <w:bottom w:val="single" w:sz="8" w:space="0" w:color="auto"/>
              <w:right w:val="nil"/>
            </w:tcBorders>
            <w:shd w:val="clear" w:color="auto" w:fill="auto"/>
            <w:noWrap/>
            <w:vAlign w:val="center"/>
            <w:hideMark/>
          </w:tcPr>
          <w:p w14:paraId="4A70B0C6" w14:textId="77777777" w:rsidR="00246D27" w:rsidRDefault="00246D27" w:rsidP="00246D27">
            <w:pPr>
              <w:jc w:val="center"/>
              <w:rPr>
                <w:rFonts w:ascii="Calibri" w:hAnsi="Calibri" w:cs="Calibri"/>
                <w:b/>
                <w:bCs/>
                <w:color w:val="000000"/>
                <w:sz w:val="16"/>
                <w:szCs w:val="16"/>
              </w:rPr>
            </w:pPr>
            <w:r>
              <w:rPr>
                <w:rFonts w:ascii="Calibri" w:hAnsi="Calibri" w:cs="Calibri"/>
                <w:b/>
                <w:bCs/>
                <w:color w:val="000000"/>
                <w:sz w:val="16"/>
                <w:szCs w:val="16"/>
              </w:rPr>
              <w:t>SIAFI</w:t>
            </w:r>
          </w:p>
        </w:tc>
        <w:tc>
          <w:tcPr>
            <w:tcW w:w="2303" w:type="pct"/>
            <w:tcBorders>
              <w:top w:val="nil"/>
              <w:left w:val="nil"/>
              <w:bottom w:val="single" w:sz="8" w:space="0" w:color="auto"/>
              <w:right w:val="nil"/>
            </w:tcBorders>
            <w:shd w:val="clear" w:color="auto" w:fill="auto"/>
            <w:noWrap/>
            <w:vAlign w:val="center"/>
            <w:hideMark/>
          </w:tcPr>
          <w:p w14:paraId="603A6D73" w14:textId="77777777" w:rsidR="00246D27" w:rsidRDefault="00246D27" w:rsidP="007D40EC">
            <w:pPr>
              <w:rPr>
                <w:rFonts w:ascii="Calibri" w:hAnsi="Calibri" w:cs="Calibri"/>
                <w:b/>
                <w:bCs/>
                <w:color w:val="000000"/>
                <w:sz w:val="16"/>
                <w:szCs w:val="16"/>
              </w:rPr>
            </w:pPr>
            <w:r>
              <w:rPr>
                <w:rFonts w:ascii="Calibri" w:hAnsi="Calibri" w:cs="Calibri"/>
                <w:b/>
                <w:bCs/>
                <w:color w:val="000000"/>
                <w:sz w:val="16"/>
                <w:szCs w:val="16"/>
              </w:rPr>
              <w:t>ÓRGÃO</w:t>
            </w:r>
          </w:p>
        </w:tc>
        <w:tc>
          <w:tcPr>
            <w:tcW w:w="480" w:type="pct"/>
            <w:tcBorders>
              <w:top w:val="nil"/>
              <w:left w:val="nil"/>
              <w:bottom w:val="single" w:sz="8" w:space="0" w:color="auto"/>
              <w:right w:val="nil"/>
            </w:tcBorders>
            <w:shd w:val="clear" w:color="auto" w:fill="auto"/>
            <w:vAlign w:val="center"/>
            <w:hideMark/>
          </w:tcPr>
          <w:p w14:paraId="3C85C698" w14:textId="77777777" w:rsidR="00246D27" w:rsidRDefault="00246D27" w:rsidP="007D40EC">
            <w:pPr>
              <w:jc w:val="right"/>
              <w:rPr>
                <w:rFonts w:ascii="Calibri" w:hAnsi="Calibri" w:cs="Calibri"/>
                <w:b/>
                <w:bCs/>
                <w:color w:val="000000"/>
                <w:sz w:val="16"/>
                <w:szCs w:val="16"/>
              </w:rPr>
            </w:pPr>
            <w:r>
              <w:rPr>
                <w:rFonts w:ascii="Calibri" w:hAnsi="Calibri" w:cs="Calibri"/>
                <w:b/>
                <w:bCs/>
                <w:color w:val="000000"/>
                <w:sz w:val="16"/>
                <w:szCs w:val="16"/>
              </w:rPr>
              <w:t>VIGÊNCIA</w:t>
            </w:r>
          </w:p>
        </w:tc>
        <w:tc>
          <w:tcPr>
            <w:tcW w:w="1015" w:type="pct"/>
            <w:tcBorders>
              <w:top w:val="nil"/>
              <w:left w:val="nil"/>
              <w:bottom w:val="single" w:sz="8" w:space="0" w:color="auto"/>
              <w:right w:val="nil"/>
            </w:tcBorders>
            <w:shd w:val="clear" w:color="auto" w:fill="auto"/>
            <w:vAlign w:val="center"/>
            <w:hideMark/>
          </w:tcPr>
          <w:p w14:paraId="73208BAF" w14:textId="77777777" w:rsidR="00246D27" w:rsidRDefault="00246D27" w:rsidP="007D40EC">
            <w:pPr>
              <w:jc w:val="right"/>
              <w:rPr>
                <w:rFonts w:ascii="Calibri" w:hAnsi="Calibri" w:cs="Calibri"/>
                <w:b/>
                <w:bCs/>
                <w:color w:val="000000"/>
                <w:sz w:val="16"/>
                <w:szCs w:val="16"/>
              </w:rPr>
            </w:pPr>
            <w:r>
              <w:rPr>
                <w:rFonts w:ascii="Calibri" w:hAnsi="Calibri" w:cs="Calibri"/>
                <w:b/>
                <w:bCs/>
                <w:color w:val="000000"/>
                <w:sz w:val="16"/>
                <w:szCs w:val="16"/>
              </w:rPr>
              <w:t>VALOR A COMPROVAR</w:t>
            </w:r>
          </w:p>
        </w:tc>
      </w:tr>
      <w:tr w:rsidR="00246D27" w14:paraId="5CE66800" w14:textId="77777777" w:rsidTr="007D40EC">
        <w:trPr>
          <w:trHeight w:val="300"/>
        </w:trPr>
        <w:tc>
          <w:tcPr>
            <w:tcW w:w="753" w:type="pct"/>
            <w:tcBorders>
              <w:top w:val="nil"/>
              <w:left w:val="nil"/>
              <w:bottom w:val="nil"/>
              <w:right w:val="nil"/>
            </w:tcBorders>
            <w:shd w:val="clear" w:color="auto" w:fill="auto"/>
            <w:noWrap/>
            <w:vAlign w:val="center"/>
            <w:hideMark/>
          </w:tcPr>
          <w:p w14:paraId="68D355A5"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003/2013</w:t>
            </w:r>
          </w:p>
        </w:tc>
        <w:tc>
          <w:tcPr>
            <w:tcW w:w="449" w:type="pct"/>
            <w:tcBorders>
              <w:top w:val="nil"/>
              <w:left w:val="nil"/>
              <w:bottom w:val="nil"/>
              <w:right w:val="nil"/>
            </w:tcBorders>
            <w:shd w:val="clear" w:color="auto" w:fill="auto"/>
            <w:noWrap/>
            <w:vAlign w:val="center"/>
            <w:hideMark/>
          </w:tcPr>
          <w:p w14:paraId="0E8985A5" w14:textId="77777777" w:rsidR="00246D27" w:rsidRDefault="00246D27" w:rsidP="00246D27">
            <w:pPr>
              <w:jc w:val="center"/>
              <w:rPr>
                <w:rFonts w:ascii="Calibri" w:hAnsi="Calibri" w:cs="Calibri"/>
                <w:color w:val="000000"/>
                <w:sz w:val="16"/>
                <w:szCs w:val="16"/>
              </w:rPr>
            </w:pPr>
            <w:r>
              <w:rPr>
                <w:rFonts w:ascii="Calibri" w:hAnsi="Calibri" w:cs="Calibri"/>
                <w:color w:val="000000"/>
                <w:sz w:val="16"/>
                <w:szCs w:val="16"/>
              </w:rPr>
              <w:t>690654</w:t>
            </w:r>
          </w:p>
        </w:tc>
        <w:tc>
          <w:tcPr>
            <w:tcW w:w="2303" w:type="pct"/>
            <w:tcBorders>
              <w:top w:val="nil"/>
              <w:left w:val="nil"/>
              <w:bottom w:val="nil"/>
              <w:right w:val="nil"/>
            </w:tcBorders>
            <w:shd w:val="clear" w:color="auto" w:fill="auto"/>
            <w:noWrap/>
            <w:vAlign w:val="center"/>
            <w:hideMark/>
          </w:tcPr>
          <w:p w14:paraId="4CD8B13B"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CBTU</w:t>
            </w:r>
          </w:p>
        </w:tc>
        <w:tc>
          <w:tcPr>
            <w:tcW w:w="480" w:type="pct"/>
            <w:tcBorders>
              <w:top w:val="nil"/>
              <w:left w:val="nil"/>
              <w:bottom w:val="nil"/>
              <w:right w:val="nil"/>
            </w:tcBorders>
            <w:shd w:val="clear" w:color="auto" w:fill="auto"/>
            <w:noWrap/>
            <w:vAlign w:val="center"/>
            <w:hideMark/>
          </w:tcPr>
          <w:p w14:paraId="3013F74E" w14:textId="77777777"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mar/21</w:t>
            </w:r>
          </w:p>
        </w:tc>
        <w:tc>
          <w:tcPr>
            <w:tcW w:w="1015" w:type="pct"/>
            <w:tcBorders>
              <w:top w:val="nil"/>
              <w:left w:val="nil"/>
              <w:bottom w:val="nil"/>
              <w:right w:val="nil"/>
            </w:tcBorders>
            <w:shd w:val="clear" w:color="auto" w:fill="auto"/>
            <w:noWrap/>
            <w:vAlign w:val="center"/>
            <w:hideMark/>
          </w:tcPr>
          <w:p w14:paraId="09034122" w14:textId="5464B525"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71.948</w:t>
            </w:r>
          </w:p>
        </w:tc>
      </w:tr>
      <w:tr w:rsidR="00246D27" w14:paraId="7E05AD23" w14:textId="77777777" w:rsidTr="007D40EC">
        <w:trPr>
          <w:trHeight w:val="300"/>
        </w:trPr>
        <w:tc>
          <w:tcPr>
            <w:tcW w:w="753" w:type="pct"/>
            <w:tcBorders>
              <w:top w:val="nil"/>
              <w:left w:val="nil"/>
              <w:bottom w:val="nil"/>
              <w:right w:val="nil"/>
            </w:tcBorders>
            <w:shd w:val="clear" w:color="auto" w:fill="auto"/>
            <w:noWrap/>
            <w:vAlign w:val="center"/>
            <w:hideMark/>
          </w:tcPr>
          <w:p w14:paraId="0E30C01D"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001/2020</w:t>
            </w:r>
          </w:p>
        </w:tc>
        <w:tc>
          <w:tcPr>
            <w:tcW w:w="449" w:type="pct"/>
            <w:tcBorders>
              <w:top w:val="nil"/>
              <w:left w:val="nil"/>
              <w:bottom w:val="nil"/>
              <w:right w:val="nil"/>
            </w:tcBorders>
            <w:shd w:val="clear" w:color="auto" w:fill="auto"/>
            <w:noWrap/>
            <w:vAlign w:val="center"/>
            <w:hideMark/>
          </w:tcPr>
          <w:p w14:paraId="7F46D287" w14:textId="77777777" w:rsidR="00246D27" w:rsidRDefault="00246D27" w:rsidP="00246D27">
            <w:pPr>
              <w:jc w:val="center"/>
              <w:rPr>
                <w:rFonts w:ascii="Calibri" w:hAnsi="Calibri" w:cs="Calibri"/>
                <w:color w:val="000000"/>
                <w:sz w:val="16"/>
                <w:szCs w:val="16"/>
              </w:rPr>
            </w:pPr>
            <w:r>
              <w:rPr>
                <w:rFonts w:ascii="Calibri" w:hAnsi="Calibri" w:cs="Calibri"/>
                <w:color w:val="000000"/>
                <w:sz w:val="16"/>
                <w:szCs w:val="16"/>
              </w:rPr>
              <w:t>1AABOM</w:t>
            </w:r>
          </w:p>
        </w:tc>
        <w:tc>
          <w:tcPr>
            <w:tcW w:w="2303" w:type="pct"/>
            <w:tcBorders>
              <w:top w:val="nil"/>
              <w:left w:val="nil"/>
              <w:bottom w:val="nil"/>
              <w:right w:val="nil"/>
            </w:tcBorders>
            <w:shd w:val="clear" w:color="auto" w:fill="auto"/>
            <w:noWrap/>
            <w:vAlign w:val="center"/>
            <w:hideMark/>
          </w:tcPr>
          <w:p w14:paraId="5B077582"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EXÉRCITO BRASILEIRO</w:t>
            </w:r>
          </w:p>
        </w:tc>
        <w:tc>
          <w:tcPr>
            <w:tcW w:w="480" w:type="pct"/>
            <w:tcBorders>
              <w:top w:val="nil"/>
              <w:left w:val="nil"/>
              <w:bottom w:val="nil"/>
              <w:right w:val="nil"/>
            </w:tcBorders>
            <w:shd w:val="clear" w:color="auto" w:fill="auto"/>
            <w:noWrap/>
            <w:vAlign w:val="center"/>
            <w:hideMark/>
          </w:tcPr>
          <w:p w14:paraId="4833EECB" w14:textId="77777777"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set/23</w:t>
            </w:r>
          </w:p>
        </w:tc>
        <w:tc>
          <w:tcPr>
            <w:tcW w:w="1015" w:type="pct"/>
            <w:tcBorders>
              <w:top w:val="nil"/>
              <w:left w:val="nil"/>
              <w:bottom w:val="nil"/>
              <w:right w:val="nil"/>
            </w:tcBorders>
            <w:shd w:val="clear" w:color="auto" w:fill="auto"/>
            <w:noWrap/>
            <w:vAlign w:val="center"/>
            <w:hideMark/>
          </w:tcPr>
          <w:p w14:paraId="0B5CB12C" w14:textId="0A2C16CD"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12.546.825</w:t>
            </w:r>
          </w:p>
        </w:tc>
      </w:tr>
      <w:tr w:rsidR="00246D27" w14:paraId="03308503" w14:textId="77777777" w:rsidTr="007D40EC">
        <w:trPr>
          <w:trHeight w:val="300"/>
        </w:trPr>
        <w:tc>
          <w:tcPr>
            <w:tcW w:w="753" w:type="pct"/>
            <w:tcBorders>
              <w:top w:val="nil"/>
              <w:left w:val="nil"/>
              <w:bottom w:val="nil"/>
              <w:right w:val="nil"/>
            </w:tcBorders>
            <w:shd w:val="clear" w:color="auto" w:fill="auto"/>
            <w:noWrap/>
            <w:vAlign w:val="center"/>
            <w:hideMark/>
          </w:tcPr>
          <w:p w14:paraId="3AD014D9"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002/2020</w:t>
            </w:r>
          </w:p>
        </w:tc>
        <w:tc>
          <w:tcPr>
            <w:tcW w:w="449" w:type="pct"/>
            <w:tcBorders>
              <w:top w:val="nil"/>
              <w:left w:val="nil"/>
              <w:bottom w:val="nil"/>
              <w:right w:val="nil"/>
            </w:tcBorders>
            <w:shd w:val="clear" w:color="auto" w:fill="auto"/>
            <w:noWrap/>
            <w:vAlign w:val="center"/>
            <w:hideMark/>
          </w:tcPr>
          <w:p w14:paraId="5BBC897E" w14:textId="77777777" w:rsidR="00246D27" w:rsidRDefault="00246D27" w:rsidP="00246D27">
            <w:pPr>
              <w:jc w:val="center"/>
              <w:rPr>
                <w:rFonts w:ascii="Calibri" w:hAnsi="Calibri" w:cs="Calibri"/>
                <w:color w:val="000000"/>
                <w:sz w:val="16"/>
                <w:szCs w:val="16"/>
              </w:rPr>
            </w:pPr>
            <w:r>
              <w:rPr>
                <w:rFonts w:ascii="Calibri" w:hAnsi="Calibri" w:cs="Calibri"/>
                <w:color w:val="000000"/>
                <w:sz w:val="16"/>
                <w:szCs w:val="16"/>
              </w:rPr>
              <w:t>1AADXR</w:t>
            </w:r>
          </w:p>
        </w:tc>
        <w:tc>
          <w:tcPr>
            <w:tcW w:w="2303" w:type="pct"/>
            <w:tcBorders>
              <w:top w:val="nil"/>
              <w:left w:val="nil"/>
              <w:bottom w:val="nil"/>
              <w:right w:val="nil"/>
            </w:tcBorders>
            <w:shd w:val="clear" w:color="auto" w:fill="auto"/>
            <w:noWrap/>
            <w:vAlign w:val="center"/>
            <w:hideMark/>
          </w:tcPr>
          <w:p w14:paraId="6AF39D9B"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Univ. de Brasília</w:t>
            </w:r>
          </w:p>
        </w:tc>
        <w:tc>
          <w:tcPr>
            <w:tcW w:w="480" w:type="pct"/>
            <w:tcBorders>
              <w:top w:val="nil"/>
              <w:left w:val="nil"/>
              <w:bottom w:val="nil"/>
              <w:right w:val="nil"/>
            </w:tcBorders>
            <w:shd w:val="clear" w:color="auto" w:fill="auto"/>
            <w:noWrap/>
            <w:vAlign w:val="center"/>
            <w:hideMark/>
          </w:tcPr>
          <w:p w14:paraId="1EF246A9" w14:textId="77777777"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fev/23</w:t>
            </w:r>
          </w:p>
        </w:tc>
        <w:tc>
          <w:tcPr>
            <w:tcW w:w="1015" w:type="pct"/>
            <w:tcBorders>
              <w:top w:val="nil"/>
              <w:left w:val="nil"/>
              <w:bottom w:val="nil"/>
              <w:right w:val="nil"/>
            </w:tcBorders>
            <w:shd w:val="clear" w:color="auto" w:fill="auto"/>
            <w:noWrap/>
            <w:vAlign w:val="center"/>
            <w:hideMark/>
          </w:tcPr>
          <w:p w14:paraId="4F8D84E8" w14:textId="7DE6ABC7"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400.000</w:t>
            </w:r>
          </w:p>
        </w:tc>
      </w:tr>
      <w:tr w:rsidR="00246D27" w14:paraId="534FEA88" w14:textId="77777777" w:rsidTr="007D40EC">
        <w:trPr>
          <w:trHeight w:val="300"/>
        </w:trPr>
        <w:tc>
          <w:tcPr>
            <w:tcW w:w="753" w:type="pct"/>
            <w:tcBorders>
              <w:top w:val="nil"/>
              <w:left w:val="nil"/>
              <w:bottom w:val="nil"/>
              <w:right w:val="nil"/>
            </w:tcBorders>
            <w:shd w:val="clear" w:color="auto" w:fill="auto"/>
            <w:noWrap/>
            <w:vAlign w:val="center"/>
            <w:hideMark/>
          </w:tcPr>
          <w:p w14:paraId="776B7790"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003/2020</w:t>
            </w:r>
          </w:p>
        </w:tc>
        <w:tc>
          <w:tcPr>
            <w:tcW w:w="449" w:type="pct"/>
            <w:tcBorders>
              <w:top w:val="nil"/>
              <w:left w:val="nil"/>
              <w:bottom w:val="nil"/>
              <w:right w:val="nil"/>
            </w:tcBorders>
            <w:shd w:val="clear" w:color="auto" w:fill="auto"/>
            <w:noWrap/>
            <w:vAlign w:val="center"/>
            <w:hideMark/>
          </w:tcPr>
          <w:p w14:paraId="70D6C759" w14:textId="77777777" w:rsidR="00246D27" w:rsidRDefault="00246D27" w:rsidP="00246D27">
            <w:pPr>
              <w:jc w:val="center"/>
              <w:rPr>
                <w:rFonts w:ascii="Calibri" w:hAnsi="Calibri" w:cs="Calibri"/>
                <w:color w:val="000000"/>
                <w:sz w:val="16"/>
                <w:szCs w:val="16"/>
              </w:rPr>
            </w:pPr>
            <w:r>
              <w:rPr>
                <w:rFonts w:ascii="Calibri" w:hAnsi="Calibri" w:cs="Calibri"/>
                <w:color w:val="000000"/>
                <w:sz w:val="16"/>
                <w:szCs w:val="16"/>
              </w:rPr>
              <w:t>1AADXS</w:t>
            </w:r>
          </w:p>
        </w:tc>
        <w:tc>
          <w:tcPr>
            <w:tcW w:w="2303" w:type="pct"/>
            <w:tcBorders>
              <w:top w:val="nil"/>
              <w:left w:val="nil"/>
              <w:bottom w:val="nil"/>
              <w:right w:val="nil"/>
            </w:tcBorders>
            <w:shd w:val="clear" w:color="auto" w:fill="auto"/>
            <w:noWrap/>
            <w:vAlign w:val="center"/>
            <w:hideMark/>
          </w:tcPr>
          <w:p w14:paraId="7AAA91CC"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Univ. de Brasília</w:t>
            </w:r>
          </w:p>
        </w:tc>
        <w:tc>
          <w:tcPr>
            <w:tcW w:w="480" w:type="pct"/>
            <w:tcBorders>
              <w:top w:val="nil"/>
              <w:left w:val="nil"/>
              <w:bottom w:val="nil"/>
              <w:right w:val="nil"/>
            </w:tcBorders>
            <w:shd w:val="clear" w:color="auto" w:fill="auto"/>
            <w:noWrap/>
            <w:vAlign w:val="center"/>
            <w:hideMark/>
          </w:tcPr>
          <w:p w14:paraId="7CA831AC" w14:textId="77777777"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dez/22</w:t>
            </w:r>
          </w:p>
        </w:tc>
        <w:tc>
          <w:tcPr>
            <w:tcW w:w="1015" w:type="pct"/>
            <w:tcBorders>
              <w:top w:val="nil"/>
              <w:left w:val="nil"/>
              <w:bottom w:val="nil"/>
              <w:right w:val="nil"/>
            </w:tcBorders>
            <w:shd w:val="clear" w:color="auto" w:fill="auto"/>
            <w:noWrap/>
            <w:vAlign w:val="center"/>
            <w:hideMark/>
          </w:tcPr>
          <w:p w14:paraId="5B868958" w14:textId="5DACF4C6"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776.241</w:t>
            </w:r>
          </w:p>
        </w:tc>
      </w:tr>
      <w:tr w:rsidR="00246D27" w14:paraId="702F239B" w14:textId="77777777" w:rsidTr="007D40EC">
        <w:trPr>
          <w:trHeight w:val="300"/>
        </w:trPr>
        <w:tc>
          <w:tcPr>
            <w:tcW w:w="753" w:type="pct"/>
            <w:tcBorders>
              <w:top w:val="nil"/>
              <w:left w:val="nil"/>
              <w:bottom w:val="nil"/>
              <w:right w:val="nil"/>
            </w:tcBorders>
            <w:shd w:val="clear" w:color="auto" w:fill="auto"/>
            <w:noWrap/>
            <w:vAlign w:val="center"/>
            <w:hideMark/>
          </w:tcPr>
          <w:p w14:paraId="3BE53D05"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001/2021</w:t>
            </w:r>
          </w:p>
        </w:tc>
        <w:tc>
          <w:tcPr>
            <w:tcW w:w="449" w:type="pct"/>
            <w:tcBorders>
              <w:top w:val="nil"/>
              <w:left w:val="nil"/>
              <w:bottom w:val="nil"/>
              <w:right w:val="nil"/>
            </w:tcBorders>
            <w:shd w:val="clear" w:color="auto" w:fill="auto"/>
            <w:noWrap/>
            <w:vAlign w:val="center"/>
            <w:hideMark/>
          </w:tcPr>
          <w:p w14:paraId="6462CBF2" w14:textId="77777777" w:rsidR="00246D27" w:rsidRDefault="00246D27" w:rsidP="00246D27">
            <w:pPr>
              <w:jc w:val="center"/>
              <w:rPr>
                <w:rFonts w:ascii="Calibri" w:hAnsi="Calibri" w:cs="Calibri"/>
                <w:color w:val="000000"/>
                <w:sz w:val="16"/>
                <w:szCs w:val="16"/>
              </w:rPr>
            </w:pPr>
            <w:r>
              <w:rPr>
                <w:rFonts w:ascii="Calibri" w:hAnsi="Calibri" w:cs="Calibri"/>
                <w:color w:val="000000"/>
                <w:sz w:val="16"/>
                <w:szCs w:val="16"/>
              </w:rPr>
              <w:t>1AAETV</w:t>
            </w:r>
          </w:p>
        </w:tc>
        <w:tc>
          <w:tcPr>
            <w:tcW w:w="2303" w:type="pct"/>
            <w:tcBorders>
              <w:top w:val="nil"/>
              <w:left w:val="nil"/>
              <w:bottom w:val="nil"/>
              <w:right w:val="nil"/>
            </w:tcBorders>
            <w:shd w:val="clear" w:color="auto" w:fill="auto"/>
            <w:noWrap/>
            <w:vAlign w:val="center"/>
            <w:hideMark/>
          </w:tcPr>
          <w:p w14:paraId="3D36E8AB"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min. da tecnologia</w:t>
            </w:r>
          </w:p>
        </w:tc>
        <w:tc>
          <w:tcPr>
            <w:tcW w:w="480" w:type="pct"/>
            <w:tcBorders>
              <w:top w:val="nil"/>
              <w:left w:val="nil"/>
              <w:bottom w:val="nil"/>
              <w:right w:val="nil"/>
            </w:tcBorders>
            <w:shd w:val="clear" w:color="auto" w:fill="auto"/>
            <w:noWrap/>
            <w:vAlign w:val="center"/>
            <w:hideMark/>
          </w:tcPr>
          <w:p w14:paraId="7E88B538" w14:textId="77777777"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mar/23</w:t>
            </w:r>
          </w:p>
        </w:tc>
        <w:tc>
          <w:tcPr>
            <w:tcW w:w="1015" w:type="pct"/>
            <w:tcBorders>
              <w:top w:val="nil"/>
              <w:left w:val="nil"/>
              <w:bottom w:val="nil"/>
              <w:right w:val="nil"/>
            </w:tcBorders>
            <w:shd w:val="clear" w:color="auto" w:fill="auto"/>
            <w:noWrap/>
            <w:vAlign w:val="center"/>
            <w:hideMark/>
          </w:tcPr>
          <w:p w14:paraId="5D9D2206" w14:textId="3C615071"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1.488.605</w:t>
            </w:r>
          </w:p>
        </w:tc>
      </w:tr>
      <w:tr w:rsidR="00246D27" w14:paraId="15E25B61" w14:textId="77777777" w:rsidTr="007D40EC">
        <w:trPr>
          <w:trHeight w:val="315"/>
        </w:trPr>
        <w:tc>
          <w:tcPr>
            <w:tcW w:w="753" w:type="pct"/>
            <w:tcBorders>
              <w:top w:val="single" w:sz="8" w:space="0" w:color="auto"/>
              <w:left w:val="nil"/>
              <w:bottom w:val="single" w:sz="8" w:space="0" w:color="auto"/>
              <w:right w:val="nil"/>
            </w:tcBorders>
            <w:shd w:val="clear" w:color="auto" w:fill="auto"/>
            <w:noWrap/>
            <w:vAlign w:val="center"/>
            <w:hideMark/>
          </w:tcPr>
          <w:p w14:paraId="05BCB78C" w14:textId="77777777" w:rsidR="00246D27" w:rsidRDefault="00246D27" w:rsidP="007D40EC">
            <w:pPr>
              <w:rPr>
                <w:rFonts w:ascii="Calibri" w:hAnsi="Calibri" w:cs="Calibri"/>
                <w:b/>
                <w:bCs/>
                <w:color w:val="000000"/>
                <w:sz w:val="16"/>
                <w:szCs w:val="16"/>
              </w:rPr>
            </w:pPr>
            <w:r>
              <w:rPr>
                <w:rFonts w:ascii="Calibri" w:hAnsi="Calibri" w:cs="Calibri"/>
                <w:b/>
                <w:bCs/>
                <w:color w:val="000000"/>
                <w:sz w:val="16"/>
                <w:szCs w:val="16"/>
              </w:rPr>
              <w:t>TOTAL ATIVO</w:t>
            </w:r>
          </w:p>
        </w:tc>
        <w:tc>
          <w:tcPr>
            <w:tcW w:w="449" w:type="pct"/>
            <w:tcBorders>
              <w:top w:val="single" w:sz="8" w:space="0" w:color="auto"/>
              <w:left w:val="nil"/>
              <w:bottom w:val="single" w:sz="8" w:space="0" w:color="auto"/>
              <w:right w:val="nil"/>
            </w:tcBorders>
            <w:shd w:val="clear" w:color="auto" w:fill="auto"/>
            <w:noWrap/>
            <w:vAlign w:val="center"/>
            <w:hideMark/>
          </w:tcPr>
          <w:p w14:paraId="33DA3639" w14:textId="3C284BA4" w:rsidR="00246D27" w:rsidRDefault="00246D27" w:rsidP="00246D27">
            <w:pPr>
              <w:jc w:val="center"/>
              <w:rPr>
                <w:rFonts w:ascii="Calibri" w:hAnsi="Calibri" w:cs="Calibri"/>
                <w:color w:val="000000"/>
                <w:sz w:val="16"/>
                <w:szCs w:val="16"/>
              </w:rPr>
            </w:pPr>
          </w:p>
        </w:tc>
        <w:tc>
          <w:tcPr>
            <w:tcW w:w="2303" w:type="pct"/>
            <w:tcBorders>
              <w:top w:val="single" w:sz="8" w:space="0" w:color="auto"/>
              <w:left w:val="nil"/>
              <w:bottom w:val="single" w:sz="8" w:space="0" w:color="auto"/>
              <w:right w:val="nil"/>
            </w:tcBorders>
            <w:shd w:val="clear" w:color="auto" w:fill="auto"/>
            <w:noWrap/>
            <w:vAlign w:val="center"/>
            <w:hideMark/>
          </w:tcPr>
          <w:p w14:paraId="555F03AB" w14:textId="77777777" w:rsidR="00246D27" w:rsidRDefault="00246D27" w:rsidP="007D40EC">
            <w:pPr>
              <w:rPr>
                <w:rFonts w:ascii="Calibri" w:hAnsi="Calibri" w:cs="Calibri"/>
                <w:b/>
                <w:bCs/>
                <w:color w:val="000000"/>
                <w:sz w:val="16"/>
                <w:szCs w:val="16"/>
              </w:rPr>
            </w:pPr>
            <w:r>
              <w:rPr>
                <w:rFonts w:ascii="Calibri" w:hAnsi="Calibri" w:cs="Calibri"/>
                <w:b/>
                <w:bCs/>
                <w:color w:val="000000"/>
                <w:sz w:val="16"/>
                <w:szCs w:val="16"/>
              </w:rPr>
              <w:t> </w:t>
            </w:r>
          </w:p>
        </w:tc>
        <w:tc>
          <w:tcPr>
            <w:tcW w:w="480" w:type="pct"/>
            <w:tcBorders>
              <w:top w:val="single" w:sz="8" w:space="0" w:color="auto"/>
              <w:left w:val="nil"/>
              <w:bottom w:val="single" w:sz="8" w:space="0" w:color="auto"/>
              <w:right w:val="nil"/>
            </w:tcBorders>
            <w:shd w:val="clear" w:color="auto" w:fill="auto"/>
            <w:noWrap/>
            <w:vAlign w:val="center"/>
            <w:hideMark/>
          </w:tcPr>
          <w:p w14:paraId="391CA498" w14:textId="77777777" w:rsidR="00246D27" w:rsidRDefault="00246D27" w:rsidP="007D40EC">
            <w:pPr>
              <w:rPr>
                <w:rFonts w:ascii="Calibri" w:hAnsi="Calibri" w:cs="Calibri"/>
                <w:b/>
                <w:bCs/>
                <w:color w:val="000000"/>
                <w:sz w:val="16"/>
                <w:szCs w:val="16"/>
              </w:rPr>
            </w:pPr>
            <w:r>
              <w:rPr>
                <w:rFonts w:ascii="Calibri" w:hAnsi="Calibri" w:cs="Calibri"/>
                <w:b/>
                <w:bCs/>
                <w:color w:val="000000"/>
                <w:sz w:val="16"/>
                <w:szCs w:val="16"/>
              </w:rPr>
              <w:t> </w:t>
            </w:r>
          </w:p>
        </w:tc>
        <w:tc>
          <w:tcPr>
            <w:tcW w:w="1015" w:type="pct"/>
            <w:tcBorders>
              <w:top w:val="single" w:sz="8" w:space="0" w:color="auto"/>
              <w:left w:val="nil"/>
              <w:bottom w:val="single" w:sz="8" w:space="0" w:color="auto"/>
              <w:right w:val="nil"/>
            </w:tcBorders>
            <w:shd w:val="clear" w:color="auto" w:fill="auto"/>
            <w:vAlign w:val="center"/>
            <w:hideMark/>
          </w:tcPr>
          <w:p w14:paraId="1AE31D29" w14:textId="22EF03BA" w:rsidR="00246D27" w:rsidRDefault="002D478B" w:rsidP="007D40EC">
            <w:pPr>
              <w:jc w:val="right"/>
              <w:rPr>
                <w:rFonts w:ascii="Calibri" w:hAnsi="Calibri" w:cs="Calibri"/>
                <w:b/>
                <w:bCs/>
                <w:color w:val="000000"/>
                <w:sz w:val="16"/>
                <w:szCs w:val="16"/>
              </w:rPr>
            </w:pPr>
            <w:r>
              <w:rPr>
                <w:rFonts w:ascii="Calibri" w:hAnsi="Calibri" w:cs="Calibri"/>
                <w:b/>
                <w:bCs/>
                <w:color w:val="000000"/>
                <w:sz w:val="16"/>
                <w:szCs w:val="16"/>
              </w:rPr>
              <w:t>15.283.619</w:t>
            </w:r>
          </w:p>
        </w:tc>
      </w:tr>
      <w:tr w:rsidR="00246D27" w14:paraId="11EAAE2B" w14:textId="77777777" w:rsidTr="007D40EC">
        <w:trPr>
          <w:trHeight w:val="300"/>
        </w:trPr>
        <w:tc>
          <w:tcPr>
            <w:tcW w:w="753" w:type="pct"/>
            <w:tcBorders>
              <w:top w:val="nil"/>
              <w:left w:val="nil"/>
              <w:bottom w:val="nil"/>
              <w:right w:val="nil"/>
            </w:tcBorders>
            <w:shd w:val="clear" w:color="auto" w:fill="auto"/>
            <w:noWrap/>
            <w:vAlign w:val="center"/>
            <w:hideMark/>
          </w:tcPr>
          <w:p w14:paraId="27D85588"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001/2021 - EPL</w:t>
            </w:r>
          </w:p>
        </w:tc>
        <w:tc>
          <w:tcPr>
            <w:tcW w:w="449" w:type="pct"/>
            <w:tcBorders>
              <w:top w:val="nil"/>
              <w:left w:val="nil"/>
              <w:bottom w:val="nil"/>
              <w:right w:val="nil"/>
            </w:tcBorders>
            <w:shd w:val="clear" w:color="auto" w:fill="auto"/>
            <w:noWrap/>
            <w:vAlign w:val="center"/>
            <w:hideMark/>
          </w:tcPr>
          <w:p w14:paraId="31560C36" w14:textId="77777777" w:rsidR="00246D27" w:rsidRDefault="00246D27" w:rsidP="00246D27">
            <w:pPr>
              <w:jc w:val="center"/>
              <w:rPr>
                <w:rFonts w:ascii="Calibri" w:hAnsi="Calibri" w:cs="Calibri"/>
                <w:color w:val="000000"/>
                <w:sz w:val="16"/>
                <w:szCs w:val="16"/>
              </w:rPr>
            </w:pPr>
            <w:r>
              <w:rPr>
                <w:rFonts w:ascii="Calibri" w:hAnsi="Calibri" w:cs="Calibri"/>
                <w:color w:val="000000"/>
                <w:sz w:val="16"/>
                <w:szCs w:val="16"/>
              </w:rPr>
              <w:t>1AAFBW</w:t>
            </w:r>
          </w:p>
        </w:tc>
        <w:tc>
          <w:tcPr>
            <w:tcW w:w="2303" w:type="pct"/>
            <w:tcBorders>
              <w:top w:val="nil"/>
              <w:left w:val="nil"/>
              <w:bottom w:val="nil"/>
              <w:right w:val="nil"/>
            </w:tcBorders>
            <w:shd w:val="clear" w:color="auto" w:fill="auto"/>
            <w:noWrap/>
            <w:vAlign w:val="center"/>
            <w:hideMark/>
          </w:tcPr>
          <w:p w14:paraId="4D1F4A3C"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SFPP - Secretaria de Fomento, Planejamento e Parcerias</w:t>
            </w:r>
          </w:p>
        </w:tc>
        <w:tc>
          <w:tcPr>
            <w:tcW w:w="480" w:type="pct"/>
            <w:tcBorders>
              <w:top w:val="nil"/>
              <w:left w:val="nil"/>
              <w:bottom w:val="nil"/>
              <w:right w:val="nil"/>
            </w:tcBorders>
            <w:shd w:val="clear" w:color="auto" w:fill="auto"/>
            <w:noWrap/>
            <w:vAlign w:val="center"/>
            <w:hideMark/>
          </w:tcPr>
          <w:p w14:paraId="446FB8BD" w14:textId="77777777"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jan/24</w:t>
            </w:r>
          </w:p>
        </w:tc>
        <w:tc>
          <w:tcPr>
            <w:tcW w:w="1015" w:type="pct"/>
            <w:tcBorders>
              <w:top w:val="nil"/>
              <w:left w:val="nil"/>
              <w:bottom w:val="nil"/>
              <w:right w:val="nil"/>
            </w:tcBorders>
            <w:shd w:val="clear" w:color="auto" w:fill="auto"/>
            <w:noWrap/>
            <w:vAlign w:val="center"/>
            <w:hideMark/>
          </w:tcPr>
          <w:p w14:paraId="0D0EF571" w14:textId="667257DD"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4.800.773</w:t>
            </w:r>
          </w:p>
        </w:tc>
      </w:tr>
      <w:tr w:rsidR="00246D27" w14:paraId="50D5E053" w14:textId="77777777" w:rsidTr="007D40EC">
        <w:trPr>
          <w:trHeight w:val="300"/>
        </w:trPr>
        <w:tc>
          <w:tcPr>
            <w:tcW w:w="753" w:type="pct"/>
            <w:tcBorders>
              <w:top w:val="nil"/>
              <w:left w:val="nil"/>
              <w:bottom w:val="nil"/>
              <w:right w:val="nil"/>
            </w:tcBorders>
            <w:shd w:val="clear" w:color="auto" w:fill="auto"/>
            <w:noWrap/>
            <w:vAlign w:val="center"/>
            <w:hideMark/>
          </w:tcPr>
          <w:p w14:paraId="73287159"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002/2021 - EPL</w:t>
            </w:r>
          </w:p>
        </w:tc>
        <w:tc>
          <w:tcPr>
            <w:tcW w:w="449" w:type="pct"/>
            <w:tcBorders>
              <w:top w:val="nil"/>
              <w:left w:val="nil"/>
              <w:bottom w:val="nil"/>
              <w:right w:val="nil"/>
            </w:tcBorders>
            <w:shd w:val="clear" w:color="auto" w:fill="auto"/>
            <w:noWrap/>
            <w:vAlign w:val="center"/>
            <w:hideMark/>
          </w:tcPr>
          <w:p w14:paraId="71915957" w14:textId="77777777" w:rsidR="00246D27" w:rsidRDefault="00246D27" w:rsidP="00246D27">
            <w:pPr>
              <w:jc w:val="center"/>
              <w:rPr>
                <w:rFonts w:ascii="Calibri" w:hAnsi="Calibri" w:cs="Calibri"/>
                <w:color w:val="000000"/>
                <w:sz w:val="16"/>
                <w:szCs w:val="16"/>
              </w:rPr>
            </w:pPr>
            <w:r>
              <w:rPr>
                <w:rFonts w:ascii="Calibri" w:hAnsi="Calibri" w:cs="Calibri"/>
                <w:color w:val="000000"/>
                <w:sz w:val="16"/>
                <w:szCs w:val="16"/>
              </w:rPr>
              <w:t>1AAFBY</w:t>
            </w:r>
          </w:p>
        </w:tc>
        <w:tc>
          <w:tcPr>
            <w:tcW w:w="2303" w:type="pct"/>
            <w:tcBorders>
              <w:top w:val="nil"/>
              <w:left w:val="nil"/>
              <w:bottom w:val="nil"/>
              <w:right w:val="nil"/>
            </w:tcBorders>
            <w:shd w:val="clear" w:color="auto" w:fill="auto"/>
            <w:noWrap/>
            <w:vAlign w:val="center"/>
            <w:hideMark/>
          </w:tcPr>
          <w:p w14:paraId="701D621A"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SFPP - Secretaria de Fomento, Planejamento e Parcerias</w:t>
            </w:r>
          </w:p>
        </w:tc>
        <w:tc>
          <w:tcPr>
            <w:tcW w:w="480" w:type="pct"/>
            <w:tcBorders>
              <w:top w:val="nil"/>
              <w:left w:val="nil"/>
              <w:bottom w:val="nil"/>
              <w:right w:val="nil"/>
            </w:tcBorders>
            <w:shd w:val="clear" w:color="auto" w:fill="auto"/>
            <w:noWrap/>
            <w:vAlign w:val="center"/>
            <w:hideMark/>
          </w:tcPr>
          <w:p w14:paraId="32497742" w14:textId="77777777"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jul/23</w:t>
            </w:r>
          </w:p>
        </w:tc>
        <w:tc>
          <w:tcPr>
            <w:tcW w:w="1015" w:type="pct"/>
            <w:tcBorders>
              <w:top w:val="nil"/>
              <w:left w:val="nil"/>
              <w:bottom w:val="nil"/>
              <w:right w:val="nil"/>
            </w:tcBorders>
            <w:shd w:val="clear" w:color="auto" w:fill="auto"/>
            <w:noWrap/>
            <w:vAlign w:val="center"/>
            <w:hideMark/>
          </w:tcPr>
          <w:p w14:paraId="4770E389" w14:textId="7914500E"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4.160.64</w:t>
            </w:r>
            <w:r w:rsidR="007D5D69">
              <w:rPr>
                <w:rFonts w:ascii="Calibri" w:hAnsi="Calibri" w:cs="Calibri"/>
                <w:color w:val="000000"/>
                <w:sz w:val="16"/>
                <w:szCs w:val="16"/>
              </w:rPr>
              <w:t>4</w:t>
            </w:r>
          </w:p>
        </w:tc>
      </w:tr>
      <w:tr w:rsidR="00246D27" w14:paraId="2F193F64" w14:textId="77777777" w:rsidTr="007D40EC">
        <w:trPr>
          <w:trHeight w:val="300"/>
        </w:trPr>
        <w:tc>
          <w:tcPr>
            <w:tcW w:w="753" w:type="pct"/>
            <w:tcBorders>
              <w:top w:val="nil"/>
              <w:left w:val="nil"/>
              <w:bottom w:val="nil"/>
              <w:right w:val="nil"/>
            </w:tcBorders>
            <w:shd w:val="clear" w:color="auto" w:fill="auto"/>
            <w:noWrap/>
            <w:vAlign w:val="center"/>
            <w:hideMark/>
          </w:tcPr>
          <w:p w14:paraId="380BBD06"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ASGA/2021 - EPL</w:t>
            </w:r>
          </w:p>
        </w:tc>
        <w:tc>
          <w:tcPr>
            <w:tcW w:w="449" w:type="pct"/>
            <w:tcBorders>
              <w:top w:val="nil"/>
              <w:left w:val="nil"/>
              <w:bottom w:val="nil"/>
              <w:right w:val="nil"/>
            </w:tcBorders>
            <w:shd w:val="clear" w:color="auto" w:fill="auto"/>
            <w:noWrap/>
            <w:vAlign w:val="center"/>
            <w:hideMark/>
          </w:tcPr>
          <w:p w14:paraId="355F6619" w14:textId="77777777" w:rsidR="00246D27" w:rsidRDefault="00246D27" w:rsidP="00246D27">
            <w:pPr>
              <w:jc w:val="center"/>
              <w:rPr>
                <w:rFonts w:ascii="Calibri" w:hAnsi="Calibri" w:cs="Calibri"/>
                <w:color w:val="000000"/>
                <w:sz w:val="16"/>
                <w:szCs w:val="16"/>
              </w:rPr>
            </w:pPr>
            <w:r>
              <w:rPr>
                <w:rFonts w:ascii="Calibri" w:hAnsi="Calibri" w:cs="Calibri"/>
                <w:color w:val="000000"/>
                <w:sz w:val="16"/>
                <w:szCs w:val="16"/>
              </w:rPr>
              <w:t>1AAFZU</w:t>
            </w:r>
          </w:p>
        </w:tc>
        <w:tc>
          <w:tcPr>
            <w:tcW w:w="2303" w:type="pct"/>
            <w:tcBorders>
              <w:top w:val="nil"/>
              <w:left w:val="nil"/>
              <w:bottom w:val="nil"/>
              <w:right w:val="nil"/>
            </w:tcBorders>
            <w:shd w:val="clear" w:color="auto" w:fill="auto"/>
            <w:noWrap/>
            <w:vAlign w:val="center"/>
            <w:hideMark/>
          </w:tcPr>
          <w:p w14:paraId="27DC9B89"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SFPP - Secretaria de Fomento, Planejamento e Parcerias</w:t>
            </w:r>
          </w:p>
        </w:tc>
        <w:tc>
          <w:tcPr>
            <w:tcW w:w="480" w:type="pct"/>
            <w:tcBorders>
              <w:top w:val="nil"/>
              <w:left w:val="nil"/>
              <w:bottom w:val="nil"/>
              <w:right w:val="nil"/>
            </w:tcBorders>
            <w:shd w:val="clear" w:color="auto" w:fill="auto"/>
            <w:noWrap/>
            <w:vAlign w:val="center"/>
            <w:hideMark/>
          </w:tcPr>
          <w:p w14:paraId="55479110" w14:textId="77777777"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out/22</w:t>
            </w:r>
          </w:p>
        </w:tc>
        <w:tc>
          <w:tcPr>
            <w:tcW w:w="1015" w:type="pct"/>
            <w:tcBorders>
              <w:top w:val="nil"/>
              <w:left w:val="nil"/>
              <w:bottom w:val="nil"/>
              <w:right w:val="nil"/>
            </w:tcBorders>
            <w:shd w:val="clear" w:color="auto" w:fill="auto"/>
            <w:noWrap/>
            <w:vAlign w:val="center"/>
            <w:hideMark/>
          </w:tcPr>
          <w:p w14:paraId="3594F8CA" w14:textId="014F9765"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1.505.719</w:t>
            </w:r>
          </w:p>
        </w:tc>
      </w:tr>
      <w:tr w:rsidR="00246D27" w14:paraId="4D332E0E" w14:textId="77777777" w:rsidTr="007D40EC">
        <w:trPr>
          <w:trHeight w:val="300"/>
        </w:trPr>
        <w:tc>
          <w:tcPr>
            <w:tcW w:w="753" w:type="pct"/>
            <w:tcBorders>
              <w:top w:val="nil"/>
              <w:left w:val="nil"/>
              <w:bottom w:val="nil"/>
              <w:right w:val="nil"/>
            </w:tcBorders>
            <w:shd w:val="clear" w:color="auto" w:fill="auto"/>
            <w:noWrap/>
            <w:vAlign w:val="center"/>
            <w:hideMark/>
          </w:tcPr>
          <w:p w14:paraId="76A1A948"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VCP/2021 - EPL</w:t>
            </w:r>
          </w:p>
        </w:tc>
        <w:tc>
          <w:tcPr>
            <w:tcW w:w="449" w:type="pct"/>
            <w:tcBorders>
              <w:top w:val="nil"/>
              <w:left w:val="nil"/>
              <w:bottom w:val="nil"/>
              <w:right w:val="nil"/>
            </w:tcBorders>
            <w:shd w:val="clear" w:color="auto" w:fill="auto"/>
            <w:noWrap/>
            <w:vAlign w:val="center"/>
            <w:hideMark/>
          </w:tcPr>
          <w:p w14:paraId="32E813B6" w14:textId="77777777" w:rsidR="00246D27" w:rsidRDefault="00246D27" w:rsidP="00246D27">
            <w:pPr>
              <w:jc w:val="center"/>
              <w:rPr>
                <w:rFonts w:ascii="Calibri" w:hAnsi="Calibri" w:cs="Calibri"/>
                <w:color w:val="000000"/>
                <w:sz w:val="16"/>
                <w:szCs w:val="16"/>
              </w:rPr>
            </w:pPr>
            <w:r>
              <w:rPr>
                <w:rFonts w:ascii="Calibri" w:hAnsi="Calibri" w:cs="Calibri"/>
                <w:color w:val="000000"/>
                <w:sz w:val="16"/>
                <w:szCs w:val="16"/>
              </w:rPr>
              <w:t>1AAFZW</w:t>
            </w:r>
          </w:p>
        </w:tc>
        <w:tc>
          <w:tcPr>
            <w:tcW w:w="2303" w:type="pct"/>
            <w:tcBorders>
              <w:top w:val="nil"/>
              <w:left w:val="nil"/>
              <w:bottom w:val="nil"/>
              <w:right w:val="nil"/>
            </w:tcBorders>
            <w:shd w:val="clear" w:color="auto" w:fill="auto"/>
            <w:noWrap/>
            <w:vAlign w:val="center"/>
            <w:hideMark/>
          </w:tcPr>
          <w:p w14:paraId="0C48FDF8"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SFPP - Secretaria de Fomento, Planejamento e Parcerias</w:t>
            </w:r>
          </w:p>
        </w:tc>
        <w:tc>
          <w:tcPr>
            <w:tcW w:w="480" w:type="pct"/>
            <w:tcBorders>
              <w:top w:val="nil"/>
              <w:left w:val="nil"/>
              <w:bottom w:val="nil"/>
              <w:right w:val="nil"/>
            </w:tcBorders>
            <w:shd w:val="clear" w:color="auto" w:fill="auto"/>
            <w:noWrap/>
            <w:vAlign w:val="center"/>
            <w:hideMark/>
          </w:tcPr>
          <w:p w14:paraId="6743C631" w14:textId="77777777"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out/22</w:t>
            </w:r>
          </w:p>
        </w:tc>
        <w:tc>
          <w:tcPr>
            <w:tcW w:w="1015" w:type="pct"/>
            <w:tcBorders>
              <w:top w:val="nil"/>
              <w:left w:val="nil"/>
              <w:bottom w:val="nil"/>
              <w:right w:val="nil"/>
            </w:tcBorders>
            <w:shd w:val="clear" w:color="auto" w:fill="auto"/>
            <w:noWrap/>
            <w:vAlign w:val="center"/>
            <w:hideMark/>
          </w:tcPr>
          <w:p w14:paraId="2E17415C" w14:textId="1FF0E591"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2.526.15</w:t>
            </w:r>
            <w:r w:rsidR="007D5D69">
              <w:rPr>
                <w:rFonts w:ascii="Calibri" w:hAnsi="Calibri" w:cs="Calibri"/>
                <w:color w:val="000000"/>
                <w:sz w:val="16"/>
                <w:szCs w:val="16"/>
              </w:rPr>
              <w:t>6</w:t>
            </w:r>
          </w:p>
        </w:tc>
      </w:tr>
      <w:tr w:rsidR="00246D27" w14:paraId="4C275954" w14:textId="77777777" w:rsidTr="007D40EC">
        <w:trPr>
          <w:trHeight w:val="300"/>
        </w:trPr>
        <w:tc>
          <w:tcPr>
            <w:tcW w:w="753" w:type="pct"/>
            <w:tcBorders>
              <w:top w:val="nil"/>
              <w:left w:val="nil"/>
              <w:bottom w:val="nil"/>
              <w:right w:val="nil"/>
            </w:tcBorders>
            <w:shd w:val="clear" w:color="auto" w:fill="auto"/>
            <w:noWrap/>
            <w:vAlign w:val="center"/>
            <w:hideMark/>
          </w:tcPr>
          <w:p w14:paraId="3F7A9B70"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001/2022 - EPL</w:t>
            </w:r>
          </w:p>
        </w:tc>
        <w:tc>
          <w:tcPr>
            <w:tcW w:w="449" w:type="pct"/>
            <w:tcBorders>
              <w:top w:val="nil"/>
              <w:left w:val="nil"/>
              <w:bottom w:val="nil"/>
              <w:right w:val="nil"/>
            </w:tcBorders>
            <w:shd w:val="clear" w:color="auto" w:fill="auto"/>
            <w:noWrap/>
            <w:vAlign w:val="center"/>
            <w:hideMark/>
          </w:tcPr>
          <w:p w14:paraId="5DA9F50C" w14:textId="77777777" w:rsidR="00246D27" w:rsidRDefault="00246D27" w:rsidP="00246D27">
            <w:pPr>
              <w:jc w:val="center"/>
              <w:rPr>
                <w:rFonts w:ascii="Calibri" w:hAnsi="Calibri" w:cs="Calibri"/>
                <w:color w:val="000000"/>
                <w:sz w:val="16"/>
                <w:szCs w:val="16"/>
              </w:rPr>
            </w:pPr>
            <w:r>
              <w:rPr>
                <w:rFonts w:ascii="Calibri" w:hAnsi="Calibri" w:cs="Calibri"/>
                <w:color w:val="000000"/>
                <w:sz w:val="16"/>
                <w:szCs w:val="16"/>
              </w:rPr>
              <w:t>935736</w:t>
            </w:r>
          </w:p>
        </w:tc>
        <w:tc>
          <w:tcPr>
            <w:tcW w:w="2303" w:type="pct"/>
            <w:tcBorders>
              <w:top w:val="nil"/>
              <w:left w:val="nil"/>
              <w:bottom w:val="nil"/>
              <w:right w:val="nil"/>
            </w:tcBorders>
            <w:shd w:val="clear" w:color="auto" w:fill="auto"/>
            <w:noWrap/>
            <w:vAlign w:val="center"/>
            <w:hideMark/>
          </w:tcPr>
          <w:p w14:paraId="5C2AB3A3"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SFPP - Secretaria de Fomento, Planejamento e Parcerias</w:t>
            </w:r>
          </w:p>
        </w:tc>
        <w:tc>
          <w:tcPr>
            <w:tcW w:w="480" w:type="pct"/>
            <w:tcBorders>
              <w:top w:val="nil"/>
              <w:left w:val="nil"/>
              <w:bottom w:val="nil"/>
              <w:right w:val="nil"/>
            </w:tcBorders>
            <w:shd w:val="clear" w:color="auto" w:fill="auto"/>
            <w:noWrap/>
            <w:vAlign w:val="center"/>
            <w:hideMark/>
          </w:tcPr>
          <w:p w14:paraId="6D3A4BBB" w14:textId="77777777"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jan/24</w:t>
            </w:r>
          </w:p>
        </w:tc>
        <w:tc>
          <w:tcPr>
            <w:tcW w:w="1015" w:type="pct"/>
            <w:tcBorders>
              <w:top w:val="nil"/>
              <w:left w:val="nil"/>
              <w:bottom w:val="nil"/>
              <w:right w:val="nil"/>
            </w:tcBorders>
            <w:shd w:val="clear" w:color="auto" w:fill="auto"/>
            <w:noWrap/>
            <w:vAlign w:val="center"/>
            <w:hideMark/>
          </w:tcPr>
          <w:p w14:paraId="707824C4" w14:textId="2A3472D7"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2.197.642</w:t>
            </w:r>
          </w:p>
        </w:tc>
      </w:tr>
      <w:tr w:rsidR="00246D27" w14:paraId="64F14472" w14:textId="77777777" w:rsidTr="007D40EC">
        <w:trPr>
          <w:trHeight w:val="315"/>
        </w:trPr>
        <w:tc>
          <w:tcPr>
            <w:tcW w:w="753" w:type="pct"/>
            <w:tcBorders>
              <w:top w:val="nil"/>
              <w:left w:val="nil"/>
              <w:bottom w:val="nil"/>
              <w:right w:val="nil"/>
            </w:tcBorders>
            <w:shd w:val="clear" w:color="auto" w:fill="auto"/>
            <w:noWrap/>
            <w:vAlign w:val="center"/>
            <w:hideMark/>
          </w:tcPr>
          <w:p w14:paraId="1C9ADB89"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002/2022 - EPL</w:t>
            </w:r>
          </w:p>
        </w:tc>
        <w:tc>
          <w:tcPr>
            <w:tcW w:w="449" w:type="pct"/>
            <w:tcBorders>
              <w:top w:val="nil"/>
              <w:left w:val="nil"/>
              <w:bottom w:val="nil"/>
              <w:right w:val="nil"/>
            </w:tcBorders>
            <w:shd w:val="clear" w:color="auto" w:fill="auto"/>
            <w:noWrap/>
            <w:vAlign w:val="center"/>
            <w:hideMark/>
          </w:tcPr>
          <w:p w14:paraId="7BE4DF72" w14:textId="77777777" w:rsidR="00246D27" w:rsidRDefault="00246D27" w:rsidP="00246D27">
            <w:pPr>
              <w:jc w:val="center"/>
              <w:rPr>
                <w:rFonts w:ascii="Calibri" w:hAnsi="Calibri" w:cs="Calibri"/>
                <w:color w:val="000000"/>
                <w:sz w:val="16"/>
                <w:szCs w:val="16"/>
              </w:rPr>
            </w:pPr>
            <w:r>
              <w:rPr>
                <w:rFonts w:ascii="Calibri" w:hAnsi="Calibri" w:cs="Calibri"/>
                <w:color w:val="000000"/>
                <w:sz w:val="16"/>
                <w:szCs w:val="16"/>
              </w:rPr>
              <w:t>935737</w:t>
            </w:r>
          </w:p>
        </w:tc>
        <w:tc>
          <w:tcPr>
            <w:tcW w:w="2303" w:type="pct"/>
            <w:tcBorders>
              <w:top w:val="nil"/>
              <w:left w:val="nil"/>
              <w:bottom w:val="nil"/>
              <w:right w:val="nil"/>
            </w:tcBorders>
            <w:shd w:val="clear" w:color="auto" w:fill="auto"/>
            <w:noWrap/>
            <w:vAlign w:val="center"/>
            <w:hideMark/>
          </w:tcPr>
          <w:p w14:paraId="165D1FF6" w14:textId="77777777" w:rsidR="00246D27" w:rsidRDefault="00246D27" w:rsidP="007D40EC">
            <w:pPr>
              <w:rPr>
                <w:rFonts w:ascii="Calibri" w:hAnsi="Calibri" w:cs="Calibri"/>
                <w:color w:val="000000"/>
                <w:sz w:val="16"/>
                <w:szCs w:val="16"/>
              </w:rPr>
            </w:pPr>
            <w:r>
              <w:rPr>
                <w:rFonts w:ascii="Calibri" w:hAnsi="Calibri" w:cs="Calibri"/>
                <w:color w:val="000000"/>
                <w:sz w:val="16"/>
                <w:szCs w:val="16"/>
              </w:rPr>
              <w:t>SFPP - Secretaria de Fomento, Planejamento e Parcerias</w:t>
            </w:r>
          </w:p>
        </w:tc>
        <w:tc>
          <w:tcPr>
            <w:tcW w:w="480" w:type="pct"/>
            <w:tcBorders>
              <w:top w:val="nil"/>
              <w:left w:val="nil"/>
              <w:bottom w:val="nil"/>
              <w:right w:val="nil"/>
            </w:tcBorders>
            <w:shd w:val="clear" w:color="auto" w:fill="auto"/>
            <w:noWrap/>
            <w:vAlign w:val="center"/>
            <w:hideMark/>
          </w:tcPr>
          <w:p w14:paraId="0D9FEA7A" w14:textId="77777777"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jan/24</w:t>
            </w:r>
          </w:p>
        </w:tc>
        <w:tc>
          <w:tcPr>
            <w:tcW w:w="1015" w:type="pct"/>
            <w:tcBorders>
              <w:top w:val="nil"/>
              <w:left w:val="nil"/>
              <w:bottom w:val="nil"/>
              <w:right w:val="nil"/>
            </w:tcBorders>
            <w:shd w:val="clear" w:color="auto" w:fill="auto"/>
            <w:noWrap/>
            <w:vAlign w:val="center"/>
            <w:hideMark/>
          </w:tcPr>
          <w:p w14:paraId="4AF2F015" w14:textId="7A4DF930" w:rsidR="00246D27" w:rsidRDefault="00246D27" w:rsidP="007D40EC">
            <w:pPr>
              <w:jc w:val="right"/>
              <w:rPr>
                <w:rFonts w:ascii="Calibri" w:hAnsi="Calibri" w:cs="Calibri"/>
                <w:color w:val="000000"/>
                <w:sz w:val="16"/>
                <w:szCs w:val="16"/>
              </w:rPr>
            </w:pPr>
            <w:r>
              <w:rPr>
                <w:rFonts w:ascii="Calibri" w:hAnsi="Calibri" w:cs="Calibri"/>
                <w:color w:val="000000"/>
                <w:sz w:val="16"/>
                <w:szCs w:val="16"/>
              </w:rPr>
              <w:t>1.954.22</w:t>
            </w:r>
            <w:r w:rsidR="007D5D69">
              <w:rPr>
                <w:rFonts w:ascii="Calibri" w:hAnsi="Calibri" w:cs="Calibri"/>
                <w:color w:val="000000"/>
                <w:sz w:val="16"/>
                <w:szCs w:val="16"/>
              </w:rPr>
              <w:t>7</w:t>
            </w:r>
          </w:p>
        </w:tc>
      </w:tr>
      <w:tr w:rsidR="00246D27" w14:paraId="65FC5636" w14:textId="77777777" w:rsidTr="007D40EC">
        <w:trPr>
          <w:trHeight w:val="315"/>
        </w:trPr>
        <w:tc>
          <w:tcPr>
            <w:tcW w:w="753" w:type="pct"/>
            <w:tcBorders>
              <w:top w:val="single" w:sz="8" w:space="0" w:color="auto"/>
              <w:left w:val="nil"/>
              <w:bottom w:val="single" w:sz="8" w:space="0" w:color="auto"/>
              <w:right w:val="nil"/>
            </w:tcBorders>
            <w:shd w:val="clear" w:color="auto" w:fill="auto"/>
            <w:noWrap/>
            <w:vAlign w:val="center"/>
            <w:hideMark/>
          </w:tcPr>
          <w:p w14:paraId="16DBBC0F" w14:textId="77777777" w:rsidR="00246D27" w:rsidRDefault="00246D27" w:rsidP="007D40EC">
            <w:pPr>
              <w:rPr>
                <w:rFonts w:ascii="Calibri" w:hAnsi="Calibri" w:cs="Calibri"/>
                <w:b/>
                <w:bCs/>
                <w:color w:val="000000"/>
                <w:sz w:val="16"/>
                <w:szCs w:val="16"/>
              </w:rPr>
            </w:pPr>
            <w:r>
              <w:rPr>
                <w:rFonts w:ascii="Calibri" w:hAnsi="Calibri" w:cs="Calibri"/>
                <w:b/>
                <w:bCs/>
                <w:color w:val="000000"/>
                <w:sz w:val="16"/>
                <w:szCs w:val="16"/>
              </w:rPr>
              <w:t>TOTAL PASSIVO</w:t>
            </w:r>
          </w:p>
        </w:tc>
        <w:tc>
          <w:tcPr>
            <w:tcW w:w="449" w:type="pct"/>
            <w:tcBorders>
              <w:top w:val="single" w:sz="8" w:space="0" w:color="auto"/>
              <w:left w:val="nil"/>
              <w:bottom w:val="single" w:sz="8" w:space="0" w:color="auto"/>
              <w:right w:val="nil"/>
            </w:tcBorders>
            <w:shd w:val="clear" w:color="auto" w:fill="auto"/>
            <w:noWrap/>
            <w:vAlign w:val="bottom"/>
            <w:hideMark/>
          </w:tcPr>
          <w:p w14:paraId="06CA3B7B" w14:textId="77777777" w:rsidR="00246D27" w:rsidRDefault="00246D27" w:rsidP="007D40EC">
            <w:pPr>
              <w:rPr>
                <w:rFonts w:ascii="Calibri" w:hAnsi="Calibri" w:cs="Calibri"/>
                <w:b/>
                <w:bCs/>
                <w:color w:val="000000"/>
                <w:sz w:val="22"/>
                <w:szCs w:val="22"/>
              </w:rPr>
            </w:pPr>
            <w:r>
              <w:rPr>
                <w:rFonts w:ascii="Calibri" w:hAnsi="Calibri" w:cs="Calibri"/>
                <w:b/>
                <w:bCs/>
                <w:color w:val="000000"/>
                <w:sz w:val="22"/>
                <w:szCs w:val="22"/>
              </w:rPr>
              <w:t> </w:t>
            </w:r>
          </w:p>
        </w:tc>
        <w:tc>
          <w:tcPr>
            <w:tcW w:w="2303" w:type="pct"/>
            <w:tcBorders>
              <w:top w:val="single" w:sz="8" w:space="0" w:color="auto"/>
              <w:left w:val="nil"/>
              <w:bottom w:val="single" w:sz="8" w:space="0" w:color="auto"/>
              <w:right w:val="nil"/>
            </w:tcBorders>
            <w:shd w:val="clear" w:color="auto" w:fill="auto"/>
            <w:noWrap/>
            <w:vAlign w:val="bottom"/>
            <w:hideMark/>
          </w:tcPr>
          <w:p w14:paraId="1758A1B9" w14:textId="77777777" w:rsidR="00246D27" w:rsidRDefault="00246D27" w:rsidP="007D40EC">
            <w:pPr>
              <w:rPr>
                <w:rFonts w:ascii="Calibri" w:hAnsi="Calibri" w:cs="Calibri"/>
                <w:b/>
                <w:bCs/>
                <w:color w:val="000000"/>
                <w:sz w:val="22"/>
                <w:szCs w:val="22"/>
              </w:rPr>
            </w:pPr>
            <w:r>
              <w:rPr>
                <w:rFonts w:ascii="Calibri" w:hAnsi="Calibri" w:cs="Calibri"/>
                <w:b/>
                <w:bCs/>
                <w:color w:val="000000"/>
                <w:sz w:val="22"/>
                <w:szCs w:val="22"/>
              </w:rPr>
              <w:t> </w:t>
            </w:r>
          </w:p>
        </w:tc>
        <w:tc>
          <w:tcPr>
            <w:tcW w:w="480" w:type="pct"/>
            <w:tcBorders>
              <w:top w:val="single" w:sz="8" w:space="0" w:color="auto"/>
              <w:left w:val="nil"/>
              <w:bottom w:val="single" w:sz="8" w:space="0" w:color="auto"/>
              <w:right w:val="nil"/>
            </w:tcBorders>
            <w:shd w:val="clear" w:color="auto" w:fill="auto"/>
            <w:noWrap/>
            <w:vAlign w:val="bottom"/>
            <w:hideMark/>
          </w:tcPr>
          <w:p w14:paraId="3E40E6FC" w14:textId="77777777" w:rsidR="00246D27" w:rsidRDefault="00246D27" w:rsidP="007D40EC">
            <w:pPr>
              <w:rPr>
                <w:rFonts w:ascii="Calibri" w:hAnsi="Calibri" w:cs="Calibri"/>
                <w:b/>
                <w:bCs/>
                <w:color w:val="000000"/>
                <w:sz w:val="22"/>
                <w:szCs w:val="22"/>
              </w:rPr>
            </w:pPr>
            <w:r>
              <w:rPr>
                <w:rFonts w:ascii="Calibri" w:hAnsi="Calibri" w:cs="Calibri"/>
                <w:b/>
                <w:bCs/>
                <w:color w:val="000000"/>
                <w:sz w:val="22"/>
                <w:szCs w:val="22"/>
              </w:rPr>
              <w:t> </w:t>
            </w:r>
          </w:p>
        </w:tc>
        <w:tc>
          <w:tcPr>
            <w:tcW w:w="1015" w:type="pct"/>
            <w:tcBorders>
              <w:top w:val="single" w:sz="8" w:space="0" w:color="auto"/>
              <w:left w:val="nil"/>
              <w:bottom w:val="single" w:sz="8" w:space="0" w:color="auto"/>
              <w:right w:val="nil"/>
            </w:tcBorders>
            <w:shd w:val="clear" w:color="auto" w:fill="auto"/>
            <w:vAlign w:val="center"/>
            <w:hideMark/>
          </w:tcPr>
          <w:p w14:paraId="5AEA34E7" w14:textId="77777777" w:rsidR="00246D27" w:rsidRDefault="00246D27" w:rsidP="007D40EC">
            <w:pPr>
              <w:jc w:val="right"/>
              <w:rPr>
                <w:rFonts w:ascii="Calibri" w:hAnsi="Calibri" w:cs="Calibri"/>
                <w:b/>
                <w:bCs/>
                <w:color w:val="000000"/>
                <w:sz w:val="16"/>
                <w:szCs w:val="16"/>
              </w:rPr>
            </w:pPr>
            <w:r>
              <w:rPr>
                <w:rFonts w:ascii="Calibri" w:hAnsi="Calibri" w:cs="Calibri"/>
                <w:b/>
                <w:bCs/>
                <w:color w:val="000000"/>
                <w:sz w:val="16"/>
                <w:szCs w:val="16"/>
              </w:rPr>
              <w:t>17.145.161</w:t>
            </w:r>
          </w:p>
        </w:tc>
      </w:tr>
    </w:tbl>
    <w:p w14:paraId="1C3459D4" w14:textId="68FCC7E7" w:rsidR="00246D27" w:rsidRDefault="00246D27" w:rsidP="00CE2185">
      <w:pPr>
        <w:widowControl w:val="0"/>
        <w:tabs>
          <w:tab w:val="left" w:pos="709"/>
        </w:tabs>
        <w:spacing w:after="120" w:line="276" w:lineRule="auto"/>
        <w:jc w:val="both"/>
        <w:rPr>
          <w:rFonts w:ascii="Calibri" w:hAnsi="Calibri" w:cs="Calibri"/>
          <w:sz w:val="22"/>
          <w:szCs w:val="22"/>
        </w:rPr>
      </w:pPr>
    </w:p>
    <w:p w14:paraId="5447D9D1" w14:textId="77777777" w:rsidR="007D5D69" w:rsidRPr="0052241B" w:rsidRDefault="007D5D69" w:rsidP="007D5D69">
      <w:pPr>
        <w:pStyle w:val="PargrafodaLista"/>
        <w:widowControl w:val="0"/>
        <w:numPr>
          <w:ilvl w:val="0"/>
          <w:numId w:val="50"/>
        </w:numPr>
        <w:tabs>
          <w:tab w:val="left" w:pos="709"/>
        </w:tabs>
        <w:spacing w:after="120" w:line="276" w:lineRule="auto"/>
        <w:jc w:val="both"/>
        <w:rPr>
          <w:rFonts w:ascii="Calibri" w:hAnsi="Calibri" w:cs="Calibri"/>
          <w:sz w:val="22"/>
          <w:szCs w:val="22"/>
        </w:rPr>
      </w:pPr>
      <w:r w:rsidRPr="0052241B">
        <w:rPr>
          <w:rFonts w:ascii="Calibri" w:hAnsi="Calibri" w:cs="Calibri"/>
          <w:sz w:val="22"/>
          <w:szCs w:val="22"/>
        </w:rPr>
        <w:t xml:space="preserve">Termo de Execução Descentralizada n°. 003/2013, celebrado entre a </w:t>
      </w:r>
      <w:r>
        <w:rPr>
          <w:rFonts w:ascii="Calibri" w:hAnsi="Calibri" w:cs="Calibri"/>
          <w:sz w:val="22"/>
          <w:szCs w:val="22"/>
        </w:rPr>
        <w:t xml:space="preserve">Infra S.A. </w:t>
      </w:r>
      <w:r w:rsidRPr="0052241B">
        <w:rPr>
          <w:rFonts w:ascii="Calibri" w:hAnsi="Calibri" w:cs="Calibri"/>
          <w:sz w:val="22"/>
          <w:szCs w:val="22"/>
        </w:rPr>
        <w:t>e a CIA Brasileira de Trens Urbanos</w:t>
      </w:r>
      <w:r>
        <w:rPr>
          <w:rFonts w:ascii="Calibri" w:hAnsi="Calibri" w:cs="Calibri"/>
          <w:sz w:val="22"/>
          <w:szCs w:val="22"/>
        </w:rPr>
        <w:t xml:space="preserve"> </w:t>
      </w:r>
      <w:r w:rsidRPr="0052241B">
        <w:rPr>
          <w:rFonts w:ascii="Calibri" w:hAnsi="Calibri" w:cs="Calibri"/>
          <w:sz w:val="22"/>
          <w:szCs w:val="22"/>
        </w:rPr>
        <w:t>-</w:t>
      </w:r>
      <w:r>
        <w:rPr>
          <w:rFonts w:ascii="Calibri" w:hAnsi="Calibri" w:cs="Calibri"/>
          <w:sz w:val="22"/>
          <w:szCs w:val="22"/>
        </w:rPr>
        <w:t xml:space="preserve"> </w:t>
      </w:r>
      <w:r w:rsidRPr="0052241B">
        <w:rPr>
          <w:rFonts w:ascii="Calibri" w:hAnsi="Calibri" w:cs="Calibri"/>
          <w:sz w:val="22"/>
          <w:szCs w:val="22"/>
        </w:rPr>
        <w:t xml:space="preserve">CBTU, cujo objeto é o disciplinamento do uso compartilhado das áreas de uso comum voltadas à </w:t>
      </w:r>
      <w:r w:rsidRPr="0052241B">
        <w:rPr>
          <w:rFonts w:ascii="Calibri" w:hAnsi="Calibri" w:cs="Calibri"/>
          <w:sz w:val="22"/>
          <w:szCs w:val="22"/>
        </w:rPr>
        <w:lastRenderedPageBreak/>
        <w:t xml:space="preserve">administração, segurança, controle e fiscalização do Edifício Renato Azevedo Feio, situado na praça Procópio Ferreira-RJ, bem como o rateio das correlatas despesas. Compartilham o uso das dependências os seguintes órgãos e entidades partícipes: Inventariança-RFFSA, CBTU, </w:t>
      </w:r>
      <w:r>
        <w:rPr>
          <w:rFonts w:ascii="Calibri" w:hAnsi="Calibri" w:cs="Calibri"/>
          <w:sz w:val="22"/>
          <w:szCs w:val="22"/>
        </w:rPr>
        <w:t xml:space="preserve">Infra S.A. </w:t>
      </w:r>
      <w:r w:rsidRPr="0052241B">
        <w:rPr>
          <w:rFonts w:ascii="Calibri" w:hAnsi="Calibri" w:cs="Calibri"/>
          <w:sz w:val="22"/>
          <w:szCs w:val="22"/>
        </w:rPr>
        <w:t>e AGU, que são representados, oportunamente, nas assembleias por servidores formalmente nomeados pelas respectivas direções. Teve a vigência até 28 de março de 2021, e encontra-se na Câmara de Conciliação;</w:t>
      </w:r>
    </w:p>
    <w:p w14:paraId="637C0ED9" w14:textId="62C5D008" w:rsidR="007D5D69" w:rsidRPr="0052241B" w:rsidRDefault="007D5D69" w:rsidP="007D5D69">
      <w:pPr>
        <w:pStyle w:val="PargrafodaLista"/>
        <w:widowControl w:val="0"/>
        <w:numPr>
          <w:ilvl w:val="0"/>
          <w:numId w:val="50"/>
        </w:numPr>
        <w:tabs>
          <w:tab w:val="left" w:pos="709"/>
        </w:tabs>
        <w:spacing w:after="120" w:line="276" w:lineRule="auto"/>
        <w:jc w:val="both"/>
        <w:rPr>
          <w:rFonts w:ascii="Calibri" w:hAnsi="Calibri" w:cs="Calibri"/>
          <w:sz w:val="22"/>
          <w:szCs w:val="22"/>
        </w:rPr>
      </w:pPr>
      <w:r w:rsidRPr="0052241B">
        <w:rPr>
          <w:rFonts w:ascii="Calibri" w:hAnsi="Calibri" w:cs="Calibri"/>
          <w:sz w:val="22"/>
          <w:szCs w:val="22"/>
        </w:rPr>
        <w:t xml:space="preserve">Termo de Execução Descentralizada n°. 001/2020 celebrado entre a </w:t>
      </w:r>
      <w:r>
        <w:rPr>
          <w:rFonts w:ascii="Calibri" w:hAnsi="Calibri" w:cs="Calibri"/>
          <w:sz w:val="22"/>
          <w:szCs w:val="22"/>
        </w:rPr>
        <w:t xml:space="preserve">Infra S.A. </w:t>
      </w:r>
      <w:r w:rsidRPr="0052241B">
        <w:rPr>
          <w:rFonts w:ascii="Calibri" w:hAnsi="Calibri" w:cs="Calibri"/>
          <w:sz w:val="22"/>
          <w:szCs w:val="22"/>
        </w:rPr>
        <w:t xml:space="preserve">e o Exército Brasileiro, cujo objeto é a execução de obras remanescentes do subtrecho da Ferrovia de Integração Oeste Leste - FIOL, compreendido entre Ilhéus/BA a Barreiras/BA subtrecho Caetité/BA e Barreiras-BA, referente ao lote 06f - até o início da ponte sobre o rio São Francisco, numa extensão de 18,34km. Com vigência até 08 de setembro de 2023. O valor relativo ao TED em questão será incorporado ao Ativo Imobilizado da </w:t>
      </w:r>
      <w:r w:rsidR="00D60F6A">
        <w:rPr>
          <w:rFonts w:ascii="Calibri" w:hAnsi="Calibri" w:cs="Calibri"/>
          <w:sz w:val="22"/>
          <w:szCs w:val="22"/>
        </w:rPr>
        <w:t>Infra</w:t>
      </w:r>
      <w:r w:rsidR="00B406C5">
        <w:rPr>
          <w:rFonts w:ascii="Calibri" w:hAnsi="Calibri" w:cs="Calibri"/>
          <w:sz w:val="22"/>
          <w:szCs w:val="22"/>
        </w:rPr>
        <w:t xml:space="preserve"> S.A.</w:t>
      </w:r>
      <w:r w:rsidRPr="0052241B">
        <w:rPr>
          <w:rFonts w:ascii="Calibri" w:hAnsi="Calibri" w:cs="Calibri"/>
          <w:sz w:val="22"/>
          <w:szCs w:val="22"/>
        </w:rPr>
        <w:t xml:space="preserve"> por ocasião da prestação de contas;</w:t>
      </w:r>
    </w:p>
    <w:p w14:paraId="29529890" w14:textId="77777777" w:rsidR="007D5D69" w:rsidRPr="0052241B" w:rsidRDefault="007D5D69" w:rsidP="007D5D69">
      <w:pPr>
        <w:pStyle w:val="PargrafodaLista"/>
        <w:widowControl w:val="0"/>
        <w:numPr>
          <w:ilvl w:val="0"/>
          <w:numId w:val="50"/>
        </w:numPr>
        <w:tabs>
          <w:tab w:val="left" w:pos="709"/>
        </w:tabs>
        <w:spacing w:after="120" w:line="276" w:lineRule="auto"/>
        <w:jc w:val="both"/>
        <w:rPr>
          <w:rFonts w:ascii="Calibri" w:hAnsi="Calibri" w:cs="Calibri"/>
          <w:sz w:val="22"/>
          <w:szCs w:val="22"/>
        </w:rPr>
      </w:pPr>
      <w:r w:rsidRPr="0052241B">
        <w:rPr>
          <w:rFonts w:ascii="Calibri" w:hAnsi="Calibri" w:cs="Calibri"/>
          <w:sz w:val="22"/>
          <w:szCs w:val="22"/>
        </w:rPr>
        <w:t xml:space="preserve">Termo de Execução Descentralizada n°. 002/2020, celebrado entre a </w:t>
      </w:r>
      <w:r>
        <w:rPr>
          <w:rFonts w:ascii="Calibri" w:hAnsi="Calibri" w:cs="Calibri"/>
          <w:sz w:val="22"/>
          <w:szCs w:val="22"/>
        </w:rPr>
        <w:t xml:space="preserve">Infra S.A. </w:t>
      </w:r>
      <w:r w:rsidRPr="0052241B">
        <w:rPr>
          <w:rFonts w:ascii="Calibri" w:hAnsi="Calibri" w:cs="Calibri"/>
          <w:sz w:val="22"/>
          <w:szCs w:val="22"/>
        </w:rPr>
        <w:t xml:space="preserve">e a Universidade de Brasília, cujo objeto é a avaliação de metodologias desenvolvidas pela </w:t>
      </w:r>
      <w:r>
        <w:rPr>
          <w:rFonts w:ascii="Calibri" w:hAnsi="Calibri" w:cs="Calibri"/>
          <w:sz w:val="22"/>
          <w:szCs w:val="22"/>
        </w:rPr>
        <w:t xml:space="preserve">Infra S.A. </w:t>
      </w:r>
      <w:r w:rsidRPr="0052241B">
        <w:rPr>
          <w:rFonts w:ascii="Calibri" w:hAnsi="Calibri" w:cs="Calibri"/>
          <w:sz w:val="22"/>
          <w:szCs w:val="22"/>
        </w:rPr>
        <w:t>por meio das Notas técnicas Nº 57/2019 (Metodologia de Ensaio de Deformação Permanente do Lastro do Lote 5S da Ferrovia Norte Sul Extensão Sul) e Nº58/2019 (Metodologia de Ensaio de Deformação Permanente do Lastro do Lote 4S da Ferrovia Norte Sul Extensão Sul), bem como, estudar e compreender a vida útil de britas de lastros por meio de ensaios e por avaliações mediante métodos numéricos avançados. Teve sua vigência prorrogada até quinze de fevereiro de 2023;</w:t>
      </w:r>
    </w:p>
    <w:p w14:paraId="60B39E35" w14:textId="1BD92633" w:rsidR="007D5D69" w:rsidRPr="0052241B" w:rsidRDefault="007D5D69" w:rsidP="007D5D69">
      <w:pPr>
        <w:pStyle w:val="PargrafodaLista"/>
        <w:widowControl w:val="0"/>
        <w:numPr>
          <w:ilvl w:val="0"/>
          <w:numId w:val="50"/>
        </w:numPr>
        <w:tabs>
          <w:tab w:val="left" w:pos="709"/>
        </w:tabs>
        <w:spacing w:after="120" w:line="276" w:lineRule="auto"/>
        <w:jc w:val="both"/>
        <w:rPr>
          <w:rFonts w:ascii="Calibri" w:hAnsi="Calibri" w:cs="Calibri"/>
          <w:sz w:val="22"/>
          <w:szCs w:val="22"/>
        </w:rPr>
      </w:pPr>
      <w:r w:rsidRPr="0052241B">
        <w:rPr>
          <w:rFonts w:ascii="Calibri" w:hAnsi="Calibri" w:cs="Calibri"/>
          <w:sz w:val="22"/>
          <w:szCs w:val="22"/>
        </w:rPr>
        <w:t xml:space="preserve">Termo de Execução Descentralizada n°. 003/2020, celebrado entre a </w:t>
      </w:r>
      <w:r>
        <w:rPr>
          <w:rFonts w:ascii="Calibri" w:hAnsi="Calibri" w:cs="Calibri"/>
          <w:sz w:val="22"/>
          <w:szCs w:val="22"/>
        </w:rPr>
        <w:t xml:space="preserve">Infra S.A. </w:t>
      </w:r>
      <w:r w:rsidRPr="0052241B">
        <w:rPr>
          <w:rFonts w:ascii="Calibri" w:hAnsi="Calibri" w:cs="Calibri"/>
          <w:sz w:val="22"/>
          <w:szCs w:val="22"/>
        </w:rPr>
        <w:t xml:space="preserve">e a Universidade de Brasília, cujo objeto é o desenvolvimento do modelo mental BIM de forma que os profissionais e pessoas fiquem preparadas para trabalharem de maneira integrada junto com tecnologias GIS, onde todos interagem ao mesmo tempo, conectados, com a possibilidade de falar com qualquer membro da equipe quando necessário, trocando informações e compartilhando de forma ostensiva informações, com o desenvolvimento de novas metodologias de integração de softwares. Com vigência até 18 de dezembro de 2022; </w:t>
      </w:r>
    </w:p>
    <w:p w14:paraId="019E2702" w14:textId="77777777" w:rsidR="00A14499" w:rsidRDefault="007D5D69" w:rsidP="00A14499">
      <w:pPr>
        <w:pStyle w:val="PargrafodaLista"/>
        <w:widowControl w:val="0"/>
        <w:numPr>
          <w:ilvl w:val="0"/>
          <w:numId w:val="50"/>
        </w:numPr>
        <w:tabs>
          <w:tab w:val="left" w:pos="709"/>
        </w:tabs>
        <w:spacing w:after="120" w:line="276" w:lineRule="auto"/>
        <w:jc w:val="both"/>
        <w:rPr>
          <w:rFonts w:ascii="Calibri" w:hAnsi="Calibri" w:cs="Calibri"/>
          <w:sz w:val="22"/>
          <w:szCs w:val="22"/>
        </w:rPr>
      </w:pPr>
      <w:r w:rsidRPr="0052241B">
        <w:rPr>
          <w:rFonts w:ascii="Calibri" w:hAnsi="Calibri" w:cs="Calibri"/>
          <w:sz w:val="22"/>
          <w:szCs w:val="22"/>
        </w:rPr>
        <w:t xml:space="preserve">Termo de Execução Descentralizada nº 001/2021, celebrado entre a </w:t>
      </w:r>
      <w:r>
        <w:rPr>
          <w:rFonts w:ascii="Calibri" w:hAnsi="Calibri" w:cs="Calibri"/>
          <w:sz w:val="22"/>
          <w:szCs w:val="22"/>
        </w:rPr>
        <w:t>Infra S.A.</w:t>
      </w:r>
      <w:r w:rsidRPr="0052241B">
        <w:rPr>
          <w:rFonts w:ascii="Calibri" w:hAnsi="Calibri" w:cs="Calibri"/>
          <w:sz w:val="22"/>
          <w:szCs w:val="22"/>
        </w:rPr>
        <w:t xml:space="preserve"> e o Ministério da Ciência, Tecnologia e Inovações, cujo objeto é a execução de produtos e serviços de comunicação corporativa, no que trata de produção de conteúdo jornalístico, audiovisual e fotográfico, atendimento às demandas de imprensa, monitoramento de veículos online e mídias sociais. Com vigência até vinte quatro de março de 2023</w:t>
      </w:r>
      <w:r w:rsidR="00A14499">
        <w:rPr>
          <w:rFonts w:ascii="Calibri" w:hAnsi="Calibri" w:cs="Calibri"/>
          <w:sz w:val="22"/>
          <w:szCs w:val="22"/>
        </w:rPr>
        <w:t>;</w:t>
      </w:r>
    </w:p>
    <w:p w14:paraId="7FBF24CC" w14:textId="3EB06AB3" w:rsidR="00A14499" w:rsidRDefault="00A14499" w:rsidP="00A14499">
      <w:pPr>
        <w:pStyle w:val="PargrafodaLista"/>
        <w:widowControl w:val="0"/>
        <w:numPr>
          <w:ilvl w:val="0"/>
          <w:numId w:val="50"/>
        </w:numPr>
        <w:tabs>
          <w:tab w:val="left" w:pos="709"/>
        </w:tabs>
        <w:spacing w:after="120" w:line="276" w:lineRule="auto"/>
        <w:jc w:val="both"/>
        <w:rPr>
          <w:rFonts w:ascii="Calibri" w:hAnsi="Calibri" w:cs="Calibri"/>
          <w:sz w:val="22"/>
          <w:szCs w:val="22"/>
        </w:rPr>
      </w:pPr>
      <w:r w:rsidRPr="00A14499">
        <w:rPr>
          <w:rFonts w:ascii="Calibri" w:hAnsi="Calibri" w:cs="Calibri"/>
          <w:sz w:val="22"/>
          <w:szCs w:val="22"/>
        </w:rPr>
        <w:t xml:space="preserve">O saldo passivo total de R$ 17,15 milhões </w:t>
      </w:r>
      <w:r w:rsidR="009E7AA5">
        <w:rPr>
          <w:rFonts w:ascii="Calibri" w:hAnsi="Calibri" w:cs="Calibri"/>
          <w:sz w:val="22"/>
          <w:szCs w:val="22"/>
        </w:rPr>
        <w:t>é</w:t>
      </w:r>
      <w:r w:rsidRPr="00A14499">
        <w:rPr>
          <w:rFonts w:ascii="Calibri" w:hAnsi="Calibri" w:cs="Calibri"/>
          <w:sz w:val="22"/>
          <w:szCs w:val="22"/>
        </w:rPr>
        <w:t xml:space="preserve"> proveniente da incorporação da EPL. O valor refere-se aos Termos de Execução Descentralizada acima apresentados cedidos pela Secretaria de Fomento, Planejamento e Parcerias (SFPP) do Ministério da Infraestrutura (MINFRA) visando a contratação de pessoa jurídica para apoio ao encerramento de concessões, avaliação independente do cumprimento de obrigações constantes em termos de relicitação, bem como apoio especializado no acompanhamento de relicitações. Os Termos de Execução Descentralizada nºs 01/2022 - EPL; 02/2022 – EPL permanecem em caixa para futura utilização.</w:t>
      </w:r>
    </w:p>
    <w:p w14:paraId="10FA30E5" w14:textId="77777777" w:rsidR="009E0535" w:rsidRDefault="009E0535" w:rsidP="009E0535">
      <w:pPr>
        <w:pStyle w:val="PargrafodaLista"/>
        <w:widowControl w:val="0"/>
        <w:tabs>
          <w:tab w:val="left" w:pos="709"/>
        </w:tabs>
        <w:spacing w:after="120" w:line="276" w:lineRule="auto"/>
        <w:ind w:left="720"/>
        <w:jc w:val="both"/>
        <w:rPr>
          <w:rFonts w:ascii="Calibri" w:hAnsi="Calibri" w:cs="Calibri"/>
          <w:sz w:val="22"/>
          <w:szCs w:val="22"/>
        </w:rPr>
      </w:pPr>
    </w:p>
    <w:p w14:paraId="5A3A4331" w14:textId="6FB21817" w:rsidR="00C636F9" w:rsidRPr="00C636F9" w:rsidRDefault="00C636F9" w:rsidP="00C93801">
      <w:pPr>
        <w:pStyle w:val="PargrafodaLista"/>
        <w:numPr>
          <w:ilvl w:val="0"/>
          <w:numId w:val="10"/>
        </w:numPr>
        <w:spacing w:after="120"/>
        <w:ind w:left="284" w:hanging="284"/>
        <w:rPr>
          <w:rFonts w:ascii="Calibri" w:hAnsi="Calibri" w:cs="Calibri"/>
          <w:b/>
          <w:sz w:val="22"/>
          <w:szCs w:val="22"/>
        </w:rPr>
      </w:pPr>
      <w:r w:rsidRPr="005D04BF">
        <w:rPr>
          <w:rFonts w:ascii="Calibri" w:hAnsi="Calibri" w:cs="Calibri"/>
          <w:b/>
          <w:bCs/>
          <w:sz w:val="22"/>
          <w:szCs w:val="22"/>
        </w:rPr>
        <w:t>Despesas Antecipadas</w:t>
      </w:r>
    </w:p>
    <w:tbl>
      <w:tblPr>
        <w:tblpPr w:leftFromText="141" w:rightFromText="141" w:vertAnchor="text" w:horzAnchor="margin" w:tblpY="36"/>
        <w:tblW w:w="5000" w:type="pct"/>
        <w:tblCellMar>
          <w:left w:w="70" w:type="dxa"/>
          <w:right w:w="70" w:type="dxa"/>
        </w:tblCellMar>
        <w:tblLook w:val="04A0" w:firstRow="1" w:lastRow="0" w:firstColumn="1" w:lastColumn="0" w:noHBand="0" w:noVBand="1"/>
      </w:tblPr>
      <w:tblGrid>
        <w:gridCol w:w="1558"/>
        <w:gridCol w:w="1483"/>
        <w:gridCol w:w="1486"/>
        <w:gridCol w:w="1181"/>
        <w:gridCol w:w="1587"/>
        <w:gridCol w:w="1587"/>
        <w:gridCol w:w="1585"/>
      </w:tblGrid>
      <w:tr w:rsidR="00C636F9" w:rsidRPr="002E2B5B" w14:paraId="07A28E88" w14:textId="77777777" w:rsidTr="00C636F9">
        <w:trPr>
          <w:trHeight w:val="315"/>
        </w:trPr>
        <w:tc>
          <w:tcPr>
            <w:tcW w:w="2163" w:type="pct"/>
            <w:gridSpan w:val="3"/>
            <w:tcBorders>
              <w:top w:val="nil"/>
              <w:left w:val="nil"/>
              <w:bottom w:val="single" w:sz="8" w:space="0" w:color="auto"/>
              <w:right w:val="nil"/>
            </w:tcBorders>
            <w:shd w:val="clear" w:color="auto" w:fill="auto"/>
            <w:noWrap/>
            <w:vAlign w:val="center"/>
            <w:hideMark/>
          </w:tcPr>
          <w:p w14:paraId="50952863" w14:textId="77777777" w:rsidR="00C636F9" w:rsidRPr="002E2B5B" w:rsidRDefault="00C636F9" w:rsidP="00C636F9">
            <w:pPr>
              <w:spacing w:after="120"/>
              <w:rPr>
                <w:rFonts w:ascii="Calibri" w:hAnsi="Calibri" w:cs="Calibri"/>
                <w:b/>
                <w:bCs/>
                <w:color w:val="000000"/>
                <w:sz w:val="16"/>
                <w:szCs w:val="16"/>
              </w:rPr>
            </w:pPr>
            <w:r w:rsidRPr="002E2B5B">
              <w:rPr>
                <w:rFonts w:ascii="Calibri" w:hAnsi="Calibri" w:cs="Calibri"/>
                <w:b/>
                <w:bCs/>
                <w:color w:val="000000"/>
                <w:sz w:val="16"/>
                <w:szCs w:val="16"/>
              </w:rPr>
              <w:t>DE</w:t>
            </w:r>
            <w:r>
              <w:rPr>
                <w:rFonts w:ascii="Calibri" w:hAnsi="Calibri" w:cs="Calibri"/>
                <w:b/>
                <w:bCs/>
                <w:color w:val="000000"/>
                <w:sz w:val="16"/>
                <w:szCs w:val="16"/>
              </w:rPr>
              <w:t>SPESAS ANTECIPADAS</w:t>
            </w:r>
          </w:p>
        </w:tc>
        <w:tc>
          <w:tcPr>
            <w:tcW w:w="564" w:type="pct"/>
            <w:tcBorders>
              <w:top w:val="nil"/>
              <w:left w:val="nil"/>
              <w:bottom w:val="single" w:sz="8" w:space="0" w:color="auto"/>
              <w:right w:val="nil"/>
            </w:tcBorders>
            <w:shd w:val="clear" w:color="auto" w:fill="auto"/>
            <w:vAlign w:val="center"/>
            <w:hideMark/>
          </w:tcPr>
          <w:p w14:paraId="053B2C92" w14:textId="77777777" w:rsidR="00C636F9" w:rsidRPr="002E2B5B" w:rsidRDefault="00C636F9" w:rsidP="00C636F9">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c>
          <w:tcPr>
            <w:tcW w:w="758" w:type="pct"/>
            <w:tcBorders>
              <w:top w:val="nil"/>
              <w:left w:val="nil"/>
              <w:bottom w:val="single" w:sz="8" w:space="0" w:color="auto"/>
              <w:right w:val="nil"/>
            </w:tcBorders>
            <w:shd w:val="clear" w:color="auto" w:fill="auto"/>
            <w:noWrap/>
            <w:vAlign w:val="bottom"/>
          </w:tcPr>
          <w:p w14:paraId="4A297EE8" w14:textId="77777777" w:rsidR="00C636F9" w:rsidRPr="002E2B5B" w:rsidRDefault="00C636F9" w:rsidP="00C636F9">
            <w:pPr>
              <w:spacing w:after="120"/>
              <w:jc w:val="right"/>
              <w:rPr>
                <w:rFonts w:ascii="Calibri" w:hAnsi="Calibri" w:cs="Calibri"/>
                <w:b/>
                <w:bCs/>
                <w:color w:val="000000"/>
                <w:sz w:val="16"/>
                <w:szCs w:val="16"/>
              </w:rPr>
            </w:pPr>
          </w:p>
        </w:tc>
        <w:tc>
          <w:tcPr>
            <w:tcW w:w="758" w:type="pct"/>
            <w:tcBorders>
              <w:top w:val="nil"/>
              <w:left w:val="nil"/>
              <w:bottom w:val="single" w:sz="8" w:space="0" w:color="auto"/>
              <w:right w:val="nil"/>
            </w:tcBorders>
            <w:shd w:val="clear" w:color="auto" w:fill="auto"/>
            <w:noWrap/>
            <w:vAlign w:val="bottom"/>
            <w:hideMark/>
          </w:tcPr>
          <w:p w14:paraId="34F66804" w14:textId="77777777" w:rsidR="00C636F9" w:rsidRPr="002E2B5B" w:rsidRDefault="00C636F9" w:rsidP="00C636F9">
            <w:pPr>
              <w:spacing w:after="120"/>
              <w:jc w:val="right"/>
              <w:rPr>
                <w:rFonts w:ascii="Calibri" w:hAnsi="Calibri" w:cs="Calibri"/>
                <w:b/>
                <w:bCs/>
                <w:color w:val="000000"/>
                <w:sz w:val="16"/>
                <w:szCs w:val="16"/>
              </w:rPr>
            </w:pPr>
            <w:r>
              <w:rPr>
                <w:rFonts w:ascii="Calibri" w:hAnsi="Calibri" w:cs="Calibri"/>
                <w:b/>
                <w:bCs/>
                <w:color w:val="000000"/>
                <w:sz w:val="16"/>
                <w:szCs w:val="16"/>
              </w:rPr>
              <w:t>30/09/</w:t>
            </w:r>
            <w:r w:rsidRPr="002E2B5B">
              <w:rPr>
                <w:rFonts w:ascii="Calibri" w:hAnsi="Calibri" w:cs="Calibri"/>
                <w:b/>
                <w:bCs/>
                <w:color w:val="000000"/>
                <w:sz w:val="16"/>
                <w:szCs w:val="16"/>
              </w:rPr>
              <w:t>202</w:t>
            </w:r>
            <w:r>
              <w:rPr>
                <w:rFonts w:ascii="Calibri" w:hAnsi="Calibri" w:cs="Calibri"/>
                <w:b/>
                <w:bCs/>
                <w:color w:val="000000"/>
                <w:sz w:val="16"/>
                <w:szCs w:val="16"/>
              </w:rPr>
              <w:t>2</w:t>
            </w:r>
          </w:p>
        </w:tc>
        <w:tc>
          <w:tcPr>
            <w:tcW w:w="757" w:type="pct"/>
            <w:tcBorders>
              <w:top w:val="nil"/>
              <w:left w:val="nil"/>
              <w:bottom w:val="single" w:sz="8" w:space="0" w:color="auto"/>
              <w:right w:val="nil"/>
            </w:tcBorders>
            <w:shd w:val="clear" w:color="auto" w:fill="auto"/>
            <w:noWrap/>
            <w:vAlign w:val="bottom"/>
          </w:tcPr>
          <w:p w14:paraId="6C014435" w14:textId="77777777" w:rsidR="00C636F9" w:rsidRPr="002E2B5B" w:rsidRDefault="00C636F9" w:rsidP="00C636F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Pr>
                <w:rFonts w:ascii="Calibri" w:hAnsi="Calibri" w:cs="Calibri"/>
                <w:b/>
                <w:bCs/>
                <w:color w:val="000000"/>
                <w:sz w:val="16"/>
                <w:szCs w:val="16"/>
              </w:rPr>
              <w:t>21</w:t>
            </w:r>
          </w:p>
        </w:tc>
      </w:tr>
      <w:tr w:rsidR="00C636F9" w:rsidRPr="002E2B5B" w14:paraId="2AF6D0C0" w14:textId="77777777" w:rsidTr="00C636F9">
        <w:trPr>
          <w:trHeight w:val="300"/>
        </w:trPr>
        <w:tc>
          <w:tcPr>
            <w:tcW w:w="2163" w:type="pct"/>
            <w:gridSpan w:val="3"/>
            <w:tcBorders>
              <w:top w:val="nil"/>
              <w:left w:val="nil"/>
              <w:bottom w:val="nil"/>
              <w:right w:val="nil"/>
            </w:tcBorders>
            <w:shd w:val="clear" w:color="auto" w:fill="auto"/>
            <w:noWrap/>
            <w:vAlign w:val="center"/>
            <w:hideMark/>
          </w:tcPr>
          <w:p w14:paraId="0242B2D4" w14:textId="77777777" w:rsidR="00C636F9" w:rsidRPr="002E2B5B" w:rsidRDefault="00C636F9" w:rsidP="00C636F9">
            <w:pPr>
              <w:spacing w:after="120"/>
              <w:rPr>
                <w:rFonts w:ascii="Calibri" w:hAnsi="Calibri" w:cs="Calibri"/>
                <w:color w:val="000000"/>
                <w:sz w:val="16"/>
                <w:szCs w:val="16"/>
              </w:rPr>
            </w:pPr>
            <w:r w:rsidRPr="00C636F9">
              <w:rPr>
                <w:rFonts w:ascii="Calibri" w:hAnsi="Calibri" w:cs="Calibri"/>
                <w:color w:val="000000"/>
                <w:sz w:val="16"/>
                <w:szCs w:val="16"/>
              </w:rPr>
              <w:t>Assinaturas anuais</w:t>
            </w:r>
          </w:p>
        </w:tc>
        <w:tc>
          <w:tcPr>
            <w:tcW w:w="564" w:type="pct"/>
            <w:tcBorders>
              <w:top w:val="nil"/>
              <w:left w:val="nil"/>
              <w:bottom w:val="nil"/>
              <w:right w:val="nil"/>
            </w:tcBorders>
            <w:shd w:val="clear" w:color="auto" w:fill="auto"/>
            <w:vAlign w:val="center"/>
            <w:hideMark/>
          </w:tcPr>
          <w:p w14:paraId="53D32410" w14:textId="77777777" w:rsidR="00C636F9" w:rsidRPr="002E2B5B" w:rsidRDefault="00C636F9" w:rsidP="00C636F9">
            <w:pPr>
              <w:spacing w:after="120"/>
              <w:rPr>
                <w:rFonts w:ascii="Calibri" w:hAnsi="Calibri" w:cs="Calibri"/>
                <w:color w:val="000000"/>
                <w:sz w:val="16"/>
                <w:szCs w:val="16"/>
              </w:rPr>
            </w:pPr>
          </w:p>
        </w:tc>
        <w:tc>
          <w:tcPr>
            <w:tcW w:w="758" w:type="pct"/>
            <w:tcBorders>
              <w:top w:val="nil"/>
              <w:left w:val="nil"/>
              <w:bottom w:val="nil"/>
              <w:right w:val="nil"/>
            </w:tcBorders>
            <w:shd w:val="clear" w:color="auto" w:fill="auto"/>
            <w:noWrap/>
            <w:vAlign w:val="center"/>
          </w:tcPr>
          <w:p w14:paraId="661B6ABB" w14:textId="77777777" w:rsidR="00C636F9" w:rsidRPr="002E2B5B" w:rsidRDefault="00C636F9" w:rsidP="00C636F9">
            <w:pPr>
              <w:spacing w:after="120"/>
              <w:jc w:val="right"/>
              <w:rPr>
                <w:rFonts w:ascii="Calibri" w:hAnsi="Calibri" w:cs="Calibri"/>
                <w:color w:val="000000"/>
                <w:sz w:val="16"/>
                <w:szCs w:val="16"/>
              </w:rPr>
            </w:pPr>
          </w:p>
        </w:tc>
        <w:tc>
          <w:tcPr>
            <w:tcW w:w="758" w:type="pct"/>
            <w:tcBorders>
              <w:top w:val="nil"/>
              <w:left w:val="nil"/>
              <w:bottom w:val="nil"/>
              <w:right w:val="nil"/>
            </w:tcBorders>
            <w:shd w:val="clear" w:color="auto" w:fill="auto"/>
            <w:noWrap/>
            <w:vAlign w:val="center"/>
            <w:hideMark/>
          </w:tcPr>
          <w:p w14:paraId="44DA6E83" w14:textId="77777777" w:rsidR="00C636F9" w:rsidRPr="002E2B5B" w:rsidRDefault="00C636F9" w:rsidP="00C636F9">
            <w:pPr>
              <w:spacing w:after="120"/>
              <w:jc w:val="right"/>
              <w:rPr>
                <w:rFonts w:ascii="Calibri" w:hAnsi="Calibri" w:cs="Calibri"/>
                <w:color w:val="000000"/>
                <w:sz w:val="16"/>
                <w:szCs w:val="16"/>
              </w:rPr>
            </w:pPr>
            <w:r>
              <w:rPr>
                <w:rFonts w:ascii="Calibri" w:hAnsi="Calibri" w:cs="Calibri"/>
                <w:color w:val="000000"/>
                <w:sz w:val="16"/>
                <w:szCs w:val="16"/>
              </w:rPr>
              <w:t>561.229</w:t>
            </w:r>
          </w:p>
        </w:tc>
        <w:tc>
          <w:tcPr>
            <w:tcW w:w="757" w:type="pct"/>
            <w:tcBorders>
              <w:top w:val="nil"/>
              <w:left w:val="nil"/>
              <w:bottom w:val="nil"/>
              <w:right w:val="nil"/>
            </w:tcBorders>
            <w:shd w:val="clear" w:color="auto" w:fill="auto"/>
            <w:noWrap/>
            <w:vAlign w:val="center"/>
          </w:tcPr>
          <w:p w14:paraId="0ACE649F" w14:textId="77777777" w:rsidR="00C636F9" w:rsidRPr="002E2B5B" w:rsidRDefault="00C636F9" w:rsidP="00C636F9">
            <w:pPr>
              <w:spacing w:after="120"/>
              <w:jc w:val="right"/>
              <w:rPr>
                <w:rFonts w:ascii="Calibri" w:hAnsi="Calibri" w:cs="Calibri"/>
                <w:color w:val="000000"/>
                <w:sz w:val="16"/>
                <w:szCs w:val="16"/>
              </w:rPr>
            </w:pPr>
            <w:r>
              <w:rPr>
                <w:rFonts w:ascii="Calibri" w:hAnsi="Calibri" w:cs="Calibri"/>
                <w:color w:val="000000"/>
                <w:sz w:val="16"/>
                <w:szCs w:val="16"/>
              </w:rPr>
              <w:t>0</w:t>
            </w:r>
          </w:p>
        </w:tc>
      </w:tr>
      <w:tr w:rsidR="00C636F9" w:rsidRPr="002E2B5B" w14:paraId="2367EB95" w14:textId="77777777" w:rsidTr="00C636F9">
        <w:trPr>
          <w:trHeight w:val="300"/>
        </w:trPr>
        <w:tc>
          <w:tcPr>
            <w:tcW w:w="2163" w:type="pct"/>
            <w:gridSpan w:val="3"/>
            <w:tcBorders>
              <w:top w:val="nil"/>
              <w:left w:val="nil"/>
              <w:bottom w:val="nil"/>
              <w:right w:val="nil"/>
            </w:tcBorders>
            <w:shd w:val="clear" w:color="auto" w:fill="auto"/>
            <w:noWrap/>
            <w:vAlign w:val="center"/>
          </w:tcPr>
          <w:p w14:paraId="59B316F0" w14:textId="77777777" w:rsidR="00C636F9" w:rsidRPr="002E2B5B" w:rsidRDefault="00C636F9" w:rsidP="00C636F9">
            <w:pPr>
              <w:spacing w:after="120"/>
              <w:rPr>
                <w:rFonts w:ascii="Calibri" w:hAnsi="Calibri" w:cs="Calibri"/>
                <w:color w:val="000000"/>
                <w:sz w:val="16"/>
                <w:szCs w:val="16"/>
              </w:rPr>
            </w:pPr>
            <w:r w:rsidRPr="00C636F9">
              <w:rPr>
                <w:rFonts w:ascii="Calibri" w:hAnsi="Calibri" w:cs="Calibri"/>
                <w:color w:val="000000"/>
                <w:sz w:val="16"/>
                <w:szCs w:val="16"/>
              </w:rPr>
              <w:t>Seguros de Responsabilidade Civil</w:t>
            </w:r>
          </w:p>
        </w:tc>
        <w:tc>
          <w:tcPr>
            <w:tcW w:w="564" w:type="pct"/>
            <w:tcBorders>
              <w:top w:val="nil"/>
              <w:left w:val="nil"/>
              <w:bottom w:val="nil"/>
              <w:right w:val="nil"/>
            </w:tcBorders>
            <w:shd w:val="clear" w:color="auto" w:fill="auto"/>
            <w:vAlign w:val="center"/>
          </w:tcPr>
          <w:p w14:paraId="4683D013" w14:textId="77777777" w:rsidR="00C636F9" w:rsidRPr="002E2B5B" w:rsidRDefault="00C636F9" w:rsidP="00C636F9">
            <w:pPr>
              <w:spacing w:after="120"/>
              <w:rPr>
                <w:rFonts w:ascii="Calibri" w:hAnsi="Calibri" w:cs="Calibri"/>
                <w:color w:val="000000"/>
                <w:sz w:val="16"/>
                <w:szCs w:val="16"/>
              </w:rPr>
            </w:pPr>
          </w:p>
        </w:tc>
        <w:tc>
          <w:tcPr>
            <w:tcW w:w="758" w:type="pct"/>
            <w:tcBorders>
              <w:top w:val="nil"/>
              <w:left w:val="nil"/>
              <w:bottom w:val="nil"/>
              <w:right w:val="nil"/>
            </w:tcBorders>
            <w:shd w:val="clear" w:color="auto" w:fill="auto"/>
            <w:noWrap/>
            <w:vAlign w:val="center"/>
          </w:tcPr>
          <w:p w14:paraId="49D24F67" w14:textId="77777777" w:rsidR="00C636F9" w:rsidRPr="002E2B5B" w:rsidRDefault="00C636F9" w:rsidP="00C636F9">
            <w:pPr>
              <w:spacing w:after="120"/>
              <w:jc w:val="right"/>
              <w:rPr>
                <w:rFonts w:ascii="Calibri" w:hAnsi="Calibri" w:cs="Calibri"/>
                <w:color w:val="000000"/>
                <w:sz w:val="16"/>
                <w:szCs w:val="16"/>
              </w:rPr>
            </w:pPr>
          </w:p>
        </w:tc>
        <w:tc>
          <w:tcPr>
            <w:tcW w:w="758" w:type="pct"/>
            <w:tcBorders>
              <w:top w:val="nil"/>
              <w:left w:val="nil"/>
              <w:bottom w:val="nil"/>
              <w:right w:val="nil"/>
            </w:tcBorders>
            <w:shd w:val="clear" w:color="auto" w:fill="auto"/>
            <w:noWrap/>
            <w:vAlign w:val="center"/>
          </w:tcPr>
          <w:p w14:paraId="243D0ED7" w14:textId="77777777" w:rsidR="00C636F9" w:rsidRDefault="00C636F9" w:rsidP="00C636F9">
            <w:pPr>
              <w:spacing w:after="120"/>
              <w:jc w:val="right"/>
              <w:rPr>
                <w:rFonts w:ascii="Calibri" w:hAnsi="Calibri" w:cs="Calibri"/>
                <w:color w:val="000000"/>
                <w:sz w:val="16"/>
                <w:szCs w:val="16"/>
              </w:rPr>
            </w:pPr>
            <w:r>
              <w:rPr>
                <w:rFonts w:ascii="Calibri" w:hAnsi="Calibri" w:cs="Calibri"/>
                <w:color w:val="000000"/>
                <w:sz w:val="16"/>
                <w:szCs w:val="16"/>
              </w:rPr>
              <w:t>125.283</w:t>
            </w:r>
          </w:p>
        </w:tc>
        <w:tc>
          <w:tcPr>
            <w:tcW w:w="757" w:type="pct"/>
            <w:tcBorders>
              <w:top w:val="nil"/>
              <w:left w:val="nil"/>
              <w:bottom w:val="nil"/>
              <w:right w:val="nil"/>
            </w:tcBorders>
            <w:shd w:val="clear" w:color="auto" w:fill="auto"/>
            <w:noWrap/>
            <w:vAlign w:val="center"/>
          </w:tcPr>
          <w:p w14:paraId="556F2193" w14:textId="77777777" w:rsidR="00C636F9" w:rsidRPr="002E2B5B" w:rsidRDefault="00C636F9" w:rsidP="00C636F9">
            <w:pPr>
              <w:spacing w:after="120"/>
              <w:jc w:val="right"/>
              <w:rPr>
                <w:rFonts w:ascii="Calibri" w:hAnsi="Calibri" w:cs="Calibri"/>
                <w:color w:val="000000"/>
                <w:sz w:val="16"/>
                <w:szCs w:val="16"/>
              </w:rPr>
            </w:pPr>
            <w:r>
              <w:rPr>
                <w:rFonts w:ascii="Calibri" w:hAnsi="Calibri" w:cs="Calibri"/>
                <w:color w:val="000000"/>
                <w:sz w:val="16"/>
                <w:szCs w:val="16"/>
              </w:rPr>
              <w:t>0</w:t>
            </w:r>
          </w:p>
        </w:tc>
      </w:tr>
      <w:tr w:rsidR="00C636F9" w:rsidRPr="002E2B5B" w14:paraId="0C07A195" w14:textId="77777777" w:rsidTr="00C636F9">
        <w:trPr>
          <w:trHeight w:val="300"/>
        </w:trPr>
        <w:tc>
          <w:tcPr>
            <w:tcW w:w="744" w:type="pct"/>
            <w:tcBorders>
              <w:top w:val="nil"/>
              <w:left w:val="nil"/>
              <w:bottom w:val="nil"/>
              <w:right w:val="nil"/>
            </w:tcBorders>
            <w:shd w:val="clear" w:color="auto" w:fill="auto"/>
            <w:noWrap/>
            <w:vAlign w:val="center"/>
            <w:hideMark/>
          </w:tcPr>
          <w:p w14:paraId="64C56B2C" w14:textId="77777777" w:rsidR="00C636F9" w:rsidRPr="002E2B5B" w:rsidRDefault="00C636F9" w:rsidP="00C636F9">
            <w:pPr>
              <w:spacing w:after="120"/>
              <w:rPr>
                <w:rFonts w:ascii="Calibri" w:hAnsi="Calibri" w:cs="Calibri"/>
                <w:color w:val="000000"/>
                <w:sz w:val="16"/>
                <w:szCs w:val="16"/>
              </w:rPr>
            </w:pPr>
            <w:r w:rsidRPr="00C636F9">
              <w:rPr>
                <w:rFonts w:ascii="Calibri" w:hAnsi="Calibri" w:cs="Calibri"/>
                <w:color w:val="000000"/>
                <w:sz w:val="16"/>
                <w:szCs w:val="16"/>
              </w:rPr>
              <w:t>Condomínio e aluguel</w:t>
            </w:r>
          </w:p>
        </w:tc>
        <w:tc>
          <w:tcPr>
            <w:tcW w:w="709" w:type="pct"/>
            <w:tcBorders>
              <w:top w:val="nil"/>
              <w:left w:val="nil"/>
              <w:bottom w:val="nil"/>
              <w:right w:val="nil"/>
            </w:tcBorders>
            <w:shd w:val="clear" w:color="auto" w:fill="auto"/>
            <w:noWrap/>
            <w:vAlign w:val="bottom"/>
            <w:hideMark/>
          </w:tcPr>
          <w:p w14:paraId="04AD7218" w14:textId="77777777" w:rsidR="00C636F9" w:rsidRPr="002E2B5B" w:rsidRDefault="00C636F9" w:rsidP="00C636F9">
            <w:pPr>
              <w:spacing w:after="120"/>
              <w:rPr>
                <w:rFonts w:ascii="Calibri" w:hAnsi="Calibri" w:cs="Calibri"/>
                <w:color w:val="000000"/>
                <w:sz w:val="16"/>
                <w:szCs w:val="16"/>
              </w:rPr>
            </w:pPr>
          </w:p>
        </w:tc>
        <w:tc>
          <w:tcPr>
            <w:tcW w:w="710" w:type="pct"/>
            <w:tcBorders>
              <w:top w:val="nil"/>
              <w:left w:val="nil"/>
              <w:bottom w:val="nil"/>
              <w:right w:val="nil"/>
            </w:tcBorders>
            <w:shd w:val="clear" w:color="auto" w:fill="auto"/>
            <w:noWrap/>
            <w:vAlign w:val="bottom"/>
            <w:hideMark/>
          </w:tcPr>
          <w:p w14:paraId="0CFEC6E8" w14:textId="77777777" w:rsidR="00C636F9" w:rsidRPr="002E2B5B" w:rsidRDefault="00C636F9" w:rsidP="00C636F9">
            <w:pPr>
              <w:spacing w:after="120"/>
              <w:rPr>
                <w:rFonts w:ascii="Calibri" w:hAnsi="Calibri" w:cs="Calibri"/>
                <w:sz w:val="16"/>
                <w:szCs w:val="16"/>
              </w:rPr>
            </w:pPr>
          </w:p>
        </w:tc>
        <w:tc>
          <w:tcPr>
            <w:tcW w:w="564" w:type="pct"/>
            <w:tcBorders>
              <w:top w:val="nil"/>
              <w:left w:val="nil"/>
              <w:bottom w:val="nil"/>
              <w:right w:val="nil"/>
            </w:tcBorders>
            <w:shd w:val="clear" w:color="auto" w:fill="auto"/>
            <w:vAlign w:val="center"/>
            <w:hideMark/>
          </w:tcPr>
          <w:p w14:paraId="25217100" w14:textId="77777777" w:rsidR="00C636F9" w:rsidRPr="002E2B5B" w:rsidRDefault="00C636F9" w:rsidP="00C636F9">
            <w:pPr>
              <w:spacing w:after="120"/>
              <w:rPr>
                <w:rFonts w:ascii="Calibri" w:hAnsi="Calibri" w:cs="Calibri"/>
                <w:sz w:val="16"/>
                <w:szCs w:val="16"/>
              </w:rPr>
            </w:pPr>
          </w:p>
        </w:tc>
        <w:tc>
          <w:tcPr>
            <w:tcW w:w="758" w:type="pct"/>
            <w:tcBorders>
              <w:top w:val="nil"/>
              <w:left w:val="nil"/>
              <w:bottom w:val="nil"/>
              <w:right w:val="nil"/>
            </w:tcBorders>
            <w:shd w:val="clear" w:color="auto" w:fill="auto"/>
            <w:noWrap/>
            <w:vAlign w:val="center"/>
          </w:tcPr>
          <w:p w14:paraId="0EF8C1C1" w14:textId="77777777" w:rsidR="00C636F9" w:rsidRPr="002E2B5B" w:rsidRDefault="00C636F9" w:rsidP="00C636F9">
            <w:pPr>
              <w:spacing w:after="120"/>
              <w:jc w:val="right"/>
              <w:rPr>
                <w:rFonts w:ascii="Calibri" w:hAnsi="Calibri" w:cs="Calibri"/>
                <w:color w:val="000000"/>
                <w:sz w:val="16"/>
                <w:szCs w:val="16"/>
              </w:rPr>
            </w:pPr>
          </w:p>
        </w:tc>
        <w:tc>
          <w:tcPr>
            <w:tcW w:w="758" w:type="pct"/>
            <w:tcBorders>
              <w:top w:val="nil"/>
              <w:left w:val="nil"/>
              <w:bottom w:val="nil"/>
              <w:right w:val="nil"/>
            </w:tcBorders>
            <w:shd w:val="clear" w:color="auto" w:fill="auto"/>
            <w:noWrap/>
            <w:vAlign w:val="center"/>
            <w:hideMark/>
          </w:tcPr>
          <w:p w14:paraId="782DB7CA" w14:textId="77777777" w:rsidR="00C636F9" w:rsidRPr="002E2B5B" w:rsidRDefault="00C636F9" w:rsidP="00C636F9">
            <w:pPr>
              <w:spacing w:after="120"/>
              <w:jc w:val="right"/>
              <w:rPr>
                <w:rFonts w:ascii="Calibri" w:hAnsi="Calibri" w:cs="Calibri"/>
                <w:color w:val="000000"/>
                <w:sz w:val="16"/>
                <w:szCs w:val="16"/>
              </w:rPr>
            </w:pPr>
            <w:r>
              <w:rPr>
                <w:rFonts w:ascii="Calibri" w:hAnsi="Calibri" w:cs="Calibri"/>
                <w:color w:val="000000"/>
                <w:sz w:val="16"/>
                <w:szCs w:val="16"/>
              </w:rPr>
              <w:t>78.546</w:t>
            </w:r>
          </w:p>
        </w:tc>
        <w:tc>
          <w:tcPr>
            <w:tcW w:w="757" w:type="pct"/>
            <w:tcBorders>
              <w:top w:val="nil"/>
              <w:left w:val="nil"/>
              <w:bottom w:val="nil"/>
              <w:right w:val="nil"/>
            </w:tcBorders>
            <w:shd w:val="clear" w:color="auto" w:fill="auto"/>
            <w:noWrap/>
            <w:vAlign w:val="center"/>
          </w:tcPr>
          <w:p w14:paraId="0CF0C6CF" w14:textId="77777777" w:rsidR="00C636F9" w:rsidRPr="002E2B5B" w:rsidRDefault="00C636F9" w:rsidP="00C636F9">
            <w:pPr>
              <w:spacing w:after="120"/>
              <w:jc w:val="right"/>
              <w:rPr>
                <w:rFonts w:ascii="Calibri" w:hAnsi="Calibri" w:cs="Calibri"/>
                <w:color w:val="000000"/>
                <w:sz w:val="16"/>
                <w:szCs w:val="16"/>
              </w:rPr>
            </w:pPr>
            <w:r>
              <w:rPr>
                <w:rFonts w:ascii="Calibri" w:hAnsi="Calibri" w:cs="Calibri"/>
                <w:color w:val="000000"/>
                <w:sz w:val="16"/>
                <w:szCs w:val="16"/>
              </w:rPr>
              <w:t>0</w:t>
            </w:r>
          </w:p>
        </w:tc>
      </w:tr>
      <w:tr w:rsidR="00C636F9" w:rsidRPr="002E2B5B" w14:paraId="5FF484F9" w14:textId="77777777" w:rsidTr="00C636F9">
        <w:trPr>
          <w:trHeight w:val="300"/>
        </w:trPr>
        <w:tc>
          <w:tcPr>
            <w:tcW w:w="744" w:type="pct"/>
            <w:tcBorders>
              <w:top w:val="nil"/>
              <w:left w:val="nil"/>
              <w:bottom w:val="single" w:sz="8" w:space="0" w:color="auto"/>
              <w:right w:val="nil"/>
            </w:tcBorders>
            <w:shd w:val="clear" w:color="auto" w:fill="auto"/>
            <w:noWrap/>
            <w:vAlign w:val="center"/>
            <w:hideMark/>
          </w:tcPr>
          <w:p w14:paraId="1BCE9551" w14:textId="77777777" w:rsidR="00C636F9" w:rsidRPr="002E2B5B" w:rsidRDefault="00C636F9" w:rsidP="00C636F9">
            <w:pPr>
              <w:spacing w:after="120"/>
              <w:rPr>
                <w:rFonts w:ascii="Calibri" w:hAnsi="Calibri" w:cs="Calibri"/>
                <w:color w:val="000000"/>
                <w:sz w:val="16"/>
                <w:szCs w:val="16"/>
              </w:rPr>
            </w:pPr>
            <w:r w:rsidRPr="00C636F9">
              <w:rPr>
                <w:rFonts w:ascii="Calibri" w:hAnsi="Calibri" w:cs="Calibri"/>
                <w:color w:val="000000"/>
                <w:sz w:val="16"/>
                <w:szCs w:val="16"/>
              </w:rPr>
              <w:lastRenderedPageBreak/>
              <w:t>IPTU</w:t>
            </w:r>
          </w:p>
        </w:tc>
        <w:tc>
          <w:tcPr>
            <w:tcW w:w="709" w:type="pct"/>
            <w:tcBorders>
              <w:top w:val="nil"/>
              <w:left w:val="nil"/>
              <w:bottom w:val="single" w:sz="8" w:space="0" w:color="auto"/>
              <w:right w:val="nil"/>
            </w:tcBorders>
            <w:shd w:val="clear" w:color="auto" w:fill="auto"/>
            <w:noWrap/>
            <w:vAlign w:val="center"/>
            <w:hideMark/>
          </w:tcPr>
          <w:p w14:paraId="5F430324" w14:textId="77777777" w:rsidR="00C636F9" w:rsidRPr="002E2B5B" w:rsidRDefault="00C636F9" w:rsidP="00C636F9">
            <w:pPr>
              <w:spacing w:after="120"/>
              <w:rPr>
                <w:rFonts w:ascii="Calibri" w:hAnsi="Calibri" w:cs="Calibri"/>
                <w:color w:val="000000"/>
                <w:sz w:val="16"/>
                <w:szCs w:val="16"/>
              </w:rPr>
            </w:pPr>
          </w:p>
        </w:tc>
        <w:tc>
          <w:tcPr>
            <w:tcW w:w="710" w:type="pct"/>
            <w:tcBorders>
              <w:top w:val="nil"/>
              <w:left w:val="nil"/>
              <w:bottom w:val="single" w:sz="8" w:space="0" w:color="auto"/>
              <w:right w:val="nil"/>
            </w:tcBorders>
            <w:shd w:val="clear" w:color="auto" w:fill="auto"/>
            <w:noWrap/>
            <w:vAlign w:val="center"/>
            <w:hideMark/>
          </w:tcPr>
          <w:p w14:paraId="28DC5731" w14:textId="77777777" w:rsidR="00C636F9" w:rsidRPr="002E2B5B" w:rsidRDefault="00C636F9" w:rsidP="00C636F9">
            <w:pPr>
              <w:spacing w:after="120"/>
              <w:rPr>
                <w:rFonts w:ascii="Calibri" w:hAnsi="Calibri" w:cs="Calibri"/>
                <w:sz w:val="16"/>
                <w:szCs w:val="16"/>
              </w:rPr>
            </w:pPr>
          </w:p>
        </w:tc>
        <w:tc>
          <w:tcPr>
            <w:tcW w:w="564" w:type="pct"/>
            <w:tcBorders>
              <w:top w:val="nil"/>
              <w:left w:val="nil"/>
              <w:bottom w:val="single" w:sz="8" w:space="0" w:color="auto"/>
              <w:right w:val="nil"/>
            </w:tcBorders>
            <w:shd w:val="clear" w:color="auto" w:fill="auto"/>
            <w:vAlign w:val="center"/>
            <w:hideMark/>
          </w:tcPr>
          <w:p w14:paraId="2809C7D9" w14:textId="77777777" w:rsidR="00C636F9" w:rsidRPr="002E2B5B" w:rsidRDefault="00C636F9" w:rsidP="00C636F9">
            <w:pPr>
              <w:spacing w:after="120"/>
              <w:rPr>
                <w:rFonts w:ascii="Calibri" w:hAnsi="Calibri" w:cs="Calibri"/>
                <w:sz w:val="16"/>
                <w:szCs w:val="16"/>
              </w:rPr>
            </w:pPr>
          </w:p>
        </w:tc>
        <w:tc>
          <w:tcPr>
            <w:tcW w:w="758" w:type="pct"/>
            <w:tcBorders>
              <w:top w:val="nil"/>
              <w:left w:val="nil"/>
              <w:bottom w:val="single" w:sz="8" w:space="0" w:color="auto"/>
              <w:right w:val="nil"/>
            </w:tcBorders>
            <w:shd w:val="clear" w:color="auto" w:fill="auto"/>
            <w:noWrap/>
            <w:vAlign w:val="center"/>
          </w:tcPr>
          <w:p w14:paraId="1A448988" w14:textId="77777777" w:rsidR="00C636F9" w:rsidRPr="002E2B5B" w:rsidRDefault="00C636F9" w:rsidP="00C636F9">
            <w:pPr>
              <w:spacing w:after="120"/>
              <w:jc w:val="right"/>
              <w:rPr>
                <w:rFonts w:ascii="Calibri" w:hAnsi="Calibri" w:cs="Calibri"/>
                <w:color w:val="000000"/>
                <w:sz w:val="16"/>
                <w:szCs w:val="16"/>
              </w:rPr>
            </w:pPr>
          </w:p>
        </w:tc>
        <w:tc>
          <w:tcPr>
            <w:tcW w:w="758" w:type="pct"/>
            <w:tcBorders>
              <w:top w:val="nil"/>
              <w:left w:val="nil"/>
              <w:bottom w:val="single" w:sz="8" w:space="0" w:color="auto"/>
              <w:right w:val="nil"/>
            </w:tcBorders>
            <w:shd w:val="clear" w:color="auto" w:fill="auto"/>
            <w:noWrap/>
            <w:vAlign w:val="center"/>
            <w:hideMark/>
          </w:tcPr>
          <w:p w14:paraId="525CD4A3" w14:textId="77777777" w:rsidR="00C636F9" w:rsidRPr="002E2B5B" w:rsidRDefault="00C636F9" w:rsidP="00C636F9">
            <w:pPr>
              <w:spacing w:after="120"/>
              <w:jc w:val="right"/>
              <w:rPr>
                <w:rFonts w:ascii="Calibri" w:hAnsi="Calibri" w:cs="Calibri"/>
                <w:color w:val="000000"/>
                <w:sz w:val="16"/>
                <w:szCs w:val="16"/>
              </w:rPr>
            </w:pPr>
            <w:r>
              <w:rPr>
                <w:rFonts w:ascii="Calibri" w:hAnsi="Calibri" w:cs="Calibri"/>
                <w:color w:val="000000"/>
                <w:sz w:val="16"/>
                <w:szCs w:val="16"/>
              </w:rPr>
              <w:t>35.273</w:t>
            </w:r>
          </w:p>
        </w:tc>
        <w:tc>
          <w:tcPr>
            <w:tcW w:w="757" w:type="pct"/>
            <w:tcBorders>
              <w:top w:val="nil"/>
              <w:left w:val="nil"/>
              <w:bottom w:val="single" w:sz="8" w:space="0" w:color="auto"/>
              <w:right w:val="nil"/>
            </w:tcBorders>
            <w:shd w:val="clear" w:color="auto" w:fill="auto"/>
            <w:noWrap/>
            <w:vAlign w:val="center"/>
          </w:tcPr>
          <w:p w14:paraId="4E564DD3" w14:textId="77777777" w:rsidR="00C636F9" w:rsidRPr="002E2B5B" w:rsidRDefault="00C636F9" w:rsidP="00C636F9">
            <w:pPr>
              <w:spacing w:after="120"/>
              <w:jc w:val="right"/>
              <w:rPr>
                <w:rFonts w:ascii="Calibri" w:hAnsi="Calibri" w:cs="Calibri"/>
                <w:color w:val="000000"/>
                <w:sz w:val="16"/>
                <w:szCs w:val="16"/>
              </w:rPr>
            </w:pPr>
            <w:r>
              <w:rPr>
                <w:rFonts w:ascii="Calibri" w:hAnsi="Calibri" w:cs="Calibri"/>
                <w:color w:val="000000"/>
                <w:sz w:val="16"/>
                <w:szCs w:val="16"/>
              </w:rPr>
              <w:t>0</w:t>
            </w:r>
          </w:p>
        </w:tc>
      </w:tr>
      <w:tr w:rsidR="00C636F9" w:rsidRPr="002E2B5B" w14:paraId="06748595" w14:textId="77777777" w:rsidTr="00C636F9">
        <w:trPr>
          <w:trHeight w:val="315"/>
        </w:trPr>
        <w:tc>
          <w:tcPr>
            <w:tcW w:w="2163" w:type="pct"/>
            <w:gridSpan w:val="3"/>
            <w:tcBorders>
              <w:top w:val="single" w:sz="8" w:space="0" w:color="auto"/>
              <w:left w:val="nil"/>
              <w:bottom w:val="single" w:sz="8" w:space="0" w:color="auto"/>
              <w:right w:val="nil"/>
            </w:tcBorders>
            <w:shd w:val="clear" w:color="auto" w:fill="auto"/>
            <w:noWrap/>
            <w:vAlign w:val="center"/>
            <w:hideMark/>
          </w:tcPr>
          <w:p w14:paraId="429E1ED2" w14:textId="77777777" w:rsidR="00C636F9" w:rsidRPr="002E2B5B" w:rsidRDefault="00C636F9" w:rsidP="00C636F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TOTAL </w:t>
            </w:r>
          </w:p>
        </w:tc>
        <w:tc>
          <w:tcPr>
            <w:tcW w:w="564" w:type="pct"/>
            <w:tcBorders>
              <w:top w:val="single" w:sz="8" w:space="0" w:color="auto"/>
              <w:left w:val="nil"/>
              <w:bottom w:val="single" w:sz="8" w:space="0" w:color="auto"/>
              <w:right w:val="nil"/>
            </w:tcBorders>
            <w:shd w:val="clear" w:color="auto" w:fill="auto"/>
            <w:vAlign w:val="center"/>
            <w:hideMark/>
          </w:tcPr>
          <w:p w14:paraId="47113A60" w14:textId="77777777" w:rsidR="00C636F9" w:rsidRPr="002E2B5B" w:rsidRDefault="00C636F9" w:rsidP="00C636F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758" w:type="pct"/>
            <w:tcBorders>
              <w:top w:val="single" w:sz="8" w:space="0" w:color="auto"/>
              <w:left w:val="nil"/>
              <w:bottom w:val="single" w:sz="8" w:space="0" w:color="auto"/>
              <w:right w:val="nil"/>
            </w:tcBorders>
            <w:shd w:val="clear" w:color="auto" w:fill="auto"/>
            <w:noWrap/>
            <w:vAlign w:val="center"/>
          </w:tcPr>
          <w:p w14:paraId="7AF957C7" w14:textId="77777777" w:rsidR="00C636F9" w:rsidRPr="002E2B5B" w:rsidRDefault="00C636F9" w:rsidP="00C636F9">
            <w:pPr>
              <w:spacing w:after="120"/>
              <w:jc w:val="right"/>
              <w:rPr>
                <w:rFonts w:ascii="Calibri" w:hAnsi="Calibri" w:cs="Calibri"/>
                <w:b/>
                <w:bCs/>
                <w:color w:val="000000"/>
                <w:sz w:val="16"/>
                <w:szCs w:val="16"/>
              </w:rPr>
            </w:pPr>
          </w:p>
        </w:tc>
        <w:tc>
          <w:tcPr>
            <w:tcW w:w="758" w:type="pct"/>
            <w:tcBorders>
              <w:top w:val="single" w:sz="8" w:space="0" w:color="auto"/>
              <w:left w:val="nil"/>
              <w:bottom w:val="single" w:sz="8" w:space="0" w:color="auto"/>
              <w:right w:val="nil"/>
            </w:tcBorders>
            <w:shd w:val="clear" w:color="auto" w:fill="auto"/>
            <w:noWrap/>
            <w:vAlign w:val="center"/>
            <w:hideMark/>
          </w:tcPr>
          <w:p w14:paraId="4AA96481" w14:textId="77777777" w:rsidR="00C636F9" w:rsidRPr="002E2B5B" w:rsidRDefault="00C636F9" w:rsidP="00C636F9">
            <w:pPr>
              <w:spacing w:after="120"/>
              <w:jc w:val="right"/>
              <w:rPr>
                <w:rFonts w:ascii="Calibri" w:hAnsi="Calibri" w:cs="Calibri"/>
                <w:b/>
                <w:bCs/>
                <w:color w:val="000000"/>
                <w:sz w:val="16"/>
                <w:szCs w:val="16"/>
              </w:rPr>
            </w:pPr>
            <w:r>
              <w:rPr>
                <w:rFonts w:ascii="Calibri" w:hAnsi="Calibri" w:cs="Calibri"/>
                <w:b/>
                <w:bCs/>
                <w:color w:val="000000"/>
                <w:sz w:val="16"/>
                <w:szCs w:val="16"/>
              </w:rPr>
              <w:t>800.331</w:t>
            </w:r>
          </w:p>
        </w:tc>
        <w:tc>
          <w:tcPr>
            <w:tcW w:w="757" w:type="pct"/>
            <w:tcBorders>
              <w:top w:val="single" w:sz="8" w:space="0" w:color="auto"/>
              <w:left w:val="nil"/>
              <w:bottom w:val="single" w:sz="8" w:space="0" w:color="auto"/>
              <w:right w:val="nil"/>
            </w:tcBorders>
            <w:shd w:val="clear" w:color="auto" w:fill="auto"/>
            <w:noWrap/>
            <w:vAlign w:val="center"/>
          </w:tcPr>
          <w:p w14:paraId="5F818267" w14:textId="77777777" w:rsidR="00C636F9" w:rsidRPr="002E2B5B" w:rsidRDefault="00C636F9" w:rsidP="00C636F9">
            <w:pPr>
              <w:spacing w:after="120"/>
              <w:jc w:val="right"/>
              <w:rPr>
                <w:rFonts w:ascii="Calibri" w:hAnsi="Calibri" w:cs="Calibri"/>
                <w:b/>
                <w:bCs/>
                <w:color w:val="000000"/>
                <w:sz w:val="16"/>
                <w:szCs w:val="16"/>
              </w:rPr>
            </w:pPr>
            <w:r>
              <w:rPr>
                <w:rFonts w:ascii="Calibri" w:hAnsi="Calibri" w:cs="Calibri"/>
                <w:b/>
                <w:bCs/>
                <w:color w:val="000000"/>
                <w:sz w:val="16"/>
                <w:szCs w:val="16"/>
              </w:rPr>
              <w:t>0</w:t>
            </w:r>
          </w:p>
        </w:tc>
      </w:tr>
    </w:tbl>
    <w:p w14:paraId="7EFC284D" w14:textId="1443C233" w:rsidR="00C636F9" w:rsidRDefault="00C636F9" w:rsidP="00572476">
      <w:pPr>
        <w:spacing w:before="120" w:after="120"/>
        <w:jc w:val="both"/>
        <w:rPr>
          <w:rFonts w:ascii="Calibri" w:hAnsi="Calibri" w:cs="Calibri"/>
          <w:sz w:val="22"/>
          <w:szCs w:val="22"/>
        </w:rPr>
      </w:pPr>
      <w:r w:rsidRPr="00C636F9">
        <w:rPr>
          <w:rFonts w:ascii="Calibri" w:hAnsi="Calibri" w:cs="Calibri"/>
          <w:sz w:val="22"/>
          <w:szCs w:val="22"/>
        </w:rPr>
        <w:t>Referem-se a despesas pagas antecipadamente que serão apropriadas na medida da ocorrência do</w:t>
      </w:r>
      <w:r>
        <w:rPr>
          <w:rFonts w:ascii="Calibri" w:hAnsi="Calibri" w:cs="Calibri"/>
          <w:sz w:val="22"/>
          <w:szCs w:val="22"/>
        </w:rPr>
        <w:t xml:space="preserve"> </w:t>
      </w:r>
      <w:r w:rsidRPr="00C636F9">
        <w:rPr>
          <w:rFonts w:ascii="Calibri" w:hAnsi="Calibri" w:cs="Calibri"/>
          <w:sz w:val="22"/>
          <w:szCs w:val="22"/>
        </w:rPr>
        <w:t>gasto. Destacam-se as assinaturas de softwares como serviço com vigência de 12 meses, e os serviços</w:t>
      </w:r>
      <w:r>
        <w:rPr>
          <w:rFonts w:ascii="Calibri" w:hAnsi="Calibri" w:cs="Calibri"/>
          <w:sz w:val="22"/>
          <w:szCs w:val="22"/>
        </w:rPr>
        <w:t xml:space="preserve"> </w:t>
      </w:r>
      <w:r w:rsidRPr="00C636F9">
        <w:rPr>
          <w:rFonts w:ascii="Calibri" w:hAnsi="Calibri" w:cs="Calibri"/>
          <w:sz w:val="22"/>
          <w:szCs w:val="22"/>
        </w:rPr>
        <w:t>de manutenção de licenças perpétuas de softwares de modelagem de transportes.</w:t>
      </w:r>
      <w:r>
        <w:rPr>
          <w:rFonts w:ascii="Calibri" w:hAnsi="Calibri" w:cs="Calibri"/>
          <w:sz w:val="22"/>
          <w:szCs w:val="22"/>
        </w:rPr>
        <w:t xml:space="preserve"> A integralidade do saldo da presente rubrica é proveniente da incorporação da EPL.</w:t>
      </w:r>
    </w:p>
    <w:p w14:paraId="46ECA68C" w14:textId="7875CCAF" w:rsidR="00C93801" w:rsidRPr="00C93801" w:rsidRDefault="00C93801" w:rsidP="00C93801">
      <w:pPr>
        <w:pStyle w:val="PargrafodaLista"/>
        <w:numPr>
          <w:ilvl w:val="0"/>
          <w:numId w:val="10"/>
        </w:numPr>
        <w:spacing w:after="120"/>
        <w:ind w:left="284" w:hanging="284"/>
        <w:rPr>
          <w:rFonts w:ascii="Calibri" w:hAnsi="Calibri" w:cs="Calibri"/>
          <w:b/>
          <w:sz w:val="22"/>
          <w:szCs w:val="22"/>
        </w:rPr>
      </w:pPr>
      <w:r w:rsidRPr="00C93801">
        <w:rPr>
          <w:rFonts w:ascii="Calibri" w:hAnsi="Calibri" w:cs="Calibri"/>
          <w:b/>
          <w:sz w:val="22"/>
          <w:szCs w:val="22"/>
        </w:rPr>
        <w:t>Outros Créditos a receber</w:t>
      </w:r>
    </w:p>
    <w:p w14:paraId="7FBE3580" w14:textId="517E28C1" w:rsidR="00C93801" w:rsidRDefault="00C93801" w:rsidP="00C93801">
      <w:pPr>
        <w:spacing w:after="120"/>
        <w:jc w:val="both"/>
        <w:rPr>
          <w:rFonts w:ascii="Calibri" w:hAnsi="Calibri" w:cs="Calibri"/>
          <w:sz w:val="22"/>
          <w:szCs w:val="22"/>
        </w:rPr>
      </w:pPr>
      <w:r w:rsidRPr="002E2B5B">
        <w:rPr>
          <w:rFonts w:ascii="Calibri" w:hAnsi="Calibri" w:cs="Calibri"/>
          <w:sz w:val="22"/>
          <w:szCs w:val="22"/>
        </w:rPr>
        <w:t>Outros créditos compreendem os créditos a receber de fornecedores</w:t>
      </w:r>
      <w:r>
        <w:rPr>
          <w:rFonts w:ascii="Calibri" w:hAnsi="Calibri" w:cs="Calibri"/>
          <w:sz w:val="22"/>
          <w:szCs w:val="22"/>
        </w:rPr>
        <w:t xml:space="preserve"> e créditos sobre salário maternidade.</w:t>
      </w:r>
    </w:p>
    <w:p w14:paraId="3D965338" w14:textId="3604C88C" w:rsidR="00F30406" w:rsidRPr="002E2B5B" w:rsidRDefault="00C636F9" w:rsidP="00937ED9">
      <w:pPr>
        <w:spacing w:after="120"/>
        <w:jc w:val="both"/>
        <w:rPr>
          <w:rFonts w:ascii="Calibri" w:hAnsi="Calibri" w:cs="Calibri"/>
          <w:b/>
          <w:sz w:val="22"/>
          <w:szCs w:val="22"/>
        </w:rPr>
      </w:pPr>
      <w:r>
        <w:rPr>
          <w:rFonts w:ascii="Calibri" w:hAnsi="Calibri" w:cs="Calibri"/>
          <w:b/>
          <w:sz w:val="22"/>
          <w:szCs w:val="22"/>
        </w:rPr>
        <w:t>e</w:t>
      </w:r>
      <w:r w:rsidR="0002316D" w:rsidRPr="002E2B5B">
        <w:rPr>
          <w:rFonts w:ascii="Calibri" w:hAnsi="Calibri" w:cs="Calibri"/>
          <w:b/>
          <w:sz w:val="22"/>
          <w:szCs w:val="22"/>
        </w:rPr>
        <w:t>.</w:t>
      </w:r>
      <w:r w:rsidR="00C93801">
        <w:rPr>
          <w:rFonts w:ascii="Calibri" w:hAnsi="Calibri" w:cs="Calibri"/>
          <w:b/>
          <w:sz w:val="22"/>
          <w:szCs w:val="22"/>
        </w:rPr>
        <w:t>1</w:t>
      </w:r>
      <w:r w:rsidR="005D27D4" w:rsidRPr="002E2B5B">
        <w:rPr>
          <w:rFonts w:ascii="Calibri" w:hAnsi="Calibri" w:cs="Calibri"/>
          <w:b/>
          <w:sz w:val="22"/>
          <w:szCs w:val="22"/>
        </w:rPr>
        <w:t>)</w:t>
      </w:r>
      <w:r w:rsidR="005D27D4" w:rsidRPr="002E2B5B">
        <w:rPr>
          <w:rFonts w:ascii="Calibri" w:hAnsi="Calibri" w:cs="Calibri"/>
          <w:sz w:val="22"/>
          <w:szCs w:val="22"/>
        </w:rPr>
        <w:t xml:space="preserve"> </w:t>
      </w:r>
      <w:r w:rsidR="005D27D4" w:rsidRPr="002E2B5B">
        <w:rPr>
          <w:rFonts w:ascii="Calibri" w:hAnsi="Calibri" w:cs="Calibri"/>
          <w:b/>
          <w:sz w:val="22"/>
          <w:szCs w:val="22"/>
        </w:rPr>
        <w:t xml:space="preserve">Créditos </w:t>
      </w:r>
      <w:r w:rsidR="0002316D" w:rsidRPr="002E2B5B">
        <w:rPr>
          <w:rFonts w:ascii="Calibri" w:hAnsi="Calibri" w:cs="Calibri"/>
          <w:b/>
          <w:sz w:val="22"/>
          <w:szCs w:val="22"/>
        </w:rPr>
        <w:t>a Receber</w:t>
      </w:r>
    </w:p>
    <w:p w14:paraId="5EAC0D9C" w14:textId="77BE0498" w:rsidR="00B02177" w:rsidRDefault="00F30406" w:rsidP="00E642E0">
      <w:pPr>
        <w:jc w:val="both"/>
        <w:rPr>
          <w:rFonts w:ascii="Calibri" w:hAnsi="Calibri" w:cs="Calibri"/>
          <w:sz w:val="22"/>
          <w:szCs w:val="22"/>
        </w:rPr>
      </w:pPr>
      <w:bookmarkStart w:id="2" w:name="_Hlk34327011"/>
      <w:r w:rsidRPr="002E2B5B">
        <w:rPr>
          <w:rFonts w:ascii="Calibri" w:hAnsi="Calibri" w:cs="Calibri"/>
          <w:sz w:val="22"/>
          <w:szCs w:val="22"/>
        </w:rPr>
        <w:t>Os créditos a receber referem-se à</w:t>
      </w:r>
      <w:r w:rsidR="00DD5B67" w:rsidRPr="002E2B5B">
        <w:rPr>
          <w:rFonts w:ascii="Calibri" w:hAnsi="Calibri" w:cs="Calibri"/>
          <w:sz w:val="22"/>
          <w:szCs w:val="22"/>
        </w:rPr>
        <w:t xml:space="preserve">s multas compensatórias previstas em contratos, as quais a </w:t>
      </w:r>
      <w:r w:rsidR="00572476">
        <w:rPr>
          <w:rFonts w:ascii="Calibri" w:hAnsi="Calibri" w:cs="Calibri"/>
          <w:sz w:val="22"/>
          <w:szCs w:val="22"/>
        </w:rPr>
        <w:t>Infra S.A.</w:t>
      </w:r>
      <w:r w:rsidR="00DD5B67" w:rsidRPr="002E2B5B">
        <w:rPr>
          <w:rFonts w:ascii="Calibri" w:hAnsi="Calibri" w:cs="Calibri"/>
          <w:sz w:val="22"/>
          <w:szCs w:val="22"/>
        </w:rPr>
        <w:t xml:space="preserve"> aplicou a contratos de fornecedores e que estão sendo cobradas por meio </w:t>
      </w:r>
      <w:r w:rsidRPr="002E2B5B">
        <w:rPr>
          <w:rFonts w:ascii="Calibri" w:hAnsi="Calibri" w:cs="Calibri"/>
          <w:sz w:val="22"/>
          <w:szCs w:val="22"/>
        </w:rPr>
        <w:t>de processos administrativos,</w:t>
      </w:r>
      <w:r w:rsidR="00475112" w:rsidRPr="002E2B5B">
        <w:rPr>
          <w:rFonts w:ascii="Calibri" w:hAnsi="Calibri" w:cs="Calibri"/>
          <w:sz w:val="22"/>
          <w:szCs w:val="22"/>
        </w:rPr>
        <w:t xml:space="preserve"> em decisões </w:t>
      </w:r>
      <w:r w:rsidR="001743C1" w:rsidRPr="002E2B5B">
        <w:rPr>
          <w:rFonts w:ascii="Calibri" w:hAnsi="Calibri" w:cs="Calibri"/>
          <w:sz w:val="22"/>
          <w:szCs w:val="22"/>
        </w:rPr>
        <w:t>originárias</w:t>
      </w:r>
      <w:r w:rsidR="00475112" w:rsidRPr="002E2B5B">
        <w:rPr>
          <w:rFonts w:ascii="Calibri" w:hAnsi="Calibri" w:cs="Calibri"/>
          <w:sz w:val="22"/>
          <w:szCs w:val="22"/>
        </w:rPr>
        <w:t xml:space="preserve"> das Diretoria</w:t>
      </w:r>
      <w:bookmarkEnd w:id="2"/>
      <w:r w:rsidR="00024A86" w:rsidRPr="002E2B5B">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4153"/>
        <w:gridCol w:w="950"/>
        <w:gridCol w:w="2062"/>
        <w:gridCol w:w="2181"/>
        <w:gridCol w:w="974"/>
        <w:gridCol w:w="147"/>
      </w:tblGrid>
      <w:tr w:rsidR="00B02177" w14:paraId="7A5556B4" w14:textId="77777777" w:rsidTr="00A955D3">
        <w:trPr>
          <w:gridAfter w:val="1"/>
          <w:wAfter w:w="70" w:type="pct"/>
          <w:trHeight w:val="690"/>
        </w:trPr>
        <w:tc>
          <w:tcPr>
            <w:tcW w:w="1984" w:type="pct"/>
            <w:vMerge w:val="restart"/>
            <w:tcBorders>
              <w:top w:val="nil"/>
              <w:left w:val="nil"/>
              <w:bottom w:val="single" w:sz="8" w:space="0" w:color="000000"/>
              <w:right w:val="nil"/>
            </w:tcBorders>
            <w:shd w:val="clear" w:color="auto" w:fill="auto"/>
            <w:noWrap/>
            <w:vAlign w:val="center"/>
            <w:hideMark/>
          </w:tcPr>
          <w:p w14:paraId="5082C5AC"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OUTROS CRÉDITOS A RECEBER</w:t>
            </w:r>
          </w:p>
        </w:tc>
        <w:tc>
          <w:tcPr>
            <w:tcW w:w="454" w:type="pct"/>
            <w:vMerge w:val="restart"/>
            <w:tcBorders>
              <w:top w:val="nil"/>
              <w:left w:val="nil"/>
              <w:bottom w:val="single" w:sz="8" w:space="0" w:color="000000"/>
              <w:right w:val="nil"/>
            </w:tcBorders>
            <w:shd w:val="clear" w:color="auto" w:fill="auto"/>
            <w:noWrap/>
            <w:vAlign w:val="center"/>
            <w:hideMark/>
          </w:tcPr>
          <w:p w14:paraId="43E6391E" w14:textId="77777777"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CONTRATO</w:t>
            </w:r>
          </w:p>
        </w:tc>
        <w:tc>
          <w:tcPr>
            <w:tcW w:w="985" w:type="pct"/>
            <w:vMerge w:val="restart"/>
            <w:tcBorders>
              <w:top w:val="nil"/>
              <w:left w:val="nil"/>
              <w:bottom w:val="single" w:sz="8" w:space="0" w:color="000000"/>
              <w:right w:val="nil"/>
            </w:tcBorders>
            <w:shd w:val="clear" w:color="auto" w:fill="auto"/>
            <w:vAlign w:val="center"/>
            <w:hideMark/>
          </w:tcPr>
          <w:p w14:paraId="722A015F" w14:textId="77777777" w:rsidR="00B02177" w:rsidRDefault="00B02177" w:rsidP="00B02177">
            <w:pPr>
              <w:jc w:val="center"/>
              <w:rPr>
                <w:rFonts w:ascii="Calibri" w:hAnsi="Calibri" w:cs="Calibri"/>
                <w:b/>
                <w:bCs/>
                <w:color w:val="000000"/>
                <w:sz w:val="16"/>
                <w:szCs w:val="16"/>
              </w:rPr>
            </w:pPr>
            <w:r>
              <w:rPr>
                <w:rFonts w:ascii="Calibri" w:hAnsi="Calibri" w:cs="Calibri"/>
                <w:b/>
                <w:bCs/>
                <w:color w:val="000000"/>
                <w:sz w:val="16"/>
                <w:szCs w:val="16"/>
              </w:rPr>
              <w:t>PROCESSO ADMINISTRATIVO</w:t>
            </w:r>
          </w:p>
        </w:tc>
        <w:tc>
          <w:tcPr>
            <w:tcW w:w="1042" w:type="pct"/>
            <w:vMerge w:val="restart"/>
            <w:tcBorders>
              <w:top w:val="nil"/>
              <w:left w:val="nil"/>
              <w:bottom w:val="single" w:sz="8" w:space="0" w:color="000000"/>
              <w:right w:val="nil"/>
            </w:tcBorders>
            <w:shd w:val="clear" w:color="auto" w:fill="auto"/>
            <w:vAlign w:val="center"/>
            <w:hideMark/>
          </w:tcPr>
          <w:p w14:paraId="508392AC" w14:textId="6F2C0FF3"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PROCESSO JUDICIAL</w:t>
            </w:r>
          </w:p>
        </w:tc>
        <w:tc>
          <w:tcPr>
            <w:tcW w:w="465" w:type="pct"/>
            <w:vMerge w:val="restart"/>
            <w:tcBorders>
              <w:top w:val="nil"/>
              <w:left w:val="nil"/>
              <w:bottom w:val="single" w:sz="8" w:space="0" w:color="000000"/>
              <w:right w:val="nil"/>
            </w:tcBorders>
            <w:shd w:val="clear" w:color="auto" w:fill="auto"/>
            <w:noWrap/>
            <w:vAlign w:val="center"/>
            <w:hideMark/>
          </w:tcPr>
          <w:p w14:paraId="629E9F62" w14:textId="77777777"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VALOR</w:t>
            </w:r>
          </w:p>
        </w:tc>
      </w:tr>
      <w:tr w:rsidR="00B02177" w14:paraId="691688EF" w14:textId="77777777" w:rsidTr="00A955D3">
        <w:trPr>
          <w:trHeight w:val="44"/>
        </w:trPr>
        <w:tc>
          <w:tcPr>
            <w:tcW w:w="1984" w:type="pct"/>
            <w:vMerge/>
            <w:tcBorders>
              <w:top w:val="nil"/>
              <w:left w:val="nil"/>
              <w:bottom w:val="single" w:sz="8" w:space="0" w:color="000000"/>
              <w:right w:val="nil"/>
            </w:tcBorders>
            <w:vAlign w:val="center"/>
            <w:hideMark/>
          </w:tcPr>
          <w:p w14:paraId="36EC2B02" w14:textId="77777777" w:rsidR="00B02177" w:rsidRDefault="00B02177">
            <w:pPr>
              <w:rPr>
                <w:rFonts w:ascii="Calibri" w:hAnsi="Calibri" w:cs="Calibri"/>
                <w:b/>
                <w:bCs/>
                <w:color w:val="000000"/>
                <w:sz w:val="16"/>
                <w:szCs w:val="16"/>
              </w:rPr>
            </w:pPr>
          </w:p>
        </w:tc>
        <w:tc>
          <w:tcPr>
            <w:tcW w:w="454" w:type="pct"/>
            <w:vMerge/>
            <w:tcBorders>
              <w:top w:val="nil"/>
              <w:left w:val="nil"/>
              <w:bottom w:val="single" w:sz="8" w:space="0" w:color="000000"/>
              <w:right w:val="nil"/>
            </w:tcBorders>
            <w:vAlign w:val="center"/>
            <w:hideMark/>
          </w:tcPr>
          <w:p w14:paraId="1D3AA9B2" w14:textId="77777777" w:rsidR="00B02177" w:rsidRDefault="00B02177">
            <w:pPr>
              <w:rPr>
                <w:rFonts w:ascii="Calibri" w:hAnsi="Calibri" w:cs="Calibri"/>
                <w:b/>
                <w:bCs/>
                <w:color w:val="000000"/>
                <w:sz w:val="16"/>
                <w:szCs w:val="16"/>
              </w:rPr>
            </w:pPr>
          </w:p>
        </w:tc>
        <w:tc>
          <w:tcPr>
            <w:tcW w:w="985" w:type="pct"/>
            <w:vMerge/>
            <w:tcBorders>
              <w:top w:val="nil"/>
              <w:left w:val="nil"/>
              <w:bottom w:val="single" w:sz="8" w:space="0" w:color="000000"/>
              <w:right w:val="nil"/>
            </w:tcBorders>
            <w:vAlign w:val="center"/>
            <w:hideMark/>
          </w:tcPr>
          <w:p w14:paraId="6E8CCD74" w14:textId="77777777" w:rsidR="00B02177" w:rsidRDefault="00B02177">
            <w:pPr>
              <w:rPr>
                <w:rFonts w:ascii="Calibri" w:hAnsi="Calibri" w:cs="Calibri"/>
                <w:b/>
                <w:bCs/>
                <w:color w:val="000000"/>
                <w:sz w:val="16"/>
                <w:szCs w:val="16"/>
              </w:rPr>
            </w:pPr>
          </w:p>
        </w:tc>
        <w:tc>
          <w:tcPr>
            <w:tcW w:w="1042" w:type="pct"/>
            <w:vMerge/>
            <w:tcBorders>
              <w:top w:val="nil"/>
              <w:left w:val="nil"/>
              <w:bottom w:val="single" w:sz="8" w:space="0" w:color="000000"/>
              <w:right w:val="nil"/>
            </w:tcBorders>
            <w:vAlign w:val="center"/>
            <w:hideMark/>
          </w:tcPr>
          <w:p w14:paraId="2AB2D965" w14:textId="77777777" w:rsidR="00B02177" w:rsidRDefault="00B02177">
            <w:pPr>
              <w:rPr>
                <w:rFonts w:ascii="Calibri" w:hAnsi="Calibri" w:cs="Calibri"/>
                <w:b/>
                <w:bCs/>
                <w:color w:val="000000"/>
                <w:sz w:val="16"/>
                <w:szCs w:val="16"/>
              </w:rPr>
            </w:pPr>
          </w:p>
        </w:tc>
        <w:tc>
          <w:tcPr>
            <w:tcW w:w="465" w:type="pct"/>
            <w:vMerge/>
            <w:tcBorders>
              <w:top w:val="nil"/>
              <w:left w:val="nil"/>
              <w:bottom w:val="single" w:sz="8" w:space="0" w:color="000000"/>
              <w:right w:val="nil"/>
            </w:tcBorders>
            <w:vAlign w:val="center"/>
            <w:hideMark/>
          </w:tcPr>
          <w:p w14:paraId="2A4AD414" w14:textId="77777777" w:rsidR="00B02177" w:rsidRDefault="00B02177">
            <w:pPr>
              <w:rPr>
                <w:rFonts w:ascii="Calibri" w:hAnsi="Calibri" w:cs="Calibri"/>
                <w:b/>
                <w:bCs/>
                <w:color w:val="000000"/>
                <w:sz w:val="16"/>
                <w:szCs w:val="16"/>
              </w:rPr>
            </w:pPr>
          </w:p>
        </w:tc>
        <w:tc>
          <w:tcPr>
            <w:tcW w:w="70" w:type="pct"/>
            <w:tcBorders>
              <w:top w:val="nil"/>
              <w:left w:val="nil"/>
              <w:bottom w:val="nil"/>
              <w:right w:val="nil"/>
            </w:tcBorders>
            <w:shd w:val="clear" w:color="auto" w:fill="auto"/>
            <w:noWrap/>
            <w:vAlign w:val="bottom"/>
            <w:hideMark/>
          </w:tcPr>
          <w:p w14:paraId="13B6DBAF" w14:textId="77777777" w:rsidR="00B02177" w:rsidRDefault="00B02177">
            <w:pPr>
              <w:jc w:val="center"/>
              <w:rPr>
                <w:rFonts w:ascii="Calibri" w:hAnsi="Calibri" w:cs="Calibri"/>
                <w:b/>
                <w:bCs/>
                <w:color w:val="000000"/>
                <w:sz w:val="16"/>
                <w:szCs w:val="16"/>
              </w:rPr>
            </w:pPr>
          </w:p>
        </w:tc>
      </w:tr>
      <w:tr w:rsidR="00B02177" w14:paraId="73188C51" w14:textId="77777777" w:rsidTr="00A955D3">
        <w:trPr>
          <w:trHeight w:hRule="exact" w:val="300"/>
        </w:trPr>
        <w:tc>
          <w:tcPr>
            <w:tcW w:w="1984" w:type="pct"/>
            <w:tcBorders>
              <w:top w:val="nil"/>
              <w:left w:val="nil"/>
              <w:bottom w:val="nil"/>
              <w:right w:val="nil"/>
            </w:tcBorders>
            <w:shd w:val="clear" w:color="auto" w:fill="auto"/>
            <w:noWrap/>
            <w:vAlign w:val="center"/>
            <w:hideMark/>
          </w:tcPr>
          <w:p w14:paraId="20903A27"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 xml:space="preserve">Multas Compensatórias </w:t>
            </w:r>
          </w:p>
        </w:tc>
        <w:tc>
          <w:tcPr>
            <w:tcW w:w="454" w:type="pct"/>
            <w:tcBorders>
              <w:top w:val="nil"/>
              <w:left w:val="nil"/>
              <w:bottom w:val="nil"/>
              <w:right w:val="nil"/>
            </w:tcBorders>
            <w:shd w:val="clear" w:color="auto" w:fill="auto"/>
            <w:noWrap/>
            <w:vAlign w:val="center"/>
            <w:hideMark/>
          </w:tcPr>
          <w:p w14:paraId="5813B146" w14:textId="77777777" w:rsidR="00B02177" w:rsidRDefault="00B02177">
            <w:pPr>
              <w:rPr>
                <w:rFonts w:ascii="Calibri" w:hAnsi="Calibri" w:cs="Calibri"/>
                <w:b/>
                <w:bCs/>
                <w:color w:val="000000"/>
                <w:sz w:val="16"/>
                <w:szCs w:val="16"/>
              </w:rPr>
            </w:pPr>
          </w:p>
        </w:tc>
        <w:tc>
          <w:tcPr>
            <w:tcW w:w="985" w:type="pct"/>
            <w:tcBorders>
              <w:top w:val="single" w:sz="8" w:space="0" w:color="auto"/>
              <w:left w:val="nil"/>
              <w:bottom w:val="nil"/>
              <w:right w:val="nil"/>
            </w:tcBorders>
            <w:shd w:val="clear" w:color="auto" w:fill="auto"/>
            <w:vAlign w:val="center"/>
            <w:hideMark/>
          </w:tcPr>
          <w:p w14:paraId="0684B2BC" w14:textId="77777777" w:rsidR="00B02177" w:rsidRDefault="00B02177">
            <w:pPr>
              <w:rPr>
                <w:rFonts w:ascii="Calibri" w:hAnsi="Calibri" w:cs="Calibri"/>
                <w:color w:val="000000"/>
                <w:sz w:val="16"/>
                <w:szCs w:val="16"/>
              </w:rPr>
            </w:pPr>
            <w:r>
              <w:rPr>
                <w:rFonts w:ascii="Calibri" w:hAnsi="Calibri" w:cs="Calibri"/>
                <w:color w:val="000000"/>
                <w:sz w:val="16"/>
                <w:szCs w:val="16"/>
              </w:rPr>
              <w:t> </w:t>
            </w:r>
          </w:p>
        </w:tc>
        <w:tc>
          <w:tcPr>
            <w:tcW w:w="1042" w:type="pct"/>
            <w:tcBorders>
              <w:top w:val="nil"/>
              <w:left w:val="nil"/>
              <w:bottom w:val="nil"/>
              <w:right w:val="nil"/>
            </w:tcBorders>
            <w:shd w:val="clear" w:color="auto" w:fill="auto"/>
            <w:vAlign w:val="center"/>
            <w:hideMark/>
          </w:tcPr>
          <w:p w14:paraId="2BC983C8" w14:textId="77777777" w:rsidR="00B02177" w:rsidRDefault="00B02177">
            <w:pPr>
              <w:rPr>
                <w:rFonts w:ascii="Calibri" w:hAnsi="Calibri" w:cs="Calibri"/>
                <w:color w:val="000000"/>
                <w:sz w:val="16"/>
                <w:szCs w:val="16"/>
              </w:rPr>
            </w:pPr>
          </w:p>
        </w:tc>
        <w:tc>
          <w:tcPr>
            <w:tcW w:w="465" w:type="pct"/>
            <w:tcBorders>
              <w:top w:val="nil"/>
              <w:left w:val="nil"/>
              <w:bottom w:val="nil"/>
              <w:right w:val="nil"/>
            </w:tcBorders>
            <w:shd w:val="clear" w:color="auto" w:fill="auto"/>
            <w:noWrap/>
            <w:vAlign w:val="center"/>
            <w:hideMark/>
          </w:tcPr>
          <w:p w14:paraId="6CD14CF2" w14:textId="77777777" w:rsidR="00B02177" w:rsidRDefault="00B02177">
            <w:pPr>
              <w:jc w:val="right"/>
              <w:rPr>
                <w:sz w:val="20"/>
                <w:szCs w:val="20"/>
              </w:rPr>
            </w:pPr>
          </w:p>
        </w:tc>
        <w:tc>
          <w:tcPr>
            <w:tcW w:w="70" w:type="pct"/>
            <w:vAlign w:val="center"/>
            <w:hideMark/>
          </w:tcPr>
          <w:p w14:paraId="3481D015" w14:textId="77777777" w:rsidR="00B02177" w:rsidRDefault="00B02177">
            <w:pPr>
              <w:rPr>
                <w:sz w:val="20"/>
                <w:szCs w:val="20"/>
              </w:rPr>
            </w:pPr>
          </w:p>
        </w:tc>
      </w:tr>
      <w:tr w:rsidR="00B02177" w14:paraId="02A79B7C" w14:textId="77777777" w:rsidTr="00A955D3">
        <w:trPr>
          <w:trHeight w:val="300"/>
        </w:trPr>
        <w:tc>
          <w:tcPr>
            <w:tcW w:w="1984" w:type="pct"/>
            <w:tcBorders>
              <w:top w:val="nil"/>
              <w:left w:val="nil"/>
              <w:bottom w:val="nil"/>
              <w:right w:val="nil"/>
            </w:tcBorders>
            <w:shd w:val="clear" w:color="auto" w:fill="auto"/>
            <w:noWrap/>
            <w:vAlign w:val="center"/>
            <w:hideMark/>
          </w:tcPr>
          <w:p w14:paraId="0FCC05B3" w14:textId="77777777" w:rsidR="00B02177" w:rsidRDefault="00B02177">
            <w:pPr>
              <w:rPr>
                <w:rFonts w:ascii="Calibri" w:hAnsi="Calibri" w:cs="Calibri"/>
                <w:color w:val="000000"/>
                <w:sz w:val="16"/>
                <w:szCs w:val="16"/>
              </w:rPr>
            </w:pPr>
            <w:r>
              <w:rPr>
                <w:rFonts w:ascii="Calibri" w:hAnsi="Calibri" w:cs="Calibri"/>
                <w:color w:val="000000"/>
                <w:sz w:val="16"/>
                <w:szCs w:val="16"/>
              </w:rPr>
              <w:t>A C CORREA CIA LTDA</w:t>
            </w:r>
          </w:p>
        </w:tc>
        <w:tc>
          <w:tcPr>
            <w:tcW w:w="454" w:type="pct"/>
            <w:tcBorders>
              <w:top w:val="nil"/>
              <w:left w:val="nil"/>
              <w:bottom w:val="nil"/>
              <w:right w:val="nil"/>
            </w:tcBorders>
            <w:shd w:val="clear" w:color="auto" w:fill="auto"/>
            <w:noWrap/>
            <w:vAlign w:val="center"/>
            <w:hideMark/>
          </w:tcPr>
          <w:p w14:paraId="21036AB0"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004/2017</w:t>
            </w:r>
          </w:p>
        </w:tc>
        <w:tc>
          <w:tcPr>
            <w:tcW w:w="985" w:type="pct"/>
            <w:tcBorders>
              <w:top w:val="nil"/>
              <w:left w:val="nil"/>
              <w:bottom w:val="nil"/>
              <w:right w:val="nil"/>
            </w:tcBorders>
            <w:shd w:val="clear" w:color="auto" w:fill="auto"/>
            <w:vAlign w:val="center"/>
            <w:hideMark/>
          </w:tcPr>
          <w:p w14:paraId="1B20A06E"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51402.190111/2017-63</w:t>
            </w:r>
          </w:p>
        </w:tc>
        <w:tc>
          <w:tcPr>
            <w:tcW w:w="1042" w:type="pct"/>
            <w:tcBorders>
              <w:top w:val="nil"/>
              <w:left w:val="nil"/>
              <w:bottom w:val="nil"/>
              <w:right w:val="nil"/>
            </w:tcBorders>
            <w:shd w:val="clear" w:color="auto" w:fill="auto"/>
            <w:vAlign w:val="center"/>
            <w:hideMark/>
          </w:tcPr>
          <w:p w14:paraId="4DB7622B" w14:textId="77777777" w:rsidR="00B02177" w:rsidRDefault="00B02177">
            <w:pPr>
              <w:jc w:val="right"/>
              <w:rPr>
                <w:rFonts w:ascii="Calibri" w:hAnsi="Calibri" w:cs="Calibri"/>
                <w:color w:val="000000"/>
                <w:sz w:val="16"/>
                <w:szCs w:val="16"/>
              </w:rPr>
            </w:pPr>
          </w:p>
        </w:tc>
        <w:tc>
          <w:tcPr>
            <w:tcW w:w="465" w:type="pct"/>
            <w:tcBorders>
              <w:top w:val="nil"/>
              <w:left w:val="nil"/>
              <w:bottom w:val="nil"/>
              <w:right w:val="nil"/>
            </w:tcBorders>
            <w:shd w:val="clear" w:color="auto" w:fill="auto"/>
            <w:noWrap/>
            <w:vAlign w:val="center"/>
            <w:hideMark/>
          </w:tcPr>
          <w:p w14:paraId="0F3DED08"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177.442</w:t>
            </w:r>
          </w:p>
        </w:tc>
        <w:tc>
          <w:tcPr>
            <w:tcW w:w="70" w:type="pct"/>
            <w:vAlign w:val="center"/>
            <w:hideMark/>
          </w:tcPr>
          <w:p w14:paraId="55BB047A" w14:textId="77777777" w:rsidR="00B02177" w:rsidRDefault="00B02177">
            <w:pPr>
              <w:rPr>
                <w:sz w:val="20"/>
                <w:szCs w:val="20"/>
              </w:rPr>
            </w:pPr>
          </w:p>
        </w:tc>
      </w:tr>
      <w:tr w:rsidR="00B02177" w14:paraId="396238F6" w14:textId="77777777" w:rsidTr="00A955D3">
        <w:trPr>
          <w:trHeight w:val="300"/>
        </w:trPr>
        <w:tc>
          <w:tcPr>
            <w:tcW w:w="1984" w:type="pct"/>
            <w:tcBorders>
              <w:top w:val="nil"/>
              <w:left w:val="nil"/>
              <w:bottom w:val="nil"/>
              <w:right w:val="nil"/>
            </w:tcBorders>
            <w:shd w:val="clear" w:color="auto" w:fill="auto"/>
            <w:noWrap/>
            <w:vAlign w:val="center"/>
            <w:hideMark/>
          </w:tcPr>
          <w:p w14:paraId="73048B62" w14:textId="77777777" w:rsidR="00B02177" w:rsidRDefault="00B02177">
            <w:pPr>
              <w:rPr>
                <w:rFonts w:ascii="Calibri" w:hAnsi="Calibri" w:cs="Calibri"/>
                <w:color w:val="000000"/>
                <w:sz w:val="16"/>
                <w:szCs w:val="16"/>
              </w:rPr>
            </w:pPr>
            <w:r>
              <w:rPr>
                <w:rFonts w:ascii="Calibri" w:hAnsi="Calibri" w:cs="Calibri"/>
                <w:color w:val="000000"/>
                <w:sz w:val="16"/>
                <w:szCs w:val="16"/>
              </w:rPr>
              <w:t>AZVI S.A DO BRASIL</w:t>
            </w:r>
          </w:p>
        </w:tc>
        <w:tc>
          <w:tcPr>
            <w:tcW w:w="454" w:type="pct"/>
            <w:tcBorders>
              <w:top w:val="nil"/>
              <w:left w:val="nil"/>
              <w:bottom w:val="nil"/>
              <w:right w:val="nil"/>
            </w:tcBorders>
            <w:shd w:val="clear" w:color="auto" w:fill="auto"/>
            <w:noWrap/>
            <w:vAlign w:val="center"/>
            <w:hideMark/>
          </w:tcPr>
          <w:p w14:paraId="1064164F"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016/2017</w:t>
            </w:r>
          </w:p>
        </w:tc>
        <w:tc>
          <w:tcPr>
            <w:tcW w:w="985" w:type="pct"/>
            <w:tcBorders>
              <w:top w:val="nil"/>
              <w:left w:val="nil"/>
              <w:bottom w:val="nil"/>
              <w:right w:val="nil"/>
            </w:tcBorders>
            <w:shd w:val="clear" w:color="auto" w:fill="auto"/>
            <w:vAlign w:val="center"/>
            <w:hideMark/>
          </w:tcPr>
          <w:p w14:paraId="6AB887DF"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51402.200534/2018-81</w:t>
            </w:r>
          </w:p>
        </w:tc>
        <w:tc>
          <w:tcPr>
            <w:tcW w:w="1042" w:type="pct"/>
            <w:tcBorders>
              <w:top w:val="nil"/>
              <w:left w:val="nil"/>
              <w:bottom w:val="nil"/>
              <w:right w:val="nil"/>
            </w:tcBorders>
            <w:shd w:val="clear" w:color="auto" w:fill="auto"/>
            <w:vAlign w:val="center"/>
            <w:hideMark/>
          </w:tcPr>
          <w:p w14:paraId="44417889" w14:textId="77777777" w:rsidR="00B02177" w:rsidRDefault="00B02177">
            <w:pPr>
              <w:jc w:val="right"/>
              <w:rPr>
                <w:rFonts w:ascii="Calibri" w:hAnsi="Calibri" w:cs="Calibri"/>
                <w:color w:val="000000"/>
                <w:sz w:val="16"/>
                <w:szCs w:val="16"/>
              </w:rPr>
            </w:pPr>
          </w:p>
        </w:tc>
        <w:tc>
          <w:tcPr>
            <w:tcW w:w="465" w:type="pct"/>
            <w:tcBorders>
              <w:top w:val="nil"/>
              <w:left w:val="nil"/>
              <w:bottom w:val="nil"/>
              <w:right w:val="nil"/>
            </w:tcBorders>
            <w:shd w:val="clear" w:color="auto" w:fill="auto"/>
            <w:noWrap/>
            <w:vAlign w:val="center"/>
            <w:hideMark/>
          </w:tcPr>
          <w:p w14:paraId="1EBA09A5"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9.739.968</w:t>
            </w:r>
          </w:p>
        </w:tc>
        <w:tc>
          <w:tcPr>
            <w:tcW w:w="70" w:type="pct"/>
            <w:vAlign w:val="center"/>
            <w:hideMark/>
          </w:tcPr>
          <w:p w14:paraId="6210CBAB" w14:textId="77777777" w:rsidR="00B02177" w:rsidRDefault="00B02177">
            <w:pPr>
              <w:rPr>
                <w:sz w:val="20"/>
                <w:szCs w:val="20"/>
              </w:rPr>
            </w:pPr>
          </w:p>
        </w:tc>
      </w:tr>
      <w:tr w:rsidR="00B02177" w14:paraId="3F92C396" w14:textId="77777777" w:rsidTr="00A955D3">
        <w:trPr>
          <w:trHeight w:val="300"/>
        </w:trPr>
        <w:tc>
          <w:tcPr>
            <w:tcW w:w="1984" w:type="pct"/>
            <w:tcBorders>
              <w:top w:val="nil"/>
              <w:left w:val="nil"/>
              <w:bottom w:val="nil"/>
              <w:right w:val="nil"/>
            </w:tcBorders>
            <w:shd w:val="clear" w:color="auto" w:fill="auto"/>
            <w:noWrap/>
            <w:vAlign w:val="center"/>
            <w:hideMark/>
          </w:tcPr>
          <w:p w14:paraId="0830070B" w14:textId="77777777" w:rsidR="00B02177" w:rsidRDefault="00B02177">
            <w:pPr>
              <w:rPr>
                <w:rFonts w:ascii="Calibri" w:hAnsi="Calibri" w:cs="Calibri"/>
                <w:color w:val="000000"/>
                <w:sz w:val="16"/>
                <w:szCs w:val="16"/>
              </w:rPr>
            </w:pPr>
            <w:r>
              <w:rPr>
                <w:rFonts w:ascii="Calibri" w:hAnsi="Calibri" w:cs="Calibri"/>
                <w:color w:val="000000"/>
                <w:sz w:val="16"/>
                <w:szCs w:val="16"/>
              </w:rPr>
              <w:t>SPAVIAS ENGENHARIA LTDA</w:t>
            </w:r>
          </w:p>
        </w:tc>
        <w:tc>
          <w:tcPr>
            <w:tcW w:w="454" w:type="pct"/>
            <w:tcBorders>
              <w:top w:val="nil"/>
              <w:left w:val="nil"/>
              <w:bottom w:val="nil"/>
              <w:right w:val="nil"/>
            </w:tcBorders>
            <w:shd w:val="clear" w:color="auto" w:fill="auto"/>
            <w:noWrap/>
            <w:vAlign w:val="center"/>
            <w:hideMark/>
          </w:tcPr>
          <w:p w14:paraId="358AE406"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036/2014</w:t>
            </w:r>
          </w:p>
        </w:tc>
        <w:tc>
          <w:tcPr>
            <w:tcW w:w="985" w:type="pct"/>
            <w:tcBorders>
              <w:top w:val="nil"/>
              <w:left w:val="nil"/>
              <w:bottom w:val="nil"/>
              <w:right w:val="nil"/>
            </w:tcBorders>
            <w:shd w:val="clear" w:color="auto" w:fill="auto"/>
            <w:vAlign w:val="center"/>
            <w:hideMark/>
          </w:tcPr>
          <w:p w14:paraId="2C5A8868"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51402.198131/2018-63</w:t>
            </w:r>
          </w:p>
        </w:tc>
        <w:tc>
          <w:tcPr>
            <w:tcW w:w="1042" w:type="pct"/>
            <w:tcBorders>
              <w:top w:val="nil"/>
              <w:left w:val="nil"/>
              <w:bottom w:val="nil"/>
              <w:right w:val="nil"/>
            </w:tcBorders>
            <w:shd w:val="clear" w:color="auto" w:fill="auto"/>
            <w:vAlign w:val="center"/>
            <w:hideMark/>
          </w:tcPr>
          <w:p w14:paraId="282FC989" w14:textId="77777777" w:rsidR="00B02177" w:rsidRDefault="00B02177">
            <w:pPr>
              <w:jc w:val="right"/>
              <w:rPr>
                <w:rFonts w:ascii="Calibri" w:hAnsi="Calibri" w:cs="Calibri"/>
                <w:color w:val="000000"/>
                <w:sz w:val="16"/>
                <w:szCs w:val="16"/>
              </w:rPr>
            </w:pPr>
          </w:p>
        </w:tc>
        <w:tc>
          <w:tcPr>
            <w:tcW w:w="465" w:type="pct"/>
            <w:tcBorders>
              <w:top w:val="nil"/>
              <w:left w:val="nil"/>
              <w:bottom w:val="nil"/>
              <w:right w:val="nil"/>
            </w:tcBorders>
            <w:shd w:val="clear" w:color="auto" w:fill="auto"/>
            <w:noWrap/>
            <w:vAlign w:val="center"/>
            <w:hideMark/>
          </w:tcPr>
          <w:p w14:paraId="4C5358BF"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2.465.411</w:t>
            </w:r>
          </w:p>
        </w:tc>
        <w:tc>
          <w:tcPr>
            <w:tcW w:w="70" w:type="pct"/>
            <w:vAlign w:val="center"/>
            <w:hideMark/>
          </w:tcPr>
          <w:p w14:paraId="34807845" w14:textId="77777777" w:rsidR="00B02177" w:rsidRDefault="00B02177">
            <w:pPr>
              <w:rPr>
                <w:sz w:val="20"/>
                <w:szCs w:val="20"/>
              </w:rPr>
            </w:pPr>
          </w:p>
        </w:tc>
      </w:tr>
      <w:tr w:rsidR="00B02177" w14:paraId="382F49D7" w14:textId="77777777" w:rsidTr="00A955D3">
        <w:trPr>
          <w:trHeight w:hRule="exact" w:val="315"/>
        </w:trPr>
        <w:tc>
          <w:tcPr>
            <w:tcW w:w="1984" w:type="pct"/>
            <w:tcBorders>
              <w:top w:val="nil"/>
              <w:left w:val="nil"/>
              <w:bottom w:val="single" w:sz="8" w:space="0" w:color="auto"/>
              <w:right w:val="nil"/>
            </w:tcBorders>
            <w:shd w:val="clear" w:color="auto" w:fill="auto"/>
            <w:noWrap/>
            <w:vAlign w:val="center"/>
            <w:hideMark/>
          </w:tcPr>
          <w:p w14:paraId="7C662722" w14:textId="13746F98" w:rsidR="00B02177" w:rsidRDefault="00B02177">
            <w:pPr>
              <w:rPr>
                <w:rFonts w:ascii="Calibri" w:hAnsi="Calibri" w:cs="Calibri"/>
                <w:color w:val="000000"/>
                <w:sz w:val="16"/>
                <w:szCs w:val="16"/>
              </w:rPr>
            </w:pPr>
            <w:r>
              <w:rPr>
                <w:rFonts w:ascii="Calibri" w:hAnsi="Calibri" w:cs="Calibri"/>
                <w:color w:val="000000"/>
                <w:sz w:val="16"/>
                <w:szCs w:val="16"/>
              </w:rPr>
              <w:t xml:space="preserve">ALTA ENGENHARIA DE </w:t>
            </w:r>
            <w:r w:rsidR="00E11BEF">
              <w:rPr>
                <w:rFonts w:ascii="Calibri" w:hAnsi="Calibri" w:cs="Calibri"/>
                <w:color w:val="000000"/>
                <w:sz w:val="16"/>
                <w:szCs w:val="16"/>
              </w:rPr>
              <w:t>Infra</w:t>
            </w:r>
            <w:r>
              <w:rPr>
                <w:rFonts w:ascii="Calibri" w:hAnsi="Calibri" w:cs="Calibri"/>
                <w:color w:val="000000"/>
                <w:sz w:val="16"/>
                <w:szCs w:val="16"/>
              </w:rPr>
              <w:t>ESTRUTURA LTDA</w:t>
            </w:r>
          </w:p>
        </w:tc>
        <w:tc>
          <w:tcPr>
            <w:tcW w:w="454" w:type="pct"/>
            <w:tcBorders>
              <w:top w:val="nil"/>
              <w:left w:val="nil"/>
              <w:bottom w:val="single" w:sz="8" w:space="0" w:color="auto"/>
              <w:right w:val="nil"/>
            </w:tcBorders>
            <w:shd w:val="clear" w:color="auto" w:fill="auto"/>
            <w:noWrap/>
            <w:vAlign w:val="center"/>
            <w:hideMark/>
          </w:tcPr>
          <w:p w14:paraId="75F834CA"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036/2014</w:t>
            </w:r>
          </w:p>
        </w:tc>
        <w:tc>
          <w:tcPr>
            <w:tcW w:w="985" w:type="pct"/>
            <w:tcBorders>
              <w:top w:val="nil"/>
              <w:left w:val="nil"/>
              <w:bottom w:val="single" w:sz="8" w:space="0" w:color="auto"/>
              <w:right w:val="nil"/>
            </w:tcBorders>
            <w:shd w:val="clear" w:color="auto" w:fill="auto"/>
            <w:vAlign w:val="center"/>
            <w:hideMark/>
          </w:tcPr>
          <w:p w14:paraId="4E0E29E2"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51402.232530/2019-41</w:t>
            </w:r>
          </w:p>
        </w:tc>
        <w:tc>
          <w:tcPr>
            <w:tcW w:w="1042" w:type="pct"/>
            <w:tcBorders>
              <w:top w:val="nil"/>
              <w:left w:val="nil"/>
              <w:bottom w:val="single" w:sz="8" w:space="0" w:color="auto"/>
              <w:right w:val="nil"/>
            </w:tcBorders>
            <w:shd w:val="clear" w:color="auto" w:fill="auto"/>
            <w:vAlign w:val="center"/>
            <w:hideMark/>
          </w:tcPr>
          <w:p w14:paraId="1069B0BA"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w:t>
            </w:r>
          </w:p>
        </w:tc>
        <w:tc>
          <w:tcPr>
            <w:tcW w:w="465" w:type="pct"/>
            <w:tcBorders>
              <w:top w:val="nil"/>
              <w:left w:val="nil"/>
              <w:bottom w:val="single" w:sz="8" w:space="0" w:color="auto"/>
              <w:right w:val="nil"/>
            </w:tcBorders>
            <w:shd w:val="clear" w:color="auto" w:fill="auto"/>
            <w:noWrap/>
            <w:vAlign w:val="center"/>
            <w:hideMark/>
          </w:tcPr>
          <w:p w14:paraId="41AD7915"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34.308</w:t>
            </w:r>
          </w:p>
        </w:tc>
        <w:tc>
          <w:tcPr>
            <w:tcW w:w="70" w:type="pct"/>
            <w:vAlign w:val="center"/>
            <w:hideMark/>
          </w:tcPr>
          <w:p w14:paraId="370AE63C" w14:textId="77777777" w:rsidR="00B02177" w:rsidRDefault="00B02177">
            <w:pPr>
              <w:rPr>
                <w:sz w:val="20"/>
                <w:szCs w:val="20"/>
              </w:rPr>
            </w:pPr>
          </w:p>
        </w:tc>
      </w:tr>
      <w:tr w:rsidR="00B02177" w14:paraId="3AF9364E" w14:textId="77777777" w:rsidTr="00A955D3">
        <w:trPr>
          <w:trHeight w:hRule="exact" w:val="315"/>
        </w:trPr>
        <w:tc>
          <w:tcPr>
            <w:tcW w:w="1984" w:type="pct"/>
            <w:tcBorders>
              <w:top w:val="nil"/>
              <w:left w:val="nil"/>
              <w:bottom w:val="single" w:sz="8" w:space="0" w:color="auto"/>
              <w:right w:val="nil"/>
            </w:tcBorders>
            <w:shd w:val="clear" w:color="auto" w:fill="auto"/>
            <w:noWrap/>
            <w:vAlign w:val="center"/>
            <w:hideMark/>
          </w:tcPr>
          <w:p w14:paraId="09307FDF"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TOTAL DE CRÉDITOS A RECEBER</w:t>
            </w:r>
          </w:p>
        </w:tc>
        <w:tc>
          <w:tcPr>
            <w:tcW w:w="454" w:type="pct"/>
            <w:tcBorders>
              <w:top w:val="nil"/>
              <w:left w:val="nil"/>
              <w:bottom w:val="single" w:sz="8" w:space="0" w:color="auto"/>
              <w:right w:val="nil"/>
            </w:tcBorders>
            <w:shd w:val="clear" w:color="auto" w:fill="auto"/>
            <w:noWrap/>
            <w:vAlign w:val="center"/>
            <w:hideMark/>
          </w:tcPr>
          <w:p w14:paraId="24A63B6C"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985" w:type="pct"/>
            <w:tcBorders>
              <w:top w:val="single" w:sz="8" w:space="0" w:color="auto"/>
              <w:left w:val="nil"/>
              <w:bottom w:val="single" w:sz="8" w:space="0" w:color="auto"/>
              <w:right w:val="nil"/>
            </w:tcBorders>
            <w:shd w:val="clear" w:color="auto" w:fill="auto"/>
            <w:vAlign w:val="center"/>
            <w:hideMark/>
          </w:tcPr>
          <w:p w14:paraId="1842548F"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1042" w:type="pct"/>
            <w:tcBorders>
              <w:top w:val="nil"/>
              <w:left w:val="nil"/>
              <w:bottom w:val="single" w:sz="8" w:space="0" w:color="auto"/>
              <w:right w:val="nil"/>
            </w:tcBorders>
            <w:shd w:val="clear" w:color="auto" w:fill="auto"/>
            <w:vAlign w:val="center"/>
            <w:hideMark/>
          </w:tcPr>
          <w:p w14:paraId="43B2BFE0"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465" w:type="pct"/>
            <w:tcBorders>
              <w:top w:val="nil"/>
              <w:left w:val="nil"/>
              <w:bottom w:val="single" w:sz="8" w:space="0" w:color="auto"/>
              <w:right w:val="nil"/>
            </w:tcBorders>
            <w:shd w:val="clear" w:color="auto" w:fill="auto"/>
            <w:noWrap/>
            <w:vAlign w:val="center"/>
            <w:hideMark/>
          </w:tcPr>
          <w:p w14:paraId="3B77CA9E"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12.417.129</w:t>
            </w:r>
          </w:p>
        </w:tc>
        <w:tc>
          <w:tcPr>
            <w:tcW w:w="70" w:type="pct"/>
            <w:vAlign w:val="center"/>
            <w:hideMark/>
          </w:tcPr>
          <w:p w14:paraId="7DA4EBDB" w14:textId="77777777" w:rsidR="00B02177" w:rsidRDefault="00B02177">
            <w:pPr>
              <w:rPr>
                <w:sz w:val="20"/>
                <w:szCs w:val="20"/>
              </w:rPr>
            </w:pPr>
          </w:p>
        </w:tc>
      </w:tr>
      <w:tr w:rsidR="00B02177" w14:paraId="608A16DD" w14:textId="77777777" w:rsidTr="00A955D3">
        <w:trPr>
          <w:trHeight w:hRule="exact" w:val="300"/>
        </w:trPr>
        <w:tc>
          <w:tcPr>
            <w:tcW w:w="1984" w:type="pct"/>
            <w:tcBorders>
              <w:top w:val="nil"/>
              <w:left w:val="nil"/>
              <w:bottom w:val="nil"/>
              <w:right w:val="nil"/>
            </w:tcBorders>
            <w:shd w:val="clear" w:color="auto" w:fill="auto"/>
            <w:noWrap/>
            <w:vAlign w:val="center"/>
            <w:hideMark/>
          </w:tcPr>
          <w:p w14:paraId="05A53105" w14:textId="77777777" w:rsidR="00B02177" w:rsidRDefault="00B02177">
            <w:pPr>
              <w:rPr>
                <w:rFonts w:ascii="Calibri" w:hAnsi="Calibri" w:cs="Calibri"/>
                <w:b/>
                <w:bCs/>
                <w:color w:val="000000"/>
                <w:sz w:val="16"/>
                <w:szCs w:val="16"/>
              </w:rPr>
            </w:pPr>
            <w:r>
              <w:rPr>
                <w:rFonts w:ascii="Calibri" w:hAnsi="Calibri" w:cs="Calibri"/>
                <w:b/>
                <w:bCs/>
                <w:color w:val="000000"/>
                <w:sz w:val="16"/>
                <w:szCs w:val="16"/>
              </w:rPr>
              <w:t>Ajustes para Perdas com crédito de liquidação duvidosa</w:t>
            </w:r>
          </w:p>
        </w:tc>
        <w:tc>
          <w:tcPr>
            <w:tcW w:w="454" w:type="pct"/>
            <w:tcBorders>
              <w:top w:val="nil"/>
              <w:left w:val="nil"/>
              <w:bottom w:val="nil"/>
              <w:right w:val="nil"/>
            </w:tcBorders>
            <w:shd w:val="clear" w:color="auto" w:fill="auto"/>
            <w:noWrap/>
            <w:vAlign w:val="center"/>
            <w:hideMark/>
          </w:tcPr>
          <w:p w14:paraId="2D5648C3" w14:textId="77777777" w:rsidR="00B02177" w:rsidRDefault="00B02177">
            <w:pPr>
              <w:rPr>
                <w:rFonts w:ascii="Calibri" w:hAnsi="Calibri" w:cs="Calibri"/>
                <w:b/>
                <w:bCs/>
                <w:color w:val="000000"/>
                <w:sz w:val="16"/>
                <w:szCs w:val="16"/>
              </w:rPr>
            </w:pPr>
          </w:p>
        </w:tc>
        <w:tc>
          <w:tcPr>
            <w:tcW w:w="985" w:type="pct"/>
            <w:tcBorders>
              <w:top w:val="single" w:sz="8" w:space="0" w:color="auto"/>
              <w:left w:val="nil"/>
              <w:bottom w:val="nil"/>
              <w:right w:val="nil"/>
            </w:tcBorders>
            <w:shd w:val="clear" w:color="auto" w:fill="auto"/>
            <w:vAlign w:val="center"/>
            <w:hideMark/>
          </w:tcPr>
          <w:p w14:paraId="6232204D"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 </w:t>
            </w:r>
          </w:p>
        </w:tc>
        <w:tc>
          <w:tcPr>
            <w:tcW w:w="1042" w:type="pct"/>
            <w:tcBorders>
              <w:top w:val="nil"/>
              <w:left w:val="nil"/>
              <w:bottom w:val="nil"/>
              <w:right w:val="nil"/>
            </w:tcBorders>
            <w:shd w:val="clear" w:color="auto" w:fill="auto"/>
            <w:vAlign w:val="center"/>
            <w:hideMark/>
          </w:tcPr>
          <w:p w14:paraId="380E2468" w14:textId="77777777" w:rsidR="00B02177" w:rsidRDefault="00B02177">
            <w:pPr>
              <w:jc w:val="right"/>
              <w:rPr>
                <w:rFonts w:ascii="Calibri" w:hAnsi="Calibri" w:cs="Calibri"/>
                <w:b/>
                <w:bCs/>
                <w:color w:val="000000"/>
                <w:sz w:val="16"/>
                <w:szCs w:val="16"/>
              </w:rPr>
            </w:pPr>
          </w:p>
        </w:tc>
        <w:tc>
          <w:tcPr>
            <w:tcW w:w="465" w:type="pct"/>
            <w:tcBorders>
              <w:top w:val="nil"/>
              <w:left w:val="nil"/>
              <w:bottom w:val="nil"/>
              <w:right w:val="nil"/>
            </w:tcBorders>
            <w:shd w:val="clear" w:color="auto" w:fill="auto"/>
            <w:noWrap/>
            <w:vAlign w:val="center"/>
            <w:hideMark/>
          </w:tcPr>
          <w:p w14:paraId="11977BFB" w14:textId="2E76A042" w:rsidR="00B02177" w:rsidRPr="003B2ACE" w:rsidRDefault="003B2ACE">
            <w:pPr>
              <w:jc w:val="right"/>
              <w:rPr>
                <w:rFonts w:asciiTheme="minorHAnsi" w:hAnsiTheme="minorHAnsi" w:cstheme="minorHAnsi"/>
                <w:b/>
                <w:bCs/>
                <w:sz w:val="16"/>
                <w:szCs w:val="16"/>
              </w:rPr>
            </w:pPr>
            <w:r w:rsidRPr="003B2ACE">
              <w:rPr>
                <w:rFonts w:asciiTheme="minorHAnsi" w:hAnsiTheme="minorHAnsi" w:cstheme="minorHAnsi"/>
                <w:b/>
                <w:bCs/>
                <w:sz w:val="16"/>
                <w:szCs w:val="16"/>
              </w:rPr>
              <w:t>(12.382.821)</w:t>
            </w:r>
          </w:p>
        </w:tc>
        <w:tc>
          <w:tcPr>
            <w:tcW w:w="70" w:type="pct"/>
            <w:vAlign w:val="center"/>
            <w:hideMark/>
          </w:tcPr>
          <w:p w14:paraId="7B7C099F" w14:textId="77777777" w:rsidR="00B02177" w:rsidRDefault="00B02177">
            <w:pPr>
              <w:rPr>
                <w:sz w:val="20"/>
                <w:szCs w:val="20"/>
              </w:rPr>
            </w:pPr>
          </w:p>
        </w:tc>
      </w:tr>
      <w:tr w:rsidR="00B02177" w14:paraId="36229941" w14:textId="77777777" w:rsidTr="00A955D3">
        <w:trPr>
          <w:trHeight w:val="300"/>
        </w:trPr>
        <w:tc>
          <w:tcPr>
            <w:tcW w:w="1984" w:type="pct"/>
            <w:tcBorders>
              <w:top w:val="nil"/>
              <w:left w:val="nil"/>
              <w:bottom w:val="nil"/>
              <w:right w:val="nil"/>
            </w:tcBorders>
            <w:shd w:val="clear" w:color="auto" w:fill="auto"/>
            <w:noWrap/>
            <w:vAlign w:val="center"/>
            <w:hideMark/>
          </w:tcPr>
          <w:p w14:paraId="2C9C111A" w14:textId="77777777" w:rsidR="00B02177" w:rsidRDefault="00B02177">
            <w:pPr>
              <w:rPr>
                <w:rFonts w:ascii="Calibri" w:hAnsi="Calibri" w:cs="Calibri"/>
                <w:color w:val="000000"/>
                <w:sz w:val="16"/>
                <w:szCs w:val="16"/>
              </w:rPr>
            </w:pPr>
            <w:r>
              <w:rPr>
                <w:rFonts w:ascii="Calibri" w:hAnsi="Calibri" w:cs="Calibri"/>
                <w:color w:val="000000"/>
                <w:sz w:val="16"/>
                <w:szCs w:val="16"/>
              </w:rPr>
              <w:t>A C CORREA CIA LTDA</w:t>
            </w:r>
          </w:p>
        </w:tc>
        <w:tc>
          <w:tcPr>
            <w:tcW w:w="454" w:type="pct"/>
            <w:tcBorders>
              <w:top w:val="nil"/>
              <w:left w:val="nil"/>
              <w:bottom w:val="nil"/>
              <w:right w:val="nil"/>
            </w:tcBorders>
            <w:shd w:val="clear" w:color="auto" w:fill="auto"/>
            <w:noWrap/>
            <w:vAlign w:val="center"/>
            <w:hideMark/>
          </w:tcPr>
          <w:p w14:paraId="7A48CCBC"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004/2017</w:t>
            </w:r>
          </w:p>
        </w:tc>
        <w:tc>
          <w:tcPr>
            <w:tcW w:w="985" w:type="pct"/>
            <w:tcBorders>
              <w:top w:val="nil"/>
              <w:left w:val="nil"/>
              <w:bottom w:val="nil"/>
              <w:right w:val="nil"/>
            </w:tcBorders>
            <w:shd w:val="clear" w:color="auto" w:fill="auto"/>
            <w:vAlign w:val="center"/>
            <w:hideMark/>
          </w:tcPr>
          <w:p w14:paraId="55E354A3"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51402.190111/2017-63</w:t>
            </w:r>
          </w:p>
        </w:tc>
        <w:tc>
          <w:tcPr>
            <w:tcW w:w="1042" w:type="pct"/>
            <w:tcBorders>
              <w:top w:val="nil"/>
              <w:left w:val="nil"/>
              <w:bottom w:val="nil"/>
              <w:right w:val="nil"/>
            </w:tcBorders>
            <w:shd w:val="clear" w:color="auto" w:fill="auto"/>
            <w:vAlign w:val="center"/>
            <w:hideMark/>
          </w:tcPr>
          <w:p w14:paraId="0D32D34D"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1009877-63.2020.4.01.3400</w:t>
            </w:r>
          </w:p>
        </w:tc>
        <w:tc>
          <w:tcPr>
            <w:tcW w:w="465" w:type="pct"/>
            <w:tcBorders>
              <w:top w:val="nil"/>
              <w:left w:val="nil"/>
              <w:bottom w:val="nil"/>
              <w:right w:val="nil"/>
            </w:tcBorders>
            <w:shd w:val="clear" w:color="auto" w:fill="auto"/>
            <w:noWrap/>
            <w:vAlign w:val="center"/>
            <w:hideMark/>
          </w:tcPr>
          <w:p w14:paraId="71E0DB87" w14:textId="11042C59" w:rsidR="00B02177" w:rsidRDefault="00B02177">
            <w:pPr>
              <w:jc w:val="right"/>
              <w:rPr>
                <w:rFonts w:ascii="Calibri" w:hAnsi="Calibri" w:cs="Calibri"/>
                <w:color w:val="000000"/>
                <w:sz w:val="16"/>
                <w:szCs w:val="16"/>
              </w:rPr>
            </w:pPr>
            <w:r>
              <w:rPr>
                <w:rFonts w:ascii="Calibri" w:hAnsi="Calibri" w:cs="Calibri"/>
                <w:color w:val="000000"/>
                <w:sz w:val="16"/>
                <w:szCs w:val="16"/>
              </w:rPr>
              <w:t>(177.442)</w:t>
            </w:r>
          </w:p>
        </w:tc>
        <w:tc>
          <w:tcPr>
            <w:tcW w:w="70" w:type="pct"/>
            <w:vAlign w:val="center"/>
            <w:hideMark/>
          </w:tcPr>
          <w:p w14:paraId="5A52D0D6" w14:textId="77777777" w:rsidR="00B02177" w:rsidRDefault="00B02177">
            <w:pPr>
              <w:rPr>
                <w:sz w:val="20"/>
                <w:szCs w:val="20"/>
              </w:rPr>
            </w:pPr>
          </w:p>
        </w:tc>
      </w:tr>
      <w:tr w:rsidR="00B02177" w14:paraId="32A6C92E" w14:textId="77777777" w:rsidTr="00A955D3">
        <w:trPr>
          <w:trHeight w:val="300"/>
        </w:trPr>
        <w:tc>
          <w:tcPr>
            <w:tcW w:w="1984" w:type="pct"/>
            <w:tcBorders>
              <w:top w:val="nil"/>
              <w:left w:val="nil"/>
              <w:bottom w:val="nil"/>
              <w:right w:val="nil"/>
            </w:tcBorders>
            <w:shd w:val="clear" w:color="auto" w:fill="auto"/>
            <w:noWrap/>
            <w:vAlign w:val="center"/>
            <w:hideMark/>
          </w:tcPr>
          <w:p w14:paraId="685E2196" w14:textId="77777777" w:rsidR="00B02177" w:rsidRDefault="00B02177">
            <w:pPr>
              <w:rPr>
                <w:rFonts w:ascii="Calibri" w:hAnsi="Calibri" w:cs="Calibri"/>
                <w:color w:val="000000"/>
                <w:sz w:val="16"/>
                <w:szCs w:val="16"/>
              </w:rPr>
            </w:pPr>
            <w:r>
              <w:rPr>
                <w:rFonts w:ascii="Calibri" w:hAnsi="Calibri" w:cs="Calibri"/>
                <w:color w:val="000000"/>
                <w:sz w:val="16"/>
                <w:szCs w:val="16"/>
              </w:rPr>
              <w:t>AZVI S.A DO BRASIL</w:t>
            </w:r>
          </w:p>
        </w:tc>
        <w:tc>
          <w:tcPr>
            <w:tcW w:w="454" w:type="pct"/>
            <w:tcBorders>
              <w:top w:val="nil"/>
              <w:left w:val="nil"/>
              <w:bottom w:val="nil"/>
              <w:right w:val="nil"/>
            </w:tcBorders>
            <w:shd w:val="clear" w:color="auto" w:fill="auto"/>
            <w:noWrap/>
            <w:vAlign w:val="center"/>
            <w:hideMark/>
          </w:tcPr>
          <w:p w14:paraId="7E3B6290"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016/2017</w:t>
            </w:r>
          </w:p>
        </w:tc>
        <w:tc>
          <w:tcPr>
            <w:tcW w:w="985" w:type="pct"/>
            <w:tcBorders>
              <w:top w:val="nil"/>
              <w:left w:val="nil"/>
              <w:bottom w:val="nil"/>
              <w:right w:val="nil"/>
            </w:tcBorders>
            <w:shd w:val="clear" w:color="auto" w:fill="auto"/>
            <w:vAlign w:val="center"/>
            <w:hideMark/>
          </w:tcPr>
          <w:p w14:paraId="47411DCE"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51402.200534/2018-81</w:t>
            </w:r>
          </w:p>
        </w:tc>
        <w:tc>
          <w:tcPr>
            <w:tcW w:w="1042" w:type="pct"/>
            <w:tcBorders>
              <w:top w:val="nil"/>
              <w:left w:val="nil"/>
              <w:bottom w:val="nil"/>
              <w:right w:val="nil"/>
            </w:tcBorders>
            <w:shd w:val="clear" w:color="auto" w:fill="auto"/>
            <w:vAlign w:val="center"/>
            <w:hideMark/>
          </w:tcPr>
          <w:p w14:paraId="28214C77"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1026732-20.2020.4.01.3400</w:t>
            </w:r>
          </w:p>
        </w:tc>
        <w:tc>
          <w:tcPr>
            <w:tcW w:w="465" w:type="pct"/>
            <w:tcBorders>
              <w:top w:val="nil"/>
              <w:left w:val="nil"/>
              <w:bottom w:val="nil"/>
              <w:right w:val="nil"/>
            </w:tcBorders>
            <w:shd w:val="clear" w:color="auto" w:fill="auto"/>
            <w:noWrap/>
            <w:vAlign w:val="center"/>
            <w:hideMark/>
          </w:tcPr>
          <w:p w14:paraId="207F48E6" w14:textId="21AD1242" w:rsidR="00B02177" w:rsidRDefault="00B02177">
            <w:pPr>
              <w:jc w:val="right"/>
              <w:rPr>
                <w:rFonts w:ascii="Calibri" w:hAnsi="Calibri" w:cs="Calibri"/>
                <w:color w:val="000000"/>
                <w:sz w:val="16"/>
                <w:szCs w:val="16"/>
              </w:rPr>
            </w:pPr>
            <w:r>
              <w:rPr>
                <w:rFonts w:ascii="Calibri" w:hAnsi="Calibri" w:cs="Calibri"/>
                <w:color w:val="000000"/>
                <w:sz w:val="16"/>
                <w:szCs w:val="16"/>
              </w:rPr>
              <w:t>(9.739.968)</w:t>
            </w:r>
          </w:p>
        </w:tc>
        <w:tc>
          <w:tcPr>
            <w:tcW w:w="70" w:type="pct"/>
            <w:vAlign w:val="center"/>
            <w:hideMark/>
          </w:tcPr>
          <w:p w14:paraId="4E1C66F6" w14:textId="77777777" w:rsidR="00B02177" w:rsidRDefault="00B02177">
            <w:pPr>
              <w:rPr>
                <w:sz w:val="20"/>
                <w:szCs w:val="20"/>
              </w:rPr>
            </w:pPr>
          </w:p>
        </w:tc>
      </w:tr>
      <w:tr w:rsidR="00B02177" w14:paraId="1A3882AE" w14:textId="77777777" w:rsidTr="00A955D3">
        <w:trPr>
          <w:trHeight w:hRule="exact" w:val="450"/>
        </w:trPr>
        <w:tc>
          <w:tcPr>
            <w:tcW w:w="1984" w:type="pct"/>
            <w:tcBorders>
              <w:top w:val="nil"/>
              <w:left w:val="nil"/>
              <w:bottom w:val="single" w:sz="8" w:space="0" w:color="auto"/>
              <w:right w:val="nil"/>
            </w:tcBorders>
            <w:shd w:val="clear" w:color="auto" w:fill="auto"/>
            <w:noWrap/>
            <w:vAlign w:val="center"/>
            <w:hideMark/>
          </w:tcPr>
          <w:p w14:paraId="4380AD12" w14:textId="77777777" w:rsidR="00B02177" w:rsidRDefault="00B02177">
            <w:pPr>
              <w:rPr>
                <w:rFonts w:ascii="Calibri" w:hAnsi="Calibri" w:cs="Calibri"/>
                <w:color w:val="000000"/>
                <w:sz w:val="16"/>
                <w:szCs w:val="16"/>
              </w:rPr>
            </w:pPr>
            <w:r>
              <w:rPr>
                <w:rFonts w:ascii="Calibri" w:hAnsi="Calibri" w:cs="Calibri"/>
                <w:color w:val="000000"/>
                <w:sz w:val="16"/>
                <w:szCs w:val="16"/>
              </w:rPr>
              <w:t>SPAVIAS ENGENHARIA LTDA</w:t>
            </w:r>
          </w:p>
        </w:tc>
        <w:tc>
          <w:tcPr>
            <w:tcW w:w="454" w:type="pct"/>
            <w:tcBorders>
              <w:top w:val="nil"/>
              <w:left w:val="nil"/>
              <w:bottom w:val="single" w:sz="8" w:space="0" w:color="auto"/>
              <w:right w:val="nil"/>
            </w:tcBorders>
            <w:shd w:val="clear" w:color="auto" w:fill="auto"/>
            <w:noWrap/>
            <w:vAlign w:val="center"/>
            <w:hideMark/>
          </w:tcPr>
          <w:p w14:paraId="3A7C70B1"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036/2014</w:t>
            </w:r>
          </w:p>
        </w:tc>
        <w:tc>
          <w:tcPr>
            <w:tcW w:w="985" w:type="pct"/>
            <w:tcBorders>
              <w:top w:val="nil"/>
              <w:left w:val="nil"/>
              <w:bottom w:val="single" w:sz="8" w:space="0" w:color="auto"/>
              <w:right w:val="nil"/>
            </w:tcBorders>
            <w:shd w:val="clear" w:color="auto" w:fill="auto"/>
            <w:vAlign w:val="center"/>
            <w:hideMark/>
          </w:tcPr>
          <w:p w14:paraId="52FC1862"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 xml:space="preserve">      51402.198131/2018-63</w:t>
            </w:r>
          </w:p>
        </w:tc>
        <w:tc>
          <w:tcPr>
            <w:tcW w:w="1042" w:type="pct"/>
            <w:tcBorders>
              <w:top w:val="nil"/>
              <w:left w:val="nil"/>
              <w:bottom w:val="single" w:sz="8" w:space="0" w:color="auto"/>
              <w:right w:val="nil"/>
            </w:tcBorders>
            <w:shd w:val="clear" w:color="auto" w:fill="auto"/>
            <w:vAlign w:val="center"/>
            <w:hideMark/>
          </w:tcPr>
          <w:p w14:paraId="2C403887" w14:textId="77777777" w:rsidR="00B02177" w:rsidRDefault="00B02177">
            <w:pPr>
              <w:jc w:val="right"/>
              <w:rPr>
                <w:rFonts w:ascii="Calibri" w:hAnsi="Calibri" w:cs="Calibri"/>
                <w:color w:val="000000"/>
                <w:sz w:val="16"/>
                <w:szCs w:val="16"/>
              </w:rPr>
            </w:pPr>
            <w:r>
              <w:rPr>
                <w:rFonts w:ascii="Calibri" w:hAnsi="Calibri" w:cs="Calibri"/>
                <w:color w:val="000000"/>
                <w:sz w:val="16"/>
                <w:szCs w:val="16"/>
              </w:rPr>
              <w:t>1041194-16.2019.4.01.3400</w:t>
            </w:r>
          </w:p>
        </w:tc>
        <w:tc>
          <w:tcPr>
            <w:tcW w:w="465" w:type="pct"/>
            <w:tcBorders>
              <w:top w:val="nil"/>
              <w:left w:val="nil"/>
              <w:bottom w:val="single" w:sz="8" w:space="0" w:color="auto"/>
              <w:right w:val="nil"/>
            </w:tcBorders>
            <w:shd w:val="clear" w:color="auto" w:fill="auto"/>
            <w:noWrap/>
            <w:vAlign w:val="center"/>
            <w:hideMark/>
          </w:tcPr>
          <w:p w14:paraId="36C54D1D" w14:textId="4265761F" w:rsidR="00B02177" w:rsidRDefault="00B02177">
            <w:pPr>
              <w:jc w:val="right"/>
              <w:rPr>
                <w:rFonts w:ascii="Calibri" w:hAnsi="Calibri" w:cs="Calibri"/>
                <w:color w:val="000000"/>
                <w:sz w:val="16"/>
                <w:szCs w:val="16"/>
              </w:rPr>
            </w:pPr>
            <w:r>
              <w:rPr>
                <w:rFonts w:ascii="Calibri" w:hAnsi="Calibri" w:cs="Calibri"/>
                <w:color w:val="000000"/>
                <w:sz w:val="16"/>
                <w:szCs w:val="16"/>
              </w:rPr>
              <w:t>(2.465.411)</w:t>
            </w:r>
          </w:p>
        </w:tc>
        <w:tc>
          <w:tcPr>
            <w:tcW w:w="70" w:type="pct"/>
            <w:vAlign w:val="center"/>
            <w:hideMark/>
          </w:tcPr>
          <w:p w14:paraId="4A2C229B" w14:textId="77777777" w:rsidR="00B02177" w:rsidRDefault="00B02177">
            <w:pPr>
              <w:rPr>
                <w:sz w:val="20"/>
                <w:szCs w:val="20"/>
              </w:rPr>
            </w:pPr>
          </w:p>
        </w:tc>
      </w:tr>
      <w:tr w:rsidR="00B02177" w14:paraId="15C5728D" w14:textId="77777777" w:rsidTr="00A955D3">
        <w:trPr>
          <w:trHeight w:hRule="exact" w:val="315"/>
        </w:trPr>
        <w:tc>
          <w:tcPr>
            <w:tcW w:w="1984" w:type="pct"/>
            <w:tcBorders>
              <w:top w:val="nil"/>
              <w:left w:val="nil"/>
              <w:bottom w:val="single" w:sz="8" w:space="0" w:color="auto"/>
              <w:right w:val="nil"/>
            </w:tcBorders>
            <w:shd w:val="clear" w:color="auto" w:fill="auto"/>
            <w:noWrap/>
            <w:vAlign w:val="center"/>
            <w:hideMark/>
          </w:tcPr>
          <w:p w14:paraId="04FA160C" w14:textId="614057D7" w:rsidR="00B02177" w:rsidRDefault="00B02177">
            <w:pPr>
              <w:rPr>
                <w:rFonts w:ascii="Calibri" w:hAnsi="Calibri" w:cs="Calibri"/>
                <w:b/>
                <w:bCs/>
                <w:color w:val="000000"/>
                <w:sz w:val="16"/>
                <w:szCs w:val="16"/>
              </w:rPr>
            </w:pPr>
            <w:r>
              <w:rPr>
                <w:rFonts w:ascii="Calibri" w:hAnsi="Calibri" w:cs="Calibri"/>
                <w:b/>
                <w:bCs/>
                <w:color w:val="000000"/>
                <w:sz w:val="16"/>
                <w:szCs w:val="16"/>
              </w:rPr>
              <w:t>TOTAL LÍQUIDO DOS CRÉDITOS A RECEBER em 3</w:t>
            </w:r>
            <w:r w:rsidR="00A955D3">
              <w:rPr>
                <w:rFonts w:ascii="Calibri" w:hAnsi="Calibri" w:cs="Calibri"/>
                <w:b/>
                <w:bCs/>
                <w:color w:val="000000"/>
                <w:sz w:val="16"/>
                <w:szCs w:val="16"/>
              </w:rPr>
              <w:t>0</w:t>
            </w:r>
            <w:r>
              <w:rPr>
                <w:rFonts w:ascii="Calibri" w:hAnsi="Calibri" w:cs="Calibri"/>
                <w:b/>
                <w:bCs/>
                <w:color w:val="000000"/>
                <w:sz w:val="16"/>
                <w:szCs w:val="16"/>
              </w:rPr>
              <w:t>/</w:t>
            </w:r>
            <w:r w:rsidR="00066B19">
              <w:rPr>
                <w:rFonts w:ascii="Calibri" w:hAnsi="Calibri" w:cs="Calibri"/>
                <w:b/>
                <w:bCs/>
                <w:color w:val="000000"/>
                <w:sz w:val="16"/>
                <w:szCs w:val="16"/>
              </w:rPr>
              <w:t>0</w:t>
            </w:r>
            <w:r w:rsidR="005D04BF">
              <w:rPr>
                <w:rFonts w:ascii="Calibri" w:hAnsi="Calibri" w:cs="Calibri"/>
                <w:b/>
                <w:bCs/>
                <w:color w:val="000000"/>
                <w:sz w:val="16"/>
                <w:szCs w:val="16"/>
              </w:rPr>
              <w:t>9</w:t>
            </w:r>
            <w:r>
              <w:rPr>
                <w:rFonts w:ascii="Calibri" w:hAnsi="Calibri" w:cs="Calibri"/>
                <w:b/>
                <w:bCs/>
                <w:color w:val="000000"/>
                <w:sz w:val="16"/>
                <w:szCs w:val="16"/>
              </w:rPr>
              <w:t>/202</w:t>
            </w:r>
            <w:r w:rsidR="00066B19">
              <w:rPr>
                <w:rFonts w:ascii="Calibri" w:hAnsi="Calibri" w:cs="Calibri"/>
                <w:b/>
                <w:bCs/>
                <w:color w:val="000000"/>
                <w:sz w:val="16"/>
                <w:szCs w:val="16"/>
              </w:rPr>
              <w:t>2</w:t>
            </w:r>
          </w:p>
        </w:tc>
        <w:tc>
          <w:tcPr>
            <w:tcW w:w="2481" w:type="pct"/>
            <w:gridSpan w:val="3"/>
            <w:tcBorders>
              <w:top w:val="single" w:sz="8" w:space="0" w:color="auto"/>
              <w:left w:val="nil"/>
              <w:bottom w:val="single" w:sz="8" w:space="0" w:color="auto"/>
              <w:right w:val="nil"/>
            </w:tcBorders>
            <w:shd w:val="clear" w:color="auto" w:fill="auto"/>
            <w:noWrap/>
            <w:vAlign w:val="center"/>
            <w:hideMark/>
          </w:tcPr>
          <w:p w14:paraId="092C6CC1" w14:textId="77777777" w:rsidR="00B02177" w:rsidRDefault="00B02177">
            <w:pPr>
              <w:jc w:val="center"/>
              <w:rPr>
                <w:rFonts w:ascii="Calibri" w:hAnsi="Calibri" w:cs="Calibri"/>
                <w:b/>
                <w:bCs/>
                <w:color w:val="000000"/>
                <w:sz w:val="16"/>
                <w:szCs w:val="16"/>
              </w:rPr>
            </w:pPr>
            <w:r>
              <w:rPr>
                <w:rFonts w:ascii="Calibri" w:hAnsi="Calibri" w:cs="Calibri"/>
                <w:b/>
                <w:bCs/>
                <w:color w:val="000000"/>
                <w:sz w:val="16"/>
                <w:szCs w:val="16"/>
              </w:rPr>
              <w:t> </w:t>
            </w:r>
          </w:p>
        </w:tc>
        <w:tc>
          <w:tcPr>
            <w:tcW w:w="465" w:type="pct"/>
            <w:tcBorders>
              <w:top w:val="nil"/>
              <w:left w:val="nil"/>
              <w:bottom w:val="single" w:sz="8" w:space="0" w:color="auto"/>
              <w:right w:val="nil"/>
            </w:tcBorders>
            <w:shd w:val="clear" w:color="auto" w:fill="auto"/>
            <w:noWrap/>
            <w:vAlign w:val="center"/>
            <w:hideMark/>
          </w:tcPr>
          <w:p w14:paraId="0854E9E7" w14:textId="77777777" w:rsidR="00B02177" w:rsidRDefault="00B02177">
            <w:pPr>
              <w:jc w:val="right"/>
              <w:rPr>
                <w:rFonts w:ascii="Calibri" w:hAnsi="Calibri" w:cs="Calibri"/>
                <w:b/>
                <w:bCs/>
                <w:color w:val="000000"/>
                <w:sz w:val="16"/>
                <w:szCs w:val="16"/>
              </w:rPr>
            </w:pPr>
            <w:r>
              <w:rPr>
                <w:rFonts w:ascii="Calibri" w:hAnsi="Calibri" w:cs="Calibri"/>
                <w:b/>
                <w:bCs/>
                <w:color w:val="000000"/>
                <w:sz w:val="16"/>
                <w:szCs w:val="16"/>
              </w:rPr>
              <w:t>34.308</w:t>
            </w:r>
          </w:p>
        </w:tc>
        <w:tc>
          <w:tcPr>
            <w:tcW w:w="70" w:type="pct"/>
            <w:vAlign w:val="center"/>
            <w:hideMark/>
          </w:tcPr>
          <w:p w14:paraId="3C9E08D4" w14:textId="77777777" w:rsidR="00B02177" w:rsidRDefault="00B02177">
            <w:pPr>
              <w:rPr>
                <w:sz w:val="20"/>
                <w:szCs w:val="20"/>
              </w:rPr>
            </w:pPr>
          </w:p>
        </w:tc>
      </w:tr>
    </w:tbl>
    <w:p w14:paraId="1C29E0B4" w14:textId="77777777" w:rsidR="00B8193C" w:rsidRPr="008D21F0" w:rsidRDefault="00B02177" w:rsidP="0071112C">
      <w:pPr>
        <w:spacing w:before="120" w:after="120"/>
        <w:jc w:val="both"/>
        <w:rPr>
          <w:rFonts w:ascii="Calibri" w:hAnsi="Calibri" w:cs="Calibri"/>
          <w:sz w:val="22"/>
          <w:szCs w:val="22"/>
        </w:rPr>
      </w:pPr>
      <w:r w:rsidRPr="008D21F0">
        <w:rPr>
          <w:rFonts w:ascii="Calibri" w:hAnsi="Calibri" w:cs="Calibri"/>
          <w:sz w:val="22"/>
          <w:szCs w:val="22"/>
        </w:rPr>
        <w:t xml:space="preserve">O critério de avaliação para ajustes para perdas com crédito de liquidação duvidosa foi a judicialização dos processos, os quais passaram a ser tratados como ativos contingenciais que se encontram </w:t>
      </w:r>
      <w:r w:rsidR="00B8193C" w:rsidRPr="008D21F0">
        <w:rPr>
          <w:rFonts w:ascii="Calibri" w:hAnsi="Calibri" w:cs="Calibri"/>
          <w:sz w:val="22"/>
          <w:szCs w:val="22"/>
        </w:rPr>
        <w:t>classificados pela Procuradoria Jurídica como chances de possível êxito</w:t>
      </w:r>
      <w:r w:rsidRPr="008D21F0">
        <w:rPr>
          <w:rFonts w:ascii="Calibri" w:hAnsi="Calibri" w:cs="Calibri"/>
          <w:sz w:val="22"/>
          <w:szCs w:val="22"/>
        </w:rPr>
        <w:t xml:space="preserve">. </w:t>
      </w:r>
    </w:p>
    <w:p w14:paraId="3DBE5488" w14:textId="0F90CDF4" w:rsidR="002A17DE" w:rsidRDefault="00B02177" w:rsidP="00B02177">
      <w:pPr>
        <w:spacing w:after="120"/>
        <w:jc w:val="both"/>
        <w:rPr>
          <w:rFonts w:ascii="Calibri" w:hAnsi="Calibri" w:cs="Calibri"/>
          <w:sz w:val="22"/>
          <w:szCs w:val="22"/>
        </w:rPr>
      </w:pPr>
      <w:r w:rsidRPr="008D21F0">
        <w:rPr>
          <w:rFonts w:ascii="Calibri" w:hAnsi="Calibri" w:cs="Calibri"/>
          <w:sz w:val="22"/>
          <w:szCs w:val="22"/>
        </w:rPr>
        <w:t>A</w:t>
      </w:r>
      <w:r w:rsidR="00A000CB" w:rsidRPr="008D21F0">
        <w:rPr>
          <w:rFonts w:ascii="Calibri" w:hAnsi="Calibri" w:cs="Calibri"/>
          <w:sz w:val="22"/>
          <w:szCs w:val="22"/>
        </w:rPr>
        <w:t>pós a judicialização dos processos de cobranças, foram efetuados</w:t>
      </w:r>
      <w:r w:rsidR="00910A0A" w:rsidRPr="008D21F0">
        <w:rPr>
          <w:rFonts w:ascii="Calibri" w:hAnsi="Calibri" w:cs="Calibri"/>
          <w:sz w:val="22"/>
          <w:szCs w:val="22"/>
        </w:rPr>
        <w:t xml:space="preserve"> ajustes</w:t>
      </w:r>
      <w:r w:rsidR="00A000CB" w:rsidRPr="008D21F0">
        <w:rPr>
          <w:rFonts w:ascii="Calibri" w:hAnsi="Calibri" w:cs="Calibri"/>
          <w:sz w:val="22"/>
          <w:szCs w:val="22"/>
        </w:rPr>
        <w:t xml:space="preserve"> no</w:t>
      </w:r>
      <w:r w:rsidR="0032609E" w:rsidRPr="008D21F0">
        <w:rPr>
          <w:rFonts w:ascii="Calibri" w:hAnsi="Calibri" w:cs="Calibri"/>
          <w:sz w:val="22"/>
          <w:szCs w:val="22"/>
        </w:rPr>
        <w:t xml:space="preserve"> valor</w:t>
      </w:r>
      <w:r w:rsidR="00A000CB" w:rsidRPr="008D21F0">
        <w:rPr>
          <w:rFonts w:ascii="Calibri" w:hAnsi="Calibri" w:cs="Calibri"/>
          <w:sz w:val="22"/>
          <w:szCs w:val="22"/>
        </w:rPr>
        <w:t xml:space="preserve"> total de R$ </w:t>
      </w:r>
      <w:r w:rsidR="00F7773E" w:rsidRPr="008D21F0">
        <w:rPr>
          <w:rFonts w:ascii="Calibri" w:hAnsi="Calibri" w:cs="Calibri"/>
          <w:sz w:val="22"/>
          <w:szCs w:val="22"/>
        </w:rPr>
        <w:t>12</w:t>
      </w:r>
      <w:r w:rsidR="00D219D5">
        <w:rPr>
          <w:rFonts w:ascii="Calibri" w:hAnsi="Calibri" w:cs="Calibri"/>
          <w:sz w:val="22"/>
          <w:szCs w:val="22"/>
        </w:rPr>
        <w:t>,38</w:t>
      </w:r>
      <w:r w:rsidR="00B23D01" w:rsidRPr="008D21F0">
        <w:rPr>
          <w:rFonts w:ascii="Calibri" w:hAnsi="Calibri" w:cs="Calibri"/>
          <w:sz w:val="22"/>
          <w:szCs w:val="22"/>
        </w:rPr>
        <w:t xml:space="preserve"> milhões</w:t>
      </w:r>
      <w:r w:rsidR="00A000CB" w:rsidRPr="008D21F0">
        <w:rPr>
          <w:rFonts w:ascii="Calibri" w:hAnsi="Calibri" w:cs="Calibri"/>
          <w:sz w:val="22"/>
          <w:szCs w:val="22"/>
        </w:rPr>
        <w:t>.</w:t>
      </w:r>
    </w:p>
    <w:p w14:paraId="0E3A2815" w14:textId="2398049E" w:rsidR="002A17DE" w:rsidRPr="002E2B5B" w:rsidRDefault="00C636F9" w:rsidP="002A17DE">
      <w:pPr>
        <w:spacing w:after="120"/>
        <w:jc w:val="both"/>
        <w:rPr>
          <w:rFonts w:ascii="Calibri" w:hAnsi="Calibri" w:cs="Calibri"/>
          <w:b/>
          <w:sz w:val="22"/>
          <w:szCs w:val="22"/>
        </w:rPr>
      </w:pPr>
      <w:r>
        <w:rPr>
          <w:rFonts w:ascii="Calibri" w:hAnsi="Calibri" w:cs="Calibri"/>
          <w:b/>
          <w:sz w:val="22"/>
          <w:szCs w:val="22"/>
        </w:rPr>
        <w:t>e</w:t>
      </w:r>
      <w:r w:rsidR="002A17DE" w:rsidRPr="002E2B5B">
        <w:rPr>
          <w:rFonts w:ascii="Calibri" w:hAnsi="Calibri" w:cs="Calibri"/>
          <w:b/>
          <w:sz w:val="22"/>
          <w:szCs w:val="22"/>
        </w:rPr>
        <w:t>.</w:t>
      </w:r>
      <w:r w:rsidR="00C93801">
        <w:rPr>
          <w:rFonts w:ascii="Calibri" w:hAnsi="Calibri" w:cs="Calibri"/>
          <w:b/>
          <w:sz w:val="22"/>
          <w:szCs w:val="22"/>
        </w:rPr>
        <w:t>2</w:t>
      </w:r>
      <w:r w:rsidR="002A17DE" w:rsidRPr="002E2B5B">
        <w:rPr>
          <w:rFonts w:ascii="Calibri" w:hAnsi="Calibri" w:cs="Calibri"/>
          <w:b/>
          <w:sz w:val="22"/>
          <w:szCs w:val="22"/>
        </w:rPr>
        <w:t>)</w:t>
      </w:r>
      <w:r w:rsidR="002A17DE" w:rsidRPr="002E2B5B">
        <w:rPr>
          <w:rFonts w:ascii="Calibri" w:hAnsi="Calibri" w:cs="Calibri"/>
          <w:sz w:val="22"/>
          <w:szCs w:val="22"/>
        </w:rPr>
        <w:t xml:space="preserve"> </w:t>
      </w:r>
      <w:r w:rsidR="002A17DE" w:rsidRPr="002E2B5B">
        <w:rPr>
          <w:rFonts w:ascii="Calibri" w:hAnsi="Calibri" w:cs="Calibri"/>
          <w:b/>
          <w:sz w:val="22"/>
          <w:szCs w:val="22"/>
        </w:rPr>
        <w:t xml:space="preserve">Créditos </w:t>
      </w:r>
      <w:r w:rsidR="002A17DE">
        <w:rPr>
          <w:rFonts w:ascii="Calibri" w:hAnsi="Calibri" w:cs="Calibri"/>
          <w:b/>
          <w:sz w:val="22"/>
          <w:szCs w:val="22"/>
        </w:rPr>
        <w:t>Salário Maternidade</w:t>
      </w:r>
    </w:p>
    <w:tbl>
      <w:tblPr>
        <w:tblW w:w="5000" w:type="pct"/>
        <w:tblCellMar>
          <w:left w:w="70" w:type="dxa"/>
          <w:right w:w="70" w:type="dxa"/>
        </w:tblCellMar>
        <w:tblLook w:val="04A0" w:firstRow="1" w:lastRow="0" w:firstColumn="1" w:lastColumn="0" w:noHBand="0" w:noVBand="1"/>
      </w:tblPr>
      <w:tblGrid>
        <w:gridCol w:w="2415"/>
        <w:gridCol w:w="1341"/>
        <w:gridCol w:w="1343"/>
        <w:gridCol w:w="1038"/>
        <w:gridCol w:w="1444"/>
        <w:gridCol w:w="1444"/>
        <w:gridCol w:w="1442"/>
      </w:tblGrid>
      <w:tr w:rsidR="00ED5DC7" w:rsidRPr="002E2B5B" w14:paraId="54A7AAE0" w14:textId="77777777" w:rsidTr="007D40EC">
        <w:trPr>
          <w:trHeight w:val="315"/>
        </w:trPr>
        <w:tc>
          <w:tcPr>
            <w:tcW w:w="2143" w:type="pct"/>
            <w:gridSpan w:val="3"/>
            <w:tcBorders>
              <w:top w:val="nil"/>
              <w:left w:val="nil"/>
              <w:bottom w:val="single" w:sz="8" w:space="0" w:color="auto"/>
              <w:right w:val="nil"/>
            </w:tcBorders>
            <w:shd w:val="clear" w:color="auto" w:fill="auto"/>
            <w:noWrap/>
            <w:vAlign w:val="center"/>
            <w:hideMark/>
          </w:tcPr>
          <w:p w14:paraId="6EBCEEF2" w14:textId="1D0B7B77" w:rsidR="00ED5DC7" w:rsidRPr="002E2B5B" w:rsidRDefault="00ED5DC7" w:rsidP="007D40EC">
            <w:pPr>
              <w:spacing w:after="120"/>
              <w:rPr>
                <w:rFonts w:ascii="Calibri" w:hAnsi="Calibri" w:cs="Calibri"/>
                <w:b/>
                <w:bCs/>
                <w:color w:val="000000"/>
                <w:sz w:val="16"/>
                <w:szCs w:val="16"/>
              </w:rPr>
            </w:pPr>
            <w:bookmarkStart w:id="3" w:name="_Hlk119680071"/>
            <w:r>
              <w:rPr>
                <w:rFonts w:ascii="Calibri" w:hAnsi="Calibri" w:cs="Calibri"/>
                <w:b/>
                <w:bCs/>
                <w:color w:val="000000"/>
                <w:sz w:val="16"/>
                <w:szCs w:val="16"/>
              </w:rPr>
              <w:t>Salário Maternidade</w:t>
            </w:r>
          </w:p>
        </w:tc>
        <w:tc>
          <w:tcPr>
            <w:tcW w:w="569" w:type="pct"/>
            <w:tcBorders>
              <w:top w:val="nil"/>
              <w:left w:val="nil"/>
              <w:bottom w:val="single" w:sz="8" w:space="0" w:color="auto"/>
              <w:right w:val="nil"/>
            </w:tcBorders>
            <w:shd w:val="clear" w:color="auto" w:fill="auto"/>
            <w:vAlign w:val="center"/>
            <w:hideMark/>
          </w:tcPr>
          <w:p w14:paraId="6127ADD4" w14:textId="77777777" w:rsidR="00ED5DC7" w:rsidRPr="002E2B5B" w:rsidRDefault="00ED5DC7" w:rsidP="007D40EC">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bottom"/>
          </w:tcPr>
          <w:p w14:paraId="4A4477DB" w14:textId="77777777" w:rsidR="00ED5DC7" w:rsidRPr="002E2B5B" w:rsidRDefault="00ED5DC7" w:rsidP="007D40EC">
            <w:pPr>
              <w:spacing w:after="120"/>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bottom"/>
            <w:hideMark/>
          </w:tcPr>
          <w:p w14:paraId="3FB6DE3B" w14:textId="77777777" w:rsidR="00ED5DC7" w:rsidRPr="002E2B5B" w:rsidRDefault="00ED5DC7" w:rsidP="007D40EC">
            <w:pPr>
              <w:spacing w:after="120"/>
              <w:jc w:val="right"/>
              <w:rPr>
                <w:rFonts w:ascii="Calibri" w:hAnsi="Calibri" w:cs="Calibri"/>
                <w:b/>
                <w:bCs/>
                <w:color w:val="000000"/>
                <w:sz w:val="16"/>
                <w:szCs w:val="16"/>
              </w:rPr>
            </w:pPr>
            <w:r>
              <w:rPr>
                <w:rFonts w:ascii="Calibri" w:hAnsi="Calibri" w:cs="Calibri"/>
                <w:b/>
                <w:bCs/>
                <w:color w:val="000000"/>
                <w:sz w:val="16"/>
                <w:szCs w:val="16"/>
              </w:rPr>
              <w:t>30/09/</w:t>
            </w:r>
            <w:r w:rsidRPr="002E2B5B">
              <w:rPr>
                <w:rFonts w:ascii="Calibri" w:hAnsi="Calibri" w:cs="Calibri"/>
                <w:b/>
                <w:bCs/>
                <w:color w:val="000000"/>
                <w:sz w:val="16"/>
                <w:szCs w:val="16"/>
              </w:rPr>
              <w:t>202</w:t>
            </w:r>
            <w:r>
              <w:rPr>
                <w:rFonts w:ascii="Calibri" w:hAnsi="Calibri" w:cs="Calibri"/>
                <w:b/>
                <w:bCs/>
                <w:color w:val="000000"/>
                <w:sz w:val="16"/>
                <w:szCs w:val="16"/>
              </w:rPr>
              <w:t>2</w:t>
            </w:r>
          </w:p>
        </w:tc>
        <w:tc>
          <w:tcPr>
            <w:tcW w:w="762" w:type="pct"/>
            <w:tcBorders>
              <w:top w:val="nil"/>
              <w:left w:val="nil"/>
              <w:bottom w:val="single" w:sz="8" w:space="0" w:color="auto"/>
              <w:right w:val="nil"/>
            </w:tcBorders>
            <w:shd w:val="clear" w:color="auto" w:fill="auto"/>
            <w:noWrap/>
            <w:vAlign w:val="bottom"/>
          </w:tcPr>
          <w:p w14:paraId="657856D2" w14:textId="77777777" w:rsidR="00ED5DC7" w:rsidRPr="002E2B5B" w:rsidRDefault="00ED5DC7" w:rsidP="007D40EC">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Pr>
                <w:rFonts w:ascii="Calibri" w:hAnsi="Calibri" w:cs="Calibri"/>
                <w:b/>
                <w:bCs/>
                <w:color w:val="000000"/>
                <w:sz w:val="16"/>
                <w:szCs w:val="16"/>
              </w:rPr>
              <w:t>21</w:t>
            </w:r>
          </w:p>
        </w:tc>
      </w:tr>
      <w:tr w:rsidR="00ED5DC7" w:rsidRPr="002E2B5B" w14:paraId="54A64C80" w14:textId="77777777" w:rsidTr="007D40EC">
        <w:trPr>
          <w:trHeight w:val="300"/>
        </w:trPr>
        <w:tc>
          <w:tcPr>
            <w:tcW w:w="2143" w:type="pct"/>
            <w:gridSpan w:val="3"/>
            <w:tcBorders>
              <w:top w:val="nil"/>
              <w:left w:val="nil"/>
              <w:bottom w:val="nil"/>
              <w:right w:val="nil"/>
            </w:tcBorders>
            <w:shd w:val="clear" w:color="auto" w:fill="auto"/>
            <w:noWrap/>
            <w:vAlign w:val="center"/>
            <w:hideMark/>
          </w:tcPr>
          <w:p w14:paraId="3F53457E" w14:textId="03FF7936" w:rsidR="00ED5DC7" w:rsidRPr="002E2B5B" w:rsidRDefault="00ED5DC7" w:rsidP="007D40EC">
            <w:pPr>
              <w:spacing w:after="120"/>
              <w:rPr>
                <w:rFonts w:ascii="Calibri" w:hAnsi="Calibri" w:cs="Calibri"/>
                <w:color w:val="000000"/>
                <w:sz w:val="16"/>
                <w:szCs w:val="16"/>
              </w:rPr>
            </w:pPr>
            <w:r w:rsidRPr="00ED5DC7">
              <w:rPr>
                <w:rFonts w:ascii="Calibri" w:hAnsi="Calibri" w:cs="Calibri"/>
                <w:color w:val="000000"/>
                <w:sz w:val="16"/>
                <w:szCs w:val="16"/>
              </w:rPr>
              <w:t>Saldo do exercício anterior – 31/12/2021</w:t>
            </w:r>
          </w:p>
        </w:tc>
        <w:tc>
          <w:tcPr>
            <w:tcW w:w="569" w:type="pct"/>
            <w:tcBorders>
              <w:top w:val="nil"/>
              <w:left w:val="nil"/>
              <w:bottom w:val="nil"/>
              <w:right w:val="nil"/>
            </w:tcBorders>
            <w:shd w:val="clear" w:color="auto" w:fill="auto"/>
            <w:vAlign w:val="center"/>
            <w:hideMark/>
          </w:tcPr>
          <w:p w14:paraId="789DBEBF" w14:textId="77777777" w:rsidR="00ED5DC7" w:rsidRPr="002E2B5B" w:rsidRDefault="00ED5DC7" w:rsidP="007D40EC">
            <w:pPr>
              <w:spacing w:after="120"/>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tcPr>
          <w:p w14:paraId="56ABACA2" w14:textId="77777777" w:rsidR="00ED5DC7" w:rsidRPr="002E2B5B" w:rsidRDefault="00ED5DC7" w:rsidP="007D40EC">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130A9773" w14:textId="3B00377E" w:rsidR="00ED5DC7" w:rsidRPr="002E2B5B" w:rsidRDefault="0012030D" w:rsidP="007D40EC">
            <w:pPr>
              <w:spacing w:after="120"/>
              <w:jc w:val="right"/>
              <w:rPr>
                <w:rFonts w:ascii="Calibri" w:hAnsi="Calibri" w:cs="Calibri"/>
                <w:color w:val="000000"/>
                <w:sz w:val="16"/>
                <w:szCs w:val="16"/>
              </w:rPr>
            </w:pPr>
            <w:r w:rsidRPr="0012030D">
              <w:rPr>
                <w:rFonts w:ascii="Calibri" w:hAnsi="Calibri" w:cs="Calibri"/>
                <w:color w:val="000000"/>
                <w:sz w:val="16"/>
                <w:szCs w:val="16"/>
              </w:rPr>
              <w:t>13.897</w:t>
            </w:r>
          </w:p>
        </w:tc>
        <w:tc>
          <w:tcPr>
            <w:tcW w:w="762" w:type="pct"/>
            <w:tcBorders>
              <w:top w:val="nil"/>
              <w:left w:val="nil"/>
              <w:bottom w:val="nil"/>
              <w:right w:val="nil"/>
            </w:tcBorders>
            <w:shd w:val="clear" w:color="auto" w:fill="auto"/>
            <w:noWrap/>
            <w:vAlign w:val="center"/>
          </w:tcPr>
          <w:p w14:paraId="1860CD07" w14:textId="77777777" w:rsidR="00ED5DC7" w:rsidRPr="002E2B5B" w:rsidRDefault="00ED5DC7" w:rsidP="007D40EC">
            <w:pPr>
              <w:spacing w:after="120"/>
              <w:jc w:val="right"/>
              <w:rPr>
                <w:rFonts w:ascii="Calibri" w:hAnsi="Calibri" w:cs="Calibri"/>
                <w:color w:val="000000"/>
                <w:sz w:val="16"/>
                <w:szCs w:val="16"/>
              </w:rPr>
            </w:pPr>
            <w:r>
              <w:rPr>
                <w:rFonts w:ascii="Calibri" w:hAnsi="Calibri" w:cs="Calibri"/>
                <w:color w:val="000000"/>
                <w:sz w:val="16"/>
                <w:szCs w:val="16"/>
              </w:rPr>
              <w:t>0</w:t>
            </w:r>
          </w:p>
        </w:tc>
      </w:tr>
      <w:tr w:rsidR="00ED5DC7" w:rsidRPr="002E2B5B" w14:paraId="3D11CD3B" w14:textId="77777777" w:rsidTr="007D40EC">
        <w:trPr>
          <w:trHeight w:val="300"/>
        </w:trPr>
        <w:tc>
          <w:tcPr>
            <w:tcW w:w="2143" w:type="pct"/>
            <w:gridSpan w:val="3"/>
            <w:tcBorders>
              <w:top w:val="nil"/>
              <w:left w:val="nil"/>
              <w:bottom w:val="nil"/>
              <w:right w:val="nil"/>
            </w:tcBorders>
            <w:shd w:val="clear" w:color="auto" w:fill="auto"/>
            <w:noWrap/>
            <w:vAlign w:val="center"/>
          </w:tcPr>
          <w:p w14:paraId="24925137" w14:textId="47708FE7" w:rsidR="00ED5DC7" w:rsidRPr="00ED5DC7" w:rsidRDefault="00ED5DC7" w:rsidP="007D40EC">
            <w:pPr>
              <w:spacing w:after="120"/>
              <w:rPr>
                <w:rFonts w:ascii="Calibri" w:hAnsi="Calibri" w:cs="Calibri"/>
                <w:color w:val="000000"/>
                <w:sz w:val="16"/>
                <w:szCs w:val="16"/>
              </w:rPr>
            </w:pPr>
            <w:r w:rsidRPr="00ED5DC7">
              <w:rPr>
                <w:rFonts w:ascii="Calibri" w:hAnsi="Calibri" w:cs="Calibri"/>
                <w:color w:val="000000"/>
                <w:sz w:val="16"/>
                <w:szCs w:val="16"/>
              </w:rPr>
              <w:t>Salário Maternidade a Compensar</w:t>
            </w:r>
          </w:p>
        </w:tc>
        <w:tc>
          <w:tcPr>
            <w:tcW w:w="569" w:type="pct"/>
            <w:tcBorders>
              <w:top w:val="nil"/>
              <w:left w:val="nil"/>
              <w:bottom w:val="nil"/>
              <w:right w:val="nil"/>
            </w:tcBorders>
            <w:shd w:val="clear" w:color="auto" w:fill="auto"/>
            <w:vAlign w:val="center"/>
          </w:tcPr>
          <w:p w14:paraId="1C426DE5" w14:textId="77777777" w:rsidR="00ED5DC7" w:rsidRPr="002E2B5B" w:rsidRDefault="00ED5DC7" w:rsidP="007D40EC">
            <w:pPr>
              <w:spacing w:after="120"/>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tcPr>
          <w:p w14:paraId="3B7EA589" w14:textId="77777777" w:rsidR="00ED5DC7" w:rsidRPr="002E2B5B" w:rsidRDefault="00ED5DC7" w:rsidP="007D40EC">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tcPr>
          <w:p w14:paraId="04A14D38" w14:textId="76DC4546" w:rsidR="00ED5DC7" w:rsidRPr="00E642E0" w:rsidRDefault="0012030D" w:rsidP="007D40EC">
            <w:pPr>
              <w:spacing w:after="120"/>
              <w:jc w:val="right"/>
              <w:rPr>
                <w:rFonts w:ascii="Calibri" w:hAnsi="Calibri" w:cs="Calibri"/>
                <w:color w:val="000000"/>
                <w:sz w:val="16"/>
                <w:szCs w:val="16"/>
              </w:rPr>
            </w:pPr>
            <w:r w:rsidRPr="0012030D">
              <w:rPr>
                <w:rFonts w:ascii="Calibri" w:hAnsi="Calibri" w:cs="Calibri"/>
                <w:color w:val="000000"/>
                <w:sz w:val="16"/>
                <w:szCs w:val="16"/>
              </w:rPr>
              <w:t>131.548</w:t>
            </w:r>
          </w:p>
        </w:tc>
        <w:tc>
          <w:tcPr>
            <w:tcW w:w="762" w:type="pct"/>
            <w:tcBorders>
              <w:top w:val="nil"/>
              <w:left w:val="nil"/>
              <w:bottom w:val="nil"/>
              <w:right w:val="nil"/>
            </w:tcBorders>
            <w:shd w:val="clear" w:color="auto" w:fill="auto"/>
            <w:noWrap/>
            <w:vAlign w:val="center"/>
          </w:tcPr>
          <w:p w14:paraId="3B1C05A8" w14:textId="4CA28290" w:rsidR="00ED5DC7" w:rsidRDefault="0012030D" w:rsidP="007D40EC">
            <w:pPr>
              <w:spacing w:after="120"/>
              <w:jc w:val="right"/>
              <w:rPr>
                <w:rFonts w:ascii="Calibri" w:hAnsi="Calibri" w:cs="Calibri"/>
                <w:color w:val="000000"/>
                <w:sz w:val="16"/>
                <w:szCs w:val="16"/>
              </w:rPr>
            </w:pPr>
            <w:r>
              <w:rPr>
                <w:rFonts w:ascii="Calibri" w:hAnsi="Calibri" w:cs="Calibri"/>
                <w:color w:val="000000"/>
                <w:sz w:val="16"/>
                <w:szCs w:val="16"/>
              </w:rPr>
              <w:t>13.897</w:t>
            </w:r>
          </w:p>
        </w:tc>
      </w:tr>
      <w:tr w:rsidR="00ED5DC7" w:rsidRPr="002E2B5B" w14:paraId="0859F61A" w14:textId="77777777" w:rsidTr="007D40EC">
        <w:trPr>
          <w:trHeight w:val="300"/>
        </w:trPr>
        <w:tc>
          <w:tcPr>
            <w:tcW w:w="714" w:type="pct"/>
            <w:tcBorders>
              <w:top w:val="nil"/>
              <w:left w:val="nil"/>
              <w:bottom w:val="single" w:sz="8" w:space="0" w:color="auto"/>
              <w:right w:val="nil"/>
            </w:tcBorders>
            <w:shd w:val="clear" w:color="auto" w:fill="auto"/>
            <w:noWrap/>
            <w:vAlign w:val="center"/>
            <w:hideMark/>
          </w:tcPr>
          <w:p w14:paraId="0AD1A4DE" w14:textId="60B0C5FF" w:rsidR="00ED5DC7" w:rsidRPr="002E2B5B" w:rsidRDefault="00ED5DC7" w:rsidP="007D40EC">
            <w:pPr>
              <w:spacing w:after="120"/>
              <w:rPr>
                <w:rFonts w:ascii="Calibri" w:hAnsi="Calibri" w:cs="Calibri"/>
                <w:color w:val="000000"/>
                <w:sz w:val="16"/>
                <w:szCs w:val="16"/>
              </w:rPr>
            </w:pPr>
            <w:r w:rsidRPr="00ED5DC7">
              <w:rPr>
                <w:rFonts w:ascii="Calibri" w:hAnsi="Calibri" w:cs="Calibri"/>
                <w:color w:val="000000"/>
                <w:sz w:val="16"/>
                <w:szCs w:val="16"/>
              </w:rPr>
              <w:t>Compensação Salário Maternidade</w:t>
            </w:r>
          </w:p>
        </w:tc>
        <w:tc>
          <w:tcPr>
            <w:tcW w:w="714" w:type="pct"/>
            <w:tcBorders>
              <w:top w:val="nil"/>
              <w:left w:val="nil"/>
              <w:bottom w:val="single" w:sz="8" w:space="0" w:color="auto"/>
              <w:right w:val="nil"/>
            </w:tcBorders>
            <w:shd w:val="clear" w:color="auto" w:fill="auto"/>
            <w:noWrap/>
            <w:vAlign w:val="bottom"/>
            <w:hideMark/>
          </w:tcPr>
          <w:p w14:paraId="27AE8E60" w14:textId="77777777" w:rsidR="00ED5DC7" w:rsidRPr="002E2B5B" w:rsidRDefault="00ED5DC7" w:rsidP="007D40EC">
            <w:pPr>
              <w:spacing w:after="120"/>
              <w:rPr>
                <w:rFonts w:ascii="Calibri" w:hAnsi="Calibri" w:cs="Calibri"/>
                <w:color w:val="000000"/>
                <w:sz w:val="16"/>
                <w:szCs w:val="16"/>
              </w:rPr>
            </w:pPr>
          </w:p>
        </w:tc>
        <w:tc>
          <w:tcPr>
            <w:tcW w:w="715" w:type="pct"/>
            <w:tcBorders>
              <w:top w:val="nil"/>
              <w:left w:val="nil"/>
              <w:bottom w:val="single" w:sz="8" w:space="0" w:color="auto"/>
              <w:right w:val="nil"/>
            </w:tcBorders>
            <w:shd w:val="clear" w:color="auto" w:fill="auto"/>
            <w:noWrap/>
            <w:vAlign w:val="bottom"/>
            <w:hideMark/>
          </w:tcPr>
          <w:p w14:paraId="6E98B56A" w14:textId="77777777" w:rsidR="00ED5DC7" w:rsidRPr="002E2B5B" w:rsidRDefault="00ED5DC7" w:rsidP="007D40EC">
            <w:pPr>
              <w:spacing w:after="120"/>
              <w:rPr>
                <w:rFonts w:ascii="Calibri" w:hAnsi="Calibri" w:cs="Calibri"/>
                <w:sz w:val="16"/>
                <w:szCs w:val="16"/>
              </w:rPr>
            </w:pPr>
          </w:p>
        </w:tc>
        <w:tc>
          <w:tcPr>
            <w:tcW w:w="569" w:type="pct"/>
            <w:tcBorders>
              <w:top w:val="nil"/>
              <w:left w:val="nil"/>
              <w:bottom w:val="single" w:sz="8" w:space="0" w:color="auto"/>
              <w:right w:val="nil"/>
            </w:tcBorders>
            <w:shd w:val="clear" w:color="auto" w:fill="auto"/>
            <w:vAlign w:val="center"/>
            <w:hideMark/>
          </w:tcPr>
          <w:p w14:paraId="73749AB7" w14:textId="77777777" w:rsidR="00ED5DC7" w:rsidRPr="002E2B5B" w:rsidRDefault="00ED5DC7" w:rsidP="007D40EC">
            <w:pPr>
              <w:spacing w:after="120"/>
              <w:rPr>
                <w:rFonts w:ascii="Calibri" w:hAnsi="Calibri" w:cs="Calibri"/>
                <w:sz w:val="16"/>
                <w:szCs w:val="16"/>
              </w:rPr>
            </w:pPr>
          </w:p>
        </w:tc>
        <w:tc>
          <w:tcPr>
            <w:tcW w:w="763" w:type="pct"/>
            <w:tcBorders>
              <w:top w:val="nil"/>
              <w:left w:val="nil"/>
              <w:bottom w:val="single" w:sz="8" w:space="0" w:color="auto"/>
              <w:right w:val="nil"/>
            </w:tcBorders>
            <w:shd w:val="clear" w:color="auto" w:fill="auto"/>
            <w:noWrap/>
            <w:vAlign w:val="center"/>
          </w:tcPr>
          <w:p w14:paraId="5B605E62" w14:textId="77777777" w:rsidR="00ED5DC7" w:rsidRPr="002E2B5B" w:rsidRDefault="00ED5DC7" w:rsidP="007D40EC">
            <w:pPr>
              <w:spacing w:after="120"/>
              <w:jc w:val="right"/>
              <w:rPr>
                <w:rFonts w:ascii="Calibri" w:hAnsi="Calibri" w:cs="Calibri"/>
                <w:color w:val="000000"/>
                <w:sz w:val="16"/>
                <w:szCs w:val="16"/>
              </w:rPr>
            </w:pPr>
          </w:p>
        </w:tc>
        <w:tc>
          <w:tcPr>
            <w:tcW w:w="763" w:type="pct"/>
            <w:tcBorders>
              <w:top w:val="nil"/>
              <w:left w:val="nil"/>
              <w:bottom w:val="single" w:sz="8" w:space="0" w:color="auto"/>
              <w:right w:val="nil"/>
            </w:tcBorders>
            <w:shd w:val="clear" w:color="auto" w:fill="auto"/>
            <w:noWrap/>
            <w:vAlign w:val="center"/>
            <w:hideMark/>
          </w:tcPr>
          <w:p w14:paraId="1B11B1D7" w14:textId="58C05565" w:rsidR="00ED5DC7" w:rsidRPr="002E2B5B" w:rsidRDefault="0012030D" w:rsidP="007D40EC">
            <w:pPr>
              <w:spacing w:after="120"/>
              <w:jc w:val="right"/>
              <w:rPr>
                <w:rFonts w:ascii="Calibri" w:hAnsi="Calibri" w:cs="Calibri"/>
                <w:color w:val="000000"/>
                <w:sz w:val="16"/>
                <w:szCs w:val="16"/>
              </w:rPr>
            </w:pPr>
            <w:r>
              <w:rPr>
                <w:rFonts w:ascii="Calibri" w:hAnsi="Calibri" w:cs="Calibri"/>
                <w:color w:val="000000"/>
                <w:sz w:val="16"/>
                <w:szCs w:val="16"/>
              </w:rPr>
              <w:t>0</w:t>
            </w:r>
          </w:p>
        </w:tc>
        <w:tc>
          <w:tcPr>
            <w:tcW w:w="762" w:type="pct"/>
            <w:tcBorders>
              <w:top w:val="nil"/>
              <w:left w:val="nil"/>
              <w:bottom w:val="single" w:sz="8" w:space="0" w:color="auto"/>
              <w:right w:val="nil"/>
            </w:tcBorders>
            <w:shd w:val="clear" w:color="auto" w:fill="auto"/>
            <w:noWrap/>
            <w:vAlign w:val="center"/>
          </w:tcPr>
          <w:p w14:paraId="10E04F96" w14:textId="77777777" w:rsidR="00ED5DC7" w:rsidRPr="002E2B5B" w:rsidRDefault="00ED5DC7" w:rsidP="007D40EC">
            <w:pPr>
              <w:spacing w:after="120"/>
              <w:jc w:val="right"/>
              <w:rPr>
                <w:rFonts w:ascii="Calibri" w:hAnsi="Calibri" w:cs="Calibri"/>
                <w:color w:val="000000"/>
                <w:sz w:val="16"/>
                <w:szCs w:val="16"/>
              </w:rPr>
            </w:pPr>
            <w:r>
              <w:rPr>
                <w:rFonts w:ascii="Calibri" w:hAnsi="Calibri" w:cs="Calibri"/>
                <w:color w:val="000000"/>
                <w:sz w:val="16"/>
                <w:szCs w:val="16"/>
              </w:rPr>
              <w:t>0</w:t>
            </w:r>
          </w:p>
        </w:tc>
      </w:tr>
      <w:tr w:rsidR="00ED5DC7" w:rsidRPr="002E2B5B" w14:paraId="1C637C3A" w14:textId="77777777" w:rsidTr="007D40EC">
        <w:trPr>
          <w:trHeight w:val="315"/>
        </w:trPr>
        <w:tc>
          <w:tcPr>
            <w:tcW w:w="2143" w:type="pct"/>
            <w:gridSpan w:val="3"/>
            <w:tcBorders>
              <w:top w:val="single" w:sz="8" w:space="0" w:color="auto"/>
              <w:left w:val="nil"/>
              <w:bottom w:val="single" w:sz="8" w:space="0" w:color="auto"/>
              <w:right w:val="nil"/>
            </w:tcBorders>
            <w:shd w:val="clear" w:color="auto" w:fill="auto"/>
            <w:noWrap/>
            <w:vAlign w:val="center"/>
            <w:hideMark/>
          </w:tcPr>
          <w:p w14:paraId="7E42F74B" w14:textId="77777777" w:rsidR="00ED5DC7" w:rsidRPr="002E2B5B" w:rsidRDefault="00ED5DC7" w:rsidP="007D40EC">
            <w:pPr>
              <w:spacing w:after="120"/>
              <w:rPr>
                <w:rFonts w:ascii="Calibri" w:hAnsi="Calibri" w:cs="Calibri"/>
                <w:b/>
                <w:bCs/>
                <w:color w:val="000000"/>
                <w:sz w:val="16"/>
                <w:szCs w:val="16"/>
              </w:rPr>
            </w:pPr>
            <w:r w:rsidRPr="002E2B5B">
              <w:rPr>
                <w:rFonts w:ascii="Calibri" w:hAnsi="Calibri" w:cs="Calibri"/>
                <w:b/>
                <w:bCs/>
                <w:color w:val="000000"/>
                <w:sz w:val="16"/>
                <w:szCs w:val="16"/>
              </w:rPr>
              <w:t>TOTAL DOS DEPÓSITOS DE CAUÇÕES</w:t>
            </w:r>
          </w:p>
        </w:tc>
        <w:tc>
          <w:tcPr>
            <w:tcW w:w="569" w:type="pct"/>
            <w:tcBorders>
              <w:top w:val="single" w:sz="8" w:space="0" w:color="auto"/>
              <w:left w:val="nil"/>
              <w:bottom w:val="single" w:sz="8" w:space="0" w:color="auto"/>
              <w:right w:val="nil"/>
            </w:tcBorders>
            <w:shd w:val="clear" w:color="auto" w:fill="auto"/>
            <w:vAlign w:val="center"/>
            <w:hideMark/>
          </w:tcPr>
          <w:p w14:paraId="6A15ECC2" w14:textId="77777777" w:rsidR="00ED5DC7" w:rsidRPr="002E2B5B" w:rsidRDefault="00ED5DC7" w:rsidP="007D40EC">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single" w:sz="8" w:space="0" w:color="auto"/>
              <w:left w:val="nil"/>
              <w:bottom w:val="single" w:sz="8" w:space="0" w:color="auto"/>
              <w:right w:val="nil"/>
            </w:tcBorders>
            <w:shd w:val="clear" w:color="auto" w:fill="auto"/>
            <w:noWrap/>
            <w:vAlign w:val="center"/>
          </w:tcPr>
          <w:p w14:paraId="6628B9B2" w14:textId="77777777" w:rsidR="00ED5DC7" w:rsidRPr="002E2B5B" w:rsidRDefault="00ED5DC7" w:rsidP="007D40EC">
            <w:pPr>
              <w:spacing w:after="120"/>
              <w:jc w:val="right"/>
              <w:rPr>
                <w:rFonts w:ascii="Calibri" w:hAnsi="Calibri" w:cs="Calibri"/>
                <w:b/>
                <w:bCs/>
                <w:color w:val="000000"/>
                <w:sz w:val="16"/>
                <w:szCs w:val="16"/>
              </w:rPr>
            </w:pPr>
          </w:p>
        </w:tc>
        <w:tc>
          <w:tcPr>
            <w:tcW w:w="763" w:type="pct"/>
            <w:tcBorders>
              <w:top w:val="single" w:sz="8" w:space="0" w:color="auto"/>
              <w:left w:val="nil"/>
              <w:bottom w:val="single" w:sz="8" w:space="0" w:color="auto"/>
              <w:right w:val="nil"/>
            </w:tcBorders>
            <w:shd w:val="clear" w:color="auto" w:fill="auto"/>
            <w:noWrap/>
            <w:vAlign w:val="center"/>
            <w:hideMark/>
          </w:tcPr>
          <w:p w14:paraId="4368DF18" w14:textId="38551DF3" w:rsidR="00ED5DC7" w:rsidRPr="002E2B5B" w:rsidRDefault="0012030D" w:rsidP="007D40EC">
            <w:pPr>
              <w:spacing w:after="120"/>
              <w:jc w:val="right"/>
              <w:rPr>
                <w:rFonts w:ascii="Calibri" w:hAnsi="Calibri" w:cs="Calibri"/>
                <w:b/>
                <w:bCs/>
                <w:color w:val="000000"/>
                <w:sz w:val="16"/>
                <w:szCs w:val="16"/>
              </w:rPr>
            </w:pPr>
            <w:r>
              <w:rPr>
                <w:rFonts w:ascii="Calibri" w:hAnsi="Calibri" w:cs="Calibri"/>
                <w:b/>
                <w:bCs/>
                <w:color w:val="000000"/>
                <w:sz w:val="16"/>
                <w:szCs w:val="16"/>
              </w:rPr>
              <w:t>145.445</w:t>
            </w:r>
          </w:p>
        </w:tc>
        <w:tc>
          <w:tcPr>
            <w:tcW w:w="762" w:type="pct"/>
            <w:tcBorders>
              <w:top w:val="single" w:sz="8" w:space="0" w:color="auto"/>
              <w:left w:val="nil"/>
              <w:bottom w:val="single" w:sz="8" w:space="0" w:color="auto"/>
              <w:right w:val="nil"/>
            </w:tcBorders>
            <w:shd w:val="clear" w:color="auto" w:fill="auto"/>
            <w:noWrap/>
            <w:vAlign w:val="center"/>
          </w:tcPr>
          <w:p w14:paraId="2943781B" w14:textId="1F232623" w:rsidR="00ED5DC7" w:rsidRPr="002E2B5B" w:rsidRDefault="0012030D" w:rsidP="007D40EC">
            <w:pPr>
              <w:spacing w:after="120"/>
              <w:jc w:val="right"/>
              <w:rPr>
                <w:rFonts w:ascii="Calibri" w:hAnsi="Calibri" w:cs="Calibri"/>
                <w:b/>
                <w:bCs/>
                <w:color w:val="000000"/>
                <w:sz w:val="16"/>
                <w:szCs w:val="16"/>
              </w:rPr>
            </w:pPr>
            <w:r w:rsidRPr="0012030D">
              <w:rPr>
                <w:rFonts w:ascii="Calibri" w:hAnsi="Calibri" w:cs="Calibri"/>
                <w:b/>
                <w:bCs/>
                <w:color w:val="000000"/>
                <w:sz w:val="16"/>
                <w:szCs w:val="16"/>
              </w:rPr>
              <w:t>13.897</w:t>
            </w:r>
          </w:p>
        </w:tc>
      </w:tr>
    </w:tbl>
    <w:p w14:paraId="62033E9C" w14:textId="13243E12" w:rsidR="002A17DE" w:rsidRDefault="002A17DE" w:rsidP="000B3A75">
      <w:pPr>
        <w:spacing w:before="120" w:after="120"/>
        <w:jc w:val="both"/>
        <w:rPr>
          <w:rFonts w:ascii="Calibri" w:hAnsi="Calibri" w:cs="Calibri"/>
          <w:sz w:val="22"/>
          <w:szCs w:val="22"/>
        </w:rPr>
      </w:pPr>
      <w:r>
        <w:rPr>
          <w:rFonts w:ascii="Calibri" w:hAnsi="Calibri" w:cs="Calibri"/>
          <w:sz w:val="22"/>
          <w:szCs w:val="22"/>
        </w:rPr>
        <w:t>O valor de R</w:t>
      </w:r>
      <w:r w:rsidR="00066B19">
        <w:rPr>
          <w:rFonts w:ascii="Calibri" w:hAnsi="Calibri" w:cs="Calibri"/>
          <w:sz w:val="22"/>
          <w:szCs w:val="22"/>
        </w:rPr>
        <w:t>$</w:t>
      </w:r>
      <w:r>
        <w:rPr>
          <w:rFonts w:ascii="Calibri" w:hAnsi="Calibri" w:cs="Calibri"/>
          <w:sz w:val="22"/>
          <w:szCs w:val="22"/>
        </w:rPr>
        <w:t xml:space="preserve"> </w:t>
      </w:r>
      <w:r w:rsidR="005D04BF">
        <w:rPr>
          <w:rFonts w:ascii="Calibri" w:hAnsi="Calibri" w:cs="Calibri"/>
          <w:sz w:val="22"/>
          <w:szCs w:val="22"/>
        </w:rPr>
        <w:t>145</w:t>
      </w:r>
      <w:r>
        <w:rPr>
          <w:rFonts w:ascii="Calibri" w:hAnsi="Calibri" w:cs="Calibri"/>
          <w:sz w:val="22"/>
          <w:szCs w:val="22"/>
        </w:rPr>
        <w:t xml:space="preserve"> mil refere-se ao crédito de salário maternidade a compensar sobre a guia de INSS sobre a folha de pagamentos </w:t>
      </w:r>
      <w:bookmarkEnd w:id="3"/>
      <w:r>
        <w:rPr>
          <w:rFonts w:ascii="Calibri" w:hAnsi="Calibri" w:cs="Calibri"/>
          <w:sz w:val="22"/>
          <w:szCs w:val="22"/>
        </w:rPr>
        <w:t xml:space="preserve">de </w:t>
      </w:r>
      <w:r w:rsidR="005D04BF">
        <w:rPr>
          <w:rFonts w:ascii="Calibri" w:hAnsi="Calibri" w:cs="Calibri"/>
          <w:sz w:val="22"/>
          <w:szCs w:val="22"/>
        </w:rPr>
        <w:t>setembr</w:t>
      </w:r>
      <w:r w:rsidR="00F67E06">
        <w:rPr>
          <w:rFonts w:ascii="Calibri" w:hAnsi="Calibri" w:cs="Calibri"/>
          <w:sz w:val="22"/>
          <w:szCs w:val="22"/>
        </w:rPr>
        <w:t>o de 2022</w:t>
      </w:r>
      <w:r>
        <w:rPr>
          <w:rFonts w:ascii="Calibri" w:hAnsi="Calibri" w:cs="Calibri"/>
          <w:sz w:val="22"/>
          <w:szCs w:val="22"/>
        </w:rPr>
        <w:t>.</w:t>
      </w:r>
    </w:p>
    <w:p w14:paraId="706DEDF6" w14:textId="444EE3C3" w:rsidR="009E0535" w:rsidRDefault="009E0535" w:rsidP="000B3A75">
      <w:pPr>
        <w:spacing w:before="120" w:after="120"/>
        <w:jc w:val="both"/>
        <w:rPr>
          <w:rFonts w:ascii="Calibri" w:hAnsi="Calibri" w:cs="Calibri"/>
          <w:sz w:val="22"/>
          <w:szCs w:val="22"/>
        </w:rPr>
      </w:pPr>
    </w:p>
    <w:p w14:paraId="2184912D" w14:textId="77777777" w:rsidR="009E0535" w:rsidRDefault="009E0535" w:rsidP="000B3A75">
      <w:pPr>
        <w:spacing w:before="120" w:after="120"/>
        <w:jc w:val="both"/>
        <w:rPr>
          <w:rFonts w:ascii="Calibri" w:hAnsi="Calibri" w:cs="Calibri"/>
          <w:sz w:val="22"/>
          <w:szCs w:val="22"/>
        </w:rPr>
      </w:pPr>
    </w:p>
    <w:p w14:paraId="3AD9E2C6" w14:textId="4134B0E6" w:rsidR="00095830" w:rsidRPr="009E7AA5" w:rsidRDefault="00095830" w:rsidP="00095830">
      <w:pPr>
        <w:pStyle w:val="PargrafodaLista"/>
        <w:numPr>
          <w:ilvl w:val="0"/>
          <w:numId w:val="10"/>
        </w:numPr>
        <w:spacing w:after="120"/>
        <w:ind w:left="284" w:hanging="284"/>
        <w:rPr>
          <w:rFonts w:ascii="Calibri" w:hAnsi="Calibri" w:cs="Calibri"/>
          <w:b/>
          <w:sz w:val="22"/>
          <w:szCs w:val="22"/>
        </w:rPr>
      </w:pPr>
      <w:r w:rsidRPr="009E7AA5">
        <w:rPr>
          <w:rFonts w:ascii="Calibri" w:hAnsi="Calibri" w:cs="Calibri"/>
          <w:b/>
          <w:sz w:val="22"/>
          <w:szCs w:val="22"/>
        </w:rPr>
        <w:lastRenderedPageBreak/>
        <w:t xml:space="preserve">Acordo de Parceria </w:t>
      </w:r>
    </w:p>
    <w:tbl>
      <w:tblPr>
        <w:tblpPr w:leftFromText="141" w:rightFromText="141" w:vertAnchor="text" w:horzAnchor="margin" w:tblpY="36"/>
        <w:tblW w:w="5000" w:type="pct"/>
        <w:tblCellMar>
          <w:left w:w="70" w:type="dxa"/>
          <w:right w:w="70" w:type="dxa"/>
        </w:tblCellMar>
        <w:tblLook w:val="04A0" w:firstRow="1" w:lastRow="0" w:firstColumn="1" w:lastColumn="0" w:noHBand="0" w:noVBand="1"/>
      </w:tblPr>
      <w:tblGrid>
        <w:gridCol w:w="4527"/>
        <w:gridCol w:w="1181"/>
        <w:gridCol w:w="1587"/>
        <w:gridCol w:w="1587"/>
        <w:gridCol w:w="1585"/>
      </w:tblGrid>
      <w:tr w:rsidR="009843CC" w:rsidRPr="009E7AA5" w14:paraId="43451514" w14:textId="77777777" w:rsidTr="00A14499">
        <w:trPr>
          <w:trHeight w:val="315"/>
        </w:trPr>
        <w:tc>
          <w:tcPr>
            <w:tcW w:w="2163" w:type="pct"/>
            <w:tcBorders>
              <w:top w:val="nil"/>
              <w:left w:val="nil"/>
              <w:bottom w:val="single" w:sz="8" w:space="0" w:color="auto"/>
              <w:right w:val="nil"/>
            </w:tcBorders>
            <w:shd w:val="clear" w:color="auto" w:fill="auto"/>
            <w:noWrap/>
            <w:vAlign w:val="center"/>
            <w:hideMark/>
          </w:tcPr>
          <w:p w14:paraId="522F9465" w14:textId="468E59A6" w:rsidR="009843CC" w:rsidRPr="009E7AA5" w:rsidRDefault="00357624" w:rsidP="00A14499">
            <w:pPr>
              <w:spacing w:after="120"/>
              <w:rPr>
                <w:rFonts w:ascii="Calibri" w:hAnsi="Calibri" w:cs="Calibri"/>
                <w:b/>
                <w:bCs/>
                <w:color w:val="000000"/>
                <w:sz w:val="16"/>
                <w:szCs w:val="16"/>
              </w:rPr>
            </w:pPr>
            <w:r w:rsidRPr="009E7AA5">
              <w:rPr>
                <w:rFonts w:ascii="Calibri" w:hAnsi="Calibri" w:cs="Calibri"/>
                <w:b/>
                <w:bCs/>
                <w:color w:val="000000"/>
                <w:sz w:val="16"/>
                <w:szCs w:val="16"/>
              </w:rPr>
              <w:t xml:space="preserve">Acordo de Parceria </w:t>
            </w:r>
            <w:r w:rsidR="009843CC" w:rsidRPr="009E7AA5">
              <w:rPr>
                <w:rFonts w:ascii="Calibri" w:hAnsi="Calibri" w:cs="Calibri"/>
                <w:b/>
                <w:bCs/>
                <w:color w:val="000000"/>
                <w:sz w:val="16"/>
                <w:szCs w:val="16"/>
              </w:rPr>
              <w:t xml:space="preserve"> </w:t>
            </w:r>
          </w:p>
        </w:tc>
        <w:tc>
          <w:tcPr>
            <w:tcW w:w="564" w:type="pct"/>
            <w:tcBorders>
              <w:top w:val="nil"/>
              <w:left w:val="nil"/>
              <w:bottom w:val="single" w:sz="8" w:space="0" w:color="auto"/>
              <w:right w:val="nil"/>
            </w:tcBorders>
            <w:shd w:val="clear" w:color="auto" w:fill="auto"/>
            <w:vAlign w:val="center"/>
            <w:hideMark/>
          </w:tcPr>
          <w:p w14:paraId="065CBDC3" w14:textId="77777777" w:rsidR="009843CC" w:rsidRPr="009E7AA5" w:rsidRDefault="009843CC" w:rsidP="00A14499">
            <w:pPr>
              <w:spacing w:after="120"/>
              <w:rPr>
                <w:rFonts w:ascii="Calibri" w:hAnsi="Calibri" w:cs="Calibri"/>
                <w:b/>
                <w:bCs/>
                <w:color w:val="000000"/>
                <w:sz w:val="16"/>
                <w:szCs w:val="16"/>
              </w:rPr>
            </w:pPr>
            <w:r w:rsidRPr="009E7AA5">
              <w:rPr>
                <w:rFonts w:ascii="Calibri" w:hAnsi="Calibri" w:cs="Calibri"/>
                <w:b/>
                <w:bCs/>
                <w:color w:val="000000"/>
                <w:sz w:val="16"/>
                <w:szCs w:val="16"/>
              </w:rPr>
              <w:t> </w:t>
            </w:r>
          </w:p>
        </w:tc>
        <w:tc>
          <w:tcPr>
            <w:tcW w:w="758" w:type="pct"/>
            <w:tcBorders>
              <w:top w:val="nil"/>
              <w:left w:val="nil"/>
              <w:bottom w:val="single" w:sz="8" w:space="0" w:color="auto"/>
              <w:right w:val="nil"/>
            </w:tcBorders>
            <w:shd w:val="clear" w:color="auto" w:fill="auto"/>
            <w:noWrap/>
            <w:vAlign w:val="bottom"/>
          </w:tcPr>
          <w:p w14:paraId="2EE897DD" w14:textId="77777777" w:rsidR="009843CC" w:rsidRPr="009E7AA5" w:rsidRDefault="009843CC" w:rsidP="00A14499">
            <w:pPr>
              <w:spacing w:after="120"/>
              <w:jc w:val="right"/>
              <w:rPr>
                <w:rFonts w:ascii="Calibri" w:hAnsi="Calibri" w:cs="Calibri"/>
                <w:b/>
                <w:bCs/>
                <w:color w:val="000000"/>
                <w:sz w:val="16"/>
                <w:szCs w:val="16"/>
              </w:rPr>
            </w:pPr>
          </w:p>
        </w:tc>
        <w:tc>
          <w:tcPr>
            <w:tcW w:w="758" w:type="pct"/>
            <w:tcBorders>
              <w:top w:val="nil"/>
              <w:left w:val="nil"/>
              <w:bottom w:val="single" w:sz="8" w:space="0" w:color="auto"/>
              <w:right w:val="nil"/>
            </w:tcBorders>
            <w:shd w:val="clear" w:color="auto" w:fill="auto"/>
            <w:noWrap/>
            <w:vAlign w:val="bottom"/>
            <w:hideMark/>
          </w:tcPr>
          <w:p w14:paraId="2C16D1B4" w14:textId="77777777" w:rsidR="009843CC" w:rsidRPr="009E7AA5" w:rsidRDefault="009843CC" w:rsidP="00A14499">
            <w:pPr>
              <w:spacing w:after="120"/>
              <w:jc w:val="right"/>
              <w:rPr>
                <w:rFonts w:ascii="Calibri" w:hAnsi="Calibri" w:cs="Calibri"/>
                <w:b/>
                <w:bCs/>
                <w:color w:val="000000"/>
                <w:sz w:val="16"/>
                <w:szCs w:val="16"/>
              </w:rPr>
            </w:pPr>
            <w:r w:rsidRPr="009E7AA5">
              <w:rPr>
                <w:rFonts w:ascii="Calibri" w:hAnsi="Calibri" w:cs="Calibri"/>
                <w:b/>
                <w:bCs/>
                <w:color w:val="000000"/>
                <w:sz w:val="16"/>
                <w:szCs w:val="16"/>
              </w:rPr>
              <w:t>30/09/2022</w:t>
            </w:r>
          </w:p>
        </w:tc>
        <w:tc>
          <w:tcPr>
            <w:tcW w:w="757" w:type="pct"/>
            <w:tcBorders>
              <w:top w:val="nil"/>
              <w:left w:val="nil"/>
              <w:bottom w:val="single" w:sz="8" w:space="0" w:color="auto"/>
              <w:right w:val="nil"/>
            </w:tcBorders>
            <w:shd w:val="clear" w:color="auto" w:fill="auto"/>
            <w:noWrap/>
            <w:vAlign w:val="bottom"/>
          </w:tcPr>
          <w:p w14:paraId="0277A6C2" w14:textId="77777777" w:rsidR="009843CC" w:rsidRPr="009E7AA5" w:rsidRDefault="009843CC" w:rsidP="00A14499">
            <w:pPr>
              <w:spacing w:after="120"/>
              <w:jc w:val="right"/>
              <w:rPr>
                <w:rFonts w:ascii="Calibri" w:hAnsi="Calibri" w:cs="Calibri"/>
                <w:b/>
                <w:bCs/>
                <w:color w:val="000000"/>
                <w:sz w:val="16"/>
                <w:szCs w:val="16"/>
              </w:rPr>
            </w:pPr>
            <w:r w:rsidRPr="009E7AA5">
              <w:rPr>
                <w:rFonts w:ascii="Calibri" w:hAnsi="Calibri" w:cs="Calibri"/>
                <w:b/>
                <w:bCs/>
                <w:color w:val="000000"/>
                <w:sz w:val="16"/>
                <w:szCs w:val="16"/>
              </w:rPr>
              <w:t>31/12/2021</w:t>
            </w:r>
          </w:p>
        </w:tc>
      </w:tr>
      <w:tr w:rsidR="009843CC" w:rsidRPr="009E7AA5" w14:paraId="54A5C3AC" w14:textId="77777777" w:rsidTr="00A14499">
        <w:trPr>
          <w:trHeight w:val="300"/>
        </w:trPr>
        <w:tc>
          <w:tcPr>
            <w:tcW w:w="2163" w:type="pct"/>
            <w:tcBorders>
              <w:top w:val="nil"/>
              <w:left w:val="nil"/>
              <w:bottom w:val="nil"/>
              <w:right w:val="nil"/>
            </w:tcBorders>
            <w:shd w:val="clear" w:color="auto" w:fill="auto"/>
            <w:noWrap/>
            <w:vAlign w:val="center"/>
            <w:hideMark/>
          </w:tcPr>
          <w:p w14:paraId="4C466760" w14:textId="7B9F444E" w:rsidR="009843CC" w:rsidRPr="009E7AA5" w:rsidRDefault="009843CC" w:rsidP="00A14499">
            <w:pPr>
              <w:spacing w:after="120"/>
              <w:rPr>
                <w:rFonts w:ascii="Calibri" w:hAnsi="Calibri" w:cs="Calibri"/>
                <w:color w:val="000000"/>
                <w:sz w:val="16"/>
                <w:szCs w:val="16"/>
              </w:rPr>
            </w:pPr>
            <w:r w:rsidRPr="009E7AA5">
              <w:rPr>
                <w:rFonts w:ascii="Calibri" w:hAnsi="Calibri" w:cs="Calibri"/>
                <w:color w:val="000000"/>
                <w:sz w:val="16"/>
                <w:szCs w:val="16"/>
              </w:rPr>
              <w:t>P</w:t>
            </w:r>
            <w:r w:rsidR="00357624" w:rsidRPr="009E7AA5">
              <w:rPr>
                <w:rFonts w:ascii="Calibri" w:hAnsi="Calibri" w:cs="Calibri"/>
                <w:color w:val="000000"/>
                <w:sz w:val="16"/>
                <w:szCs w:val="16"/>
              </w:rPr>
              <w:t>rograma das Nações Unidas para o Desenvolvimento - P</w:t>
            </w:r>
            <w:r w:rsidRPr="009E7AA5">
              <w:rPr>
                <w:rFonts w:ascii="Calibri" w:hAnsi="Calibri" w:cs="Calibri"/>
                <w:color w:val="000000"/>
                <w:sz w:val="16"/>
                <w:szCs w:val="16"/>
              </w:rPr>
              <w:t>NUD</w:t>
            </w:r>
          </w:p>
        </w:tc>
        <w:tc>
          <w:tcPr>
            <w:tcW w:w="564" w:type="pct"/>
            <w:tcBorders>
              <w:top w:val="nil"/>
              <w:left w:val="nil"/>
              <w:bottom w:val="nil"/>
              <w:right w:val="nil"/>
            </w:tcBorders>
            <w:shd w:val="clear" w:color="auto" w:fill="auto"/>
            <w:vAlign w:val="center"/>
            <w:hideMark/>
          </w:tcPr>
          <w:p w14:paraId="43F8A6D1" w14:textId="77777777" w:rsidR="009843CC" w:rsidRPr="009E7AA5" w:rsidRDefault="009843CC" w:rsidP="00A14499">
            <w:pPr>
              <w:spacing w:after="120"/>
              <w:rPr>
                <w:rFonts w:ascii="Calibri" w:hAnsi="Calibri" w:cs="Calibri"/>
                <w:color w:val="000000"/>
                <w:sz w:val="16"/>
                <w:szCs w:val="16"/>
              </w:rPr>
            </w:pPr>
          </w:p>
        </w:tc>
        <w:tc>
          <w:tcPr>
            <w:tcW w:w="758" w:type="pct"/>
            <w:tcBorders>
              <w:top w:val="nil"/>
              <w:left w:val="nil"/>
              <w:bottom w:val="nil"/>
              <w:right w:val="nil"/>
            </w:tcBorders>
            <w:shd w:val="clear" w:color="auto" w:fill="auto"/>
            <w:noWrap/>
            <w:vAlign w:val="center"/>
          </w:tcPr>
          <w:p w14:paraId="35246AB5" w14:textId="77777777" w:rsidR="009843CC" w:rsidRPr="009E7AA5" w:rsidRDefault="009843CC" w:rsidP="00A14499">
            <w:pPr>
              <w:spacing w:after="120"/>
              <w:jc w:val="right"/>
              <w:rPr>
                <w:rFonts w:ascii="Calibri" w:hAnsi="Calibri" w:cs="Calibri"/>
                <w:color w:val="000000"/>
                <w:sz w:val="16"/>
                <w:szCs w:val="16"/>
              </w:rPr>
            </w:pPr>
          </w:p>
        </w:tc>
        <w:tc>
          <w:tcPr>
            <w:tcW w:w="758" w:type="pct"/>
            <w:tcBorders>
              <w:top w:val="nil"/>
              <w:left w:val="nil"/>
              <w:bottom w:val="nil"/>
              <w:right w:val="nil"/>
            </w:tcBorders>
            <w:shd w:val="clear" w:color="auto" w:fill="auto"/>
            <w:noWrap/>
            <w:vAlign w:val="center"/>
            <w:hideMark/>
          </w:tcPr>
          <w:p w14:paraId="511E5FDE" w14:textId="2288DC3D" w:rsidR="009843CC" w:rsidRPr="009E7AA5" w:rsidRDefault="009843CC" w:rsidP="00A14499">
            <w:pPr>
              <w:spacing w:after="120"/>
              <w:jc w:val="right"/>
              <w:rPr>
                <w:rFonts w:ascii="Calibri" w:hAnsi="Calibri" w:cs="Calibri"/>
                <w:color w:val="000000"/>
                <w:sz w:val="16"/>
                <w:szCs w:val="16"/>
              </w:rPr>
            </w:pPr>
            <w:r w:rsidRPr="009E7AA5">
              <w:rPr>
                <w:rFonts w:ascii="Calibri" w:hAnsi="Calibri" w:cs="Calibri"/>
                <w:color w:val="000000"/>
                <w:sz w:val="16"/>
                <w:szCs w:val="16"/>
              </w:rPr>
              <w:t>12.993.292</w:t>
            </w:r>
          </w:p>
        </w:tc>
        <w:tc>
          <w:tcPr>
            <w:tcW w:w="757" w:type="pct"/>
            <w:tcBorders>
              <w:top w:val="nil"/>
              <w:left w:val="nil"/>
              <w:bottom w:val="nil"/>
              <w:right w:val="nil"/>
            </w:tcBorders>
            <w:shd w:val="clear" w:color="auto" w:fill="auto"/>
            <w:noWrap/>
            <w:vAlign w:val="center"/>
          </w:tcPr>
          <w:p w14:paraId="1550B7BE" w14:textId="77777777" w:rsidR="009843CC" w:rsidRPr="009E7AA5" w:rsidRDefault="009843CC" w:rsidP="00A14499">
            <w:pPr>
              <w:spacing w:after="120"/>
              <w:jc w:val="right"/>
              <w:rPr>
                <w:rFonts w:ascii="Calibri" w:hAnsi="Calibri" w:cs="Calibri"/>
                <w:color w:val="000000"/>
                <w:sz w:val="16"/>
                <w:szCs w:val="16"/>
              </w:rPr>
            </w:pPr>
            <w:r w:rsidRPr="009E7AA5">
              <w:rPr>
                <w:rFonts w:ascii="Calibri" w:hAnsi="Calibri" w:cs="Calibri"/>
                <w:color w:val="000000"/>
                <w:sz w:val="16"/>
                <w:szCs w:val="16"/>
              </w:rPr>
              <w:t>0</w:t>
            </w:r>
          </w:p>
        </w:tc>
      </w:tr>
      <w:tr w:rsidR="009843CC" w:rsidRPr="009E7AA5" w14:paraId="6F0B1435" w14:textId="77777777" w:rsidTr="00A14499">
        <w:trPr>
          <w:trHeight w:val="315"/>
        </w:trPr>
        <w:tc>
          <w:tcPr>
            <w:tcW w:w="2163" w:type="pct"/>
            <w:tcBorders>
              <w:top w:val="single" w:sz="8" w:space="0" w:color="auto"/>
              <w:left w:val="nil"/>
              <w:bottom w:val="single" w:sz="8" w:space="0" w:color="auto"/>
              <w:right w:val="nil"/>
            </w:tcBorders>
            <w:shd w:val="clear" w:color="auto" w:fill="auto"/>
            <w:noWrap/>
            <w:vAlign w:val="center"/>
            <w:hideMark/>
          </w:tcPr>
          <w:p w14:paraId="52AFC0F2" w14:textId="77777777" w:rsidR="009843CC" w:rsidRPr="009E7AA5" w:rsidRDefault="009843CC" w:rsidP="00A14499">
            <w:pPr>
              <w:spacing w:after="120"/>
              <w:rPr>
                <w:rFonts w:ascii="Calibri" w:hAnsi="Calibri" w:cs="Calibri"/>
                <w:b/>
                <w:bCs/>
                <w:color w:val="000000"/>
                <w:sz w:val="16"/>
                <w:szCs w:val="16"/>
              </w:rPr>
            </w:pPr>
            <w:r w:rsidRPr="009E7AA5">
              <w:rPr>
                <w:rFonts w:ascii="Calibri" w:hAnsi="Calibri" w:cs="Calibri"/>
                <w:b/>
                <w:bCs/>
                <w:color w:val="000000"/>
                <w:sz w:val="16"/>
                <w:szCs w:val="16"/>
              </w:rPr>
              <w:t xml:space="preserve">TOTAL </w:t>
            </w:r>
          </w:p>
        </w:tc>
        <w:tc>
          <w:tcPr>
            <w:tcW w:w="564" w:type="pct"/>
            <w:tcBorders>
              <w:top w:val="single" w:sz="8" w:space="0" w:color="auto"/>
              <w:left w:val="nil"/>
              <w:bottom w:val="single" w:sz="8" w:space="0" w:color="auto"/>
              <w:right w:val="nil"/>
            </w:tcBorders>
            <w:shd w:val="clear" w:color="auto" w:fill="auto"/>
            <w:vAlign w:val="center"/>
            <w:hideMark/>
          </w:tcPr>
          <w:p w14:paraId="3B89D6A3" w14:textId="77777777" w:rsidR="009843CC" w:rsidRPr="009E7AA5" w:rsidRDefault="009843CC" w:rsidP="00A14499">
            <w:pPr>
              <w:spacing w:after="120"/>
              <w:jc w:val="right"/>
              <w:rPr>
                <w:rFonts w:ascii="Calibri" w:hAnsi="Calibri" w:cs="Calibri"/>
                <w:b/>
                <w:bCs/>
                <w:color w:val="000000"/>
                <w:sz w:val="16"/>
                <w:szCs w:val="16"/>
              </w:rPr>
            </w:pPr>
            <w:r w:rsidRPr="009E7AA5">
              <w:rPr>
                <w:rFonts w:ascii="Calibri" w:hAnsi="Calibri" w:cs="Calibri"/>
                <w:b/>
                <w:bCs/>
                <w:color w:val="000000"/>
                <w:sz w:val="16"/>
                <w:szCs w:val="16"/>
              </w:rPr>
              <w:t> </w:t>
            </w:r>
          </w:p>
        </w:tc>
        <w:tc>
          <w:tcPr>
            <w:tcW w:w="758" w:type="pct"/>
            <w:tcBorders>
              <w:top w:val="single" w:sz="8" w:space="0" w:color="auto"/>
              <w:left w:val="nil"/>
              <w:bottom w:val="single" w:sz="8" w:space="0" w:color="auto"/>
              <w:right w:val="nil"/>
            </w:tcBorders>
            <w:shd w:val="clear" w:color="auto" w:fill="auto"/>
            <w:noWrap/>
            <w:vAlign w:val="center"/>
          </w:tcPr>
          <w:p w14:paraId="31FBF312" w14:textId="77777777" w:rsidR="009843CC" w:rsidRPr="009E7AA5" w:rsidRDefault="009843CC" w:rsidP="00A14499">
            <w:pPr>
              <w:spacing w:after="120"/>
              <w:jc w:val="right"/>
              <w:rPr>
                <w:rFonts w:ascii="Calibri" w:hAnsi="Calibri" w:cs="Calibri"/>
                <w:b/>
                <w:bCs/>
                <w:color w:val="000000"/>
                <w:sz w:val="16"/>
                <w:szCs w:val="16"/>
              </w:rPr>
            </w:pPr>
          </w:p>
        </w:tc>
        <w:tc>
          <w:tcPr>
            <w:tcW w:w="758" w:type="pct"/>
            <w:tcBorders>
              <w:top w:val="single" w:sz="8" w:space="0" w:color="auto"/>
              <w:left w:val="nil"/>
              <w:bottom w:val="single" w:sz="8" w:space="0" w:color="auto"/>
              <w:right w:val="nil"/>
            </w:tcBorders>
            <w:shd w:val="clear" w:color="auto" w:fill="auto"/>
            <w:noWrap/>
            <w:vAlign w:val="center"/>
            <w:hideMark/>
          </w:tcPr>
          <w:p w14:paraId="29A8DACC" w14:textId="294CD144" w:rsidR="009843CC" w:rsidRPr="009E7AA5" w:rsidRDefault="009843CC" w:rsidP="00A14499">
            <w:pPr>
              <w:spacing w:after="120"/>
              <w:jc w:val="right"/>
              <w:rPr>
                <w:rFonts w:ascii="Calibri" w:hAnsi="Calibri" w:cs="Calibri"/>
                <w:b/>
                <w:bCs/>
                <w:color w:val="000000"/>
                <w:sz w:val="16"/>
                <w:szCs w:val="16"/>
              </w:rPr>
            </w:pPr>
            <w:r w:rsidRPr="009E7AA5">
              <w:rPr>
                <w:rFonts w:ascii="Calibri" w:hAnsi="Calibri" w:cs="Calibri"/>
                <w:b/>
                <w:bCs/>
                <w:color w:val="000000"/>
                <w:sz w:val="16"/>
                <w:szCs w:val="16"/>
              </w:rPr>
              <w:t>12.993.292</w:t>
            </w:r>
          </w:p>
        </w:tc>
        <w:tc>
          <w:tcPr>
            <w:tcW w:w="757" w:type="pct"/>
            <w:tcBorders>
              <w:top w:val="single" w:sz="8" w:space="0" w:color="auto"/>
              <w:left w:val="nil"/>
              <w:bottom w:val="single" w:sz="8" w:space="0" w:color="auto"/>
              <w:right w:val="nil"/>
            </w:tcBorders>
            <w:shd w:val="clear" w:color="auto" w:fill="auto"/>
            <w:noWrap/>
            <w:vAlign w:val="center"/>
          </w:tcPr>
          <w:p w14:paraId="4DDE951B" w14:textId="77777777" w:rsidR="009843CC" w:rsidRPr="009E7AA5" w:rsidRDefault="009843CC" w:rsidP="00A14499">
            <w:pPr>
              <w:spacing w:after="120"/>
              <w:jc w:val="right"/>
              <w:rPr>
                <w:rFonts w:ascii="Calibri" w:hAnsi="Calibri" w:cs="Calibri"/>
                <w:b/>
                <w:bCs/>
                <w:color w:val="000000"/>
                <w:sz w:val="16"/>
                <w:szCs w:val="16"/>
              </w:rPr>
            </w:pPr>
            <w:r w:rsidRPr="009E7AA5">
              <w:rPr>
                <w:rFonts w:ascii="Calibri" w:hAnsi="Calibri" w:cs="Calibri"/>
                <w:b/>
                <w:bCs/>
                <w:color w:val="000000"/>
                <w:sz w:val="16"/>
                <w:szCs w:val="16"/>
              </w:rPr>
              <w:t>0</w:t>
            </w:r>
          </w:p>
        </w:tc>
      </w:tr>
    </w:tbl>
    <w:p w14:paraId="2EB9EE47" w14:textId="54377FF5" w:rsidR="00D079BF" w:rsidRPr="009E7AA5" w:rsidRDefault="00D079BF" w:rsidP="00D079BF">
      <w:pPr>
        <w:spacing w:before="120" w:after="120"/>
        <w:jc w:val="both"/>
        <w:rPr>
          <w:rFonts w:ascii="SegoeUI" w:hAnsi="SegoeUI"/>
          <w:color w:val="000000"/>
          <w:sz w:val="20"/>
          <w:szCs w:val="20"/>
        </w:rPr>
      </w:pPr>
      <w:r w:rsidRPr="009E7AA5">
        <w:rPr>
          <w:rFonts w:ascii="Calibri" w:hAnsi="Calibri" w:cs="Calibri"/>
          <w:sz w:val="22"/>
          <w:szCs w:val="22"/>
        </w:rPr>
        <w:t>Trata-se de ativo oriundo da incorporação da EPL, referente a recursos aportados ao Programa das Nações Unidas para o Desenvolvimento - PNUD</w:t>
      </w:r>
      <w:r w:rsidRPr="009E7AA5">
        <w:rPr>
          <w:rFonts w:ascii="SegoeUI" w:hAnsi="SegoeUI"/>
          <w:color w:val="000000"/>
          <w:sz w:val="20"/>
          <w:szCs w:val="20"/>
        </w:rPr>
        <w:t xml:space="preserve"> pelos trabalhos que entregará à Infra S.A. para que esta possa cumprir com compromissos advindos de Termos de Execução Descentralizada cedidos pela </w:t>
      </w:r>
      <w:r w:rsidRPr="009E7AA5">
        <w:rPr>
          <w:rFonts w:ascii="Calibri" w:hAnsi="Calibri" w:cs="Calibri"/>
          <w:sz w:val="22"/>
          <w:szCs w:val="22"/>
        </w:rPr>
        <w:t>Secretaria de Fomento, Planejamento e Parcerias (SFPP) do Ministério da Infraestrutura (MINFRA)</w:t>
      </w:r>
      <w:r w:rsidRPr="009E7AA5">
        <w:rPr>
          <w:rFonts w:ascii="SegoeUI" w:hAnsi="SegoeUI"/>
          <w:color w:val="000000"/>
          <w:sz w:val="20"/>
          <w:szCs w:val="20"/>
        </w:rPr>
        <w:t>.</w:t>
      </w:r>
    </w:p>
    <w:p w14:paraId="59AA58D2" w14:textId="7702EABE" w:rsidR="00D079BF" w:rsidRPr="009E7AA5" w:rsidRDefault="00D079BF" w:rsidP="00D079BF">
      <w:pPr>
        <w:spacing w:before="120" w:after="120"/>
        <w:jc w:val="both"/>
        <w:rPr>
          <w:rFonts w:ascii="Calibri" w:hAnsi="Calibri" w:cs="Calibri"/>
          <w:sz w:val="22"/>
          <w:szCs w:val="22"/>
        </w:rPr>
      </w:pPr>
      <w:r w:rsidRPr="009E7AA5">
        <w:rPr>
          <w:rFonts w:ascii="SegoeUI" w:hAnsi="SegoeUI"/>
          <w:color w:val="000000"/>
          <w:sz w:val="20"/>
          <w:szCs w:val="20"/>
        </w:rPr>
        <w:t xml:space="preserve">Dessa forma, houve o registro de um ativo pelo adiantamento ao PNUD (situação análoga à de adiantamento a fornecedor), bem como de um passivo pelo </w:t>
      </w:r>
      <w:r w:rsidRPr="009E7AA5">
        <w:rPr>
          <w:rFonts w:ascii="SegoeUI" w:hAnsi="SegoeUI"/>
          <w:color w:val="000000"/>
          <w:sz w:val="20"/>
          <w:szCs w:val="20"/>
          <w:u w:val="single"/>
        </w:rPr>
        <w:t>TED</w:t>
      </w:r>
      <w:r w:rsidRPr="009E7AA5">
        <w:rPr>
          <w:rFonts w:ascii="SegoeUI" w:hAnsi="SegoeUI"/>
          <w:color w:val="000000"/>
          <w:sz w:val="20"/>
          <w:szCs w:val="20"/>
        </w:rPr>
        <w:t xml:space="preserve"> a comprovar à SFPP, conforme demonstrado na nota explicativa 4c – Termos de Execução Descentralizada (TED).</w:t>
      </w:r>
    </w:p>
    <w:p w14:paraId="0445E95D" w14:textId="4EE9990B" w:rsidR="00D079BF" w:rsidRDefault="000544A6" w:rsidP="00FF2E6A">
      <w:pPr>
        <w:spacing w:before="120" w:after="120"/>
        <w:jc w:val="both"/>
        <w:rPr>
          <w:rFonts w:ascii="Calibri" w:hAnsi="Calibri" w:cs="Calibri"/>
          <w:sz w:val="22"/>
          <w:szCs w:val="22"/>
        </w:rPr>
      </w:pPr>
      <w:r w:rsidRPr="009E7AA5">
        <w:rPr>
          <w:rFonts w:ascii="Calibri" w:hAnsi="Calibri" w:cs="Calibri"/>
          <w:sz w:val="22"/>
          <w:szCs w:val="22"/>
        </w:rPr>
        <w:t xml:space="preserve">Referido </w:t>
      </w:r>
      <w:r w:rsidR="007552ED" w:rsidRPr="009E7AA5">
        <w:rPr>
          <w:rFonts w:ascii="Calibri" w:hAnsi="Calibri" w:cs="Calibri"/>
          <w:sz w:val="22"/>
          <w:szCs w:val="22"/>
        </w:rPr>
        <w:t xml:space="preserve">valor </w:t>
      </w:r>
      <w:r w:rsidRPr="009E7AA5">
        <w:rPr>
          <w:rFonts w:ascii="Calibri" w:hAnsi="Calibri" w:cs="Calibri"/>
          <w:sz w:val="22"/>
          <w:szCs w:val="22"/>
        </w:rPr>
        <w:t>será baixado quando da aprovação dos produtos entregues.</w:t>
      </w:r>
    </w:p>
    <w:p w14:paraId="18793AD2" w14:textId="550B6380" w:rsidR="009B037C" w:rsidRDefault="009B037C" w:rsidP="009B037C">
      <w:pPr>
        <w:spacing w:before="120" w:after="120"/>
        <w:jc w:val="both"/>
        <w:rPr>
          <w:rFonts w:ascii="Calibri" w:hAnsi="Calibri" w:cs="Calibri"/>
          <w:b/>
          <w:bCs/>
          <w:sz w:val="22"/>
          <w:szCs w:val="22"/>
        </w:rPr>
      </w:pPr>
      <w:r>
        <w:rPr>
          <w:rFonts w:ascii="Calibri" w:hAnsi="Calibri" w:cs="Calibri"/>
          <w:b/>
          <w:bCs/>
          <w:sz w:val="22"/>
          <w:szCs w:val="22"/>
        </w:rPr>
        <w:t>NOTA 5</w:t>
      </w:r>
      <w:r w:rsidR="00C636F9">
        <w:rPr>
          <w:rFonts w:ascii="Calibri" w:hAnsi="Calibri" w:cs="Calibri"/>
          <w:b/>
          <w:bCs/>
          <w:sz w:val="22"/>
          <w:szCs w:val="22"/>
        </w:rPr>
        <w:t xml:space="preserve"> - ESTOQUE</w:t>
      </w:r>
    </w:p>
    <w:tbl>
      <w:tblPr>
        <w:tblW w:w="5000" w:type="pct"/>
        <w:tblCellMar>
          <w:left w:w="70" w:type="dxa"/>
          <w:right w:w="70" w:type="dxa"/>
        </w:tblCellMar>
        <w:tblLook w:val="04A0" w:firstRow="1" w:lastRow="0" w:firstColumn="1" w:lastColumn="0" w:noHBand="0" w:noVBand="1"/>
      </w:tblPr>
      <w:tblGrid>
        <w:gridCol w:w="1495"/>
        <w:gridCol w:w="1495"/>
        <w:gridCol w:w="1497"/>
        <w:gridCol w:w="1191"/>
        <w:gridCol w:w="1597"/>
        <w:gridCol w:w="1597"/>
        <w:gridCol w:w="1595"/>
      </w:tblGrid>
      <w:tr w:rsidR="00E642E0" w:rsidRPr="002E2B5B" w14:paraId="418D71AD" w14:textId="77777777" w:rsidTr="007D40EC">
        <w:trPr>
          <w:trHeight w:val="315"/>
        </w:trPr>
        <w:tc>
          <w:tcPr>
            <w:tcW w:w="2143" w:type="pct"/>
            <w:gridSpan w:val="3"/>
            <w:tcBorders>
              <w:top w:val="nil"/>
              <w:left w:val="nil"/>
              <w:bottom w:val="single" w:sz="8" w:space="0" w:color="auto"/>
              <w:right w:val="nil"/>
            </w:tcBorders>
            <w:shd w:val="clear" w:color="auto" w:fill="auto"/>
            <w:noWrap/>
            <w:vAlign w:val="center"/>
            <w:hideMark/>
          </w:tcPr>
          <w:p w14:paraId="5C56AA25" w14:textId="0215ED15" w:rsidR="00E642E0" w:rsidRPr="002E2B5B" w:rsidRDefault="00F32FBB" w:rsidP="007D40EC">
            <w:pPr>
              <w:spacing w:after="120"/>
              <w:rPr>
                <w:rFonts w:ascii="Calibri" w:hAnsi="Calibri" w:cs="Calibri"/>
                <w:b/>
                <w:bCs/>
                <w:color w:val="000000"/>
                <w:sz w:val="16"/>
                <w:szCs w:val="16"/>
              </w:rPr>
            </w:pPr>
            <w:r>
              <w:rPr>
                <w:rFonts w:ascii="Calibri" w:hAnsi="Calibri" w:cs="Calibri"/>
                <w:b/>
                <w:bCs/>
                <w:color w:val="000000"/>
                <w:sz w:val="16"/>
                <w:szCs w:val="16"/>
              </w:rPr>
              <w:t>Estoque</w:t>
            </w:r>
          </w:p>
        </w:tc>
        <w:tc>
          <w:tcPr>
            <w:tcW w:w="569" w:type="pct"/>
            <w:tcBorders>
              <w:top w:val="nil"/>
              <w:left w:val="nil"/>
              <w:bottom w:val="single" w:sz="8" w:space="0" w:color="auto"/>
              <w:right w:val="nil"/>
            </w:tcBorders>
            <w:shd w:val="clear" w:color="auto" w:fill="auto"/>
            <w:vAlign w:val="center"/>
            <w:hideMark/>
          </w:tcPr>
          <w:p w14:paraId="03CA2FAD" w14:textId="77777777" w:rsidR="00E642E0" w:rsidRPr="002E2B5B" w:rsidRDefault="00E642E0" w:rsidP="007D40EC">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bottom"/>
          </w:tcPr>
          <w:p w14:paraId="7E93B857" w14:textId="77777777" w:rsidR="00E642E0" w:rsidRPr="002E2B5B" w:rsidRDefault="00E642E0" w:rsidP="007D40EC">
            <w:pPr>
              <w:spacing w:after="120"/>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bottom"/>
            <w:hideMark/>
          </w:tcPr>
          <w:p w14:paraId="0413E02A" w14:textId="27C8E378" w:rsidR="00E642E0" w:rsidRPr="002E2B5B" w:rsidRDefault="00E642E0" w:rsidP="007D40EC">
            <w:pPr>
              <w:spacing w:after="120"/>
              <w:jc w:val="right"/>
              <w:rPr>
                <w:rFonts w:ascii="Calibri" w:hAnsi="Calibri" w:cs="Calibri"/>
                <w:b/>
                <w:bCs/>
                <w:color w:val="000000"/>
                <w:sz w:val="16"/>
                <w:szCs w:val="16"/>
              </w:rPr>
            </w:pPr>
            <w:r>
              <w:rPr>
                <w:rFonts w:ascii="Calibri" w:hAnsi="Calibri" w:cs="Calibri"/>
                <w:b/>
                <w:bCs/>
                <w:color w:val="000000"/>
                <w:sz w:val="16"/>
                <w:szCs w:val="16"/>
              </w:rPr>
              <w:t>30/09/</w:t>
            </w:r>
            <w:r w:rsidRPr="002E2B5B">
              <w:rPr>
                <w:rFonts w:ascii="Calibri" w:hAnsi="Calibri" w:cs="Calibri"/>
                <w:b/>
                <w:bCs/>
                <w:color w:val="000000"/>
                <w:sz w:val="16"/>
                <w:szCs w:val="16"/>
              </w:rPr>
              <w:t>202</w:t>
            </w:r>
            <w:r>
              <w:rPr>
                <w:rFonts w:ascii="Calibri" w:hAnsi="Calibri" w:cs="Calibri"/>
                <w:b/>
                <w:bCs/>
                <w:color w:val="000000"/>
                <w:sz w:val="16"/>
                <w:szCs w:val="16"/>
              </w:rPr>
              <w:t>2</w:t>
            </w:r>
          </w:p>
        </w:tc>
        <w:tc>
          <w:tcPr>
            <w:tcW w:w="762" w:type="pct"/>
            <w:tcBorders>
              <w:top w:val="nil"/>
              <w:left w:val="nil"/>
              <w:bottom w:val="single" w:sz="8" w:space="0" w:color="auto"/>
              <w:right w:val="nil"/>
            </w:tcBorders>
            <w:shd w:val="clear" w:color="auto" w:fill="auto"/>
            <w:noWrap/>
            <w:vAlign w:val="bottom"/>
          </w:tcPr>
          <w:p w14:paraId="098B56CB" w14:textId="77777777" w:rsidR="00E642E0" w:rsidRPr="002E2B5B" w:rsidRDefault="00E642E0" w:rsidP="007D40EC">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Pr>
                <w:rFonts w:ascii="Calibri" w:hAnsi="Calibri" w:cs="Calibri"/>
                <w:b/>
                <w:bCs/>
                <w:color w:val="000000"/>
                <w:sz w:val="16"/>
                <w:szCs w:val="16"/>
              </w:rPr>
              <w:t>21</w:t>
            </w:r>
          </w:p>
        </w:tc>
      </w:tr>
      <w:tr w:rsidR="00E642E0" w:rsidRPr="002E2B5B" w14:paraId="7863C6DE" w14:textId="77777777" w:rsidTr="007D40EC">
        <w:trPr>
          <w:trHeight w:val="300"/>
        </w:trPr>
        <w:tc>
          <w:tcPr>
            <w:tcW w:w="2143" w:type="pct"/>
            <w:gridSpan w:val="3"/>
            <w:tcBorders>
              <w:top w:val="nil"/>
              <w:left w:val="nil"/>
              <w:bottom w:val="nil"/>
              <w:right w:val="nil"/>
            </w:tcBorders>
            <w:shd w:val="clear" w:color="auto" w:fill="auto"/>
            <w:noWrap/>
            <w:vAlign w:val="center"/>
            <w:hideMark/>
          </w:tcPr>
          <w:p w14:paraId="6A4EE212" w14:textId="1BF7D9A3" w:rsidR="00E642E0" w:rsidRPr="002E2B5B" w:rsidRDefault="00E642E0" w:rsidP="007D40EC">
            <w:pPr>
              <w:spacing w:after="120"/>
              <w:rPr>
                <w:rFonts w:ascii="Calibri" w:hAnsi="Calibri" w:cs="Calibri"/>
                <w:color w:val="000000"/>
                <w:sz w:val="16"/>
                <w:szCs w:val="16"/>
              </w:rPr>
            </w:pPr>
            <w:r w:rsidRPr="00E642E0">
              <w:rPr>
                <w:rFonts w:ascii="Calibri" w:hAnsi="Calibri" w:cs="Calibri"/>
                <w:color w:val="000000"/>
                <w:sz w:val="16"/>
                <w:szCs w:val="16"/>
              </w:rPr>
              <w:t>Serviços em Elaboração</w:t>
            </w:r>
          </w:p>
        </w:tc>
        <w:tc>
          <w:tcPr>
            <w:tcW w:w="569" w:type="pct"/>
            <w:tcBorders>
              <w:top w:val="nil"/>
              <w:left w:val="nil"/>
              <w:bottom w:val="nil"/>
              <w:right w:val="nil"/>
            </w:tcBorders>
            <w:shd w:val="clear" w:color="auto" w:fill="auto"/>
            <w:vAlign w:val="center"/>
            <w:hideMark/>
          </w:tcPr>
          <w:p w14:paraId="6F43BFC7" w14:textId="77777777" w:rsidR="00E642E0" w:rsidRPr="002E2B5B" w:rsidRDefault="00E642E0" w:rsidP="007D40EC">
            <w:pPr>
              <w:spacing w:after="120"/>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tcPr>
          <w:p w14:paraId="15211D12" w14:textId="77777777" w:rsidR="00E642E0" w:rsidRPr="002E2B5B" w:rsidRDefault="00E642E0" w:rsidP="007D40EC">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3265050B" w14:textId="1E88E861" w:rsidR="00E642E0" w:rsidRPr="002E2B5B" w:rsidRDefault="00E642E0" w:rsidP="007D40EC">
            <w:pPr>
              <w:spacing w:after="120"/>
              <w:jc w:val="right"/>
              <w:rPr>
                <w:rFonts w:ascii="Calibri" w:hAnsi="Calibri" w:cs="Calibri"/>
                <w:color w:val="000000"/>
                <w:sz w:val="16"/>
                <w:szCs w:val="16"/>
              </w:rPr>
            </w:pPr>
            <w:r w:rsidRPr="00E642E0">
              <w:rPr>
                <w:rFonts w:ascii="Calibri" w:hAnsi="Calibri" w:cs="Calibri"/>
                <w:color w:val="000000"/>
                <w:sz w:val="16"/>
                <w:szCs w:val="16"/>
              </w:rPr>
              <w:t>203.280</w:t>
            </w:r>
          </w:p>
        </w:tc>
        <w:tc>
          <w:tcPr>
            <w:tcW w:w="762" w:type="pct"/>
            <w:tcBorders>
              <w:top w:val="nil"/>
              <w:left w:val="nil"/>
              <w:bottom w:val="nil"/>
              <w:right w:val="nil"/>
            </w:tcBorders>
            <w:shd w:val="clear" w:color="auto" w:fill="auto"/>
            <w:noWrap/>
            <w:vAlign w:val="center"/>
          </w:tcPr>
          <w:p w14:paraId="687F581A" w14:textId="62742B0A" w:rsidR="00E642E0" w:rsidRPr="002E2B5B" w:rsidRDefault="00E642E0" w:rsidP="007D40EC">
            <w:pPr>
              <w:spacing w:after="120"/>
              <w:jc w:val="right"/>
              <w:rPr>
                <w:rFonts w:ascii="Calibri" w:hAnsi="Calibri" w:cs="Calibri"/>
                <w:color w:val="000000"/>
                <w:sz w:val="16"/>
                <w:szCs w:val="16"/>
              </w:rPr>
            </w:pPr>
            <w:r>
              <w:rPr>
                <w:rFonts w:ascii="Calibri" w:hAnsi="Calibri" w:cs="Calibri"/>
                <w:color w:val="000000"/>
                <w:sz w:val="16"/>
                <w:szCs w:val="16"/>
              </w:rPr>
              <w:t>0</w:t>
            </w:r>
          </w:p>
        </w:tc>
      </w:tr>
      <w:tr w:rsidR="00E642E0" w:rsidRPr="002E2B5B" w14:paraId="186BEE99" w14:textId="77777777" w:rsidTr="00E642E0">
        <w:trPr>
          <w:trHeight w:val="300"/>
        </w:trPr>
        <w:tc>
          <w:tcPr>
            <w:tcW w:w="714" w:type="pct"/>
            <w:tcBorders>
              <w:top w:val="nil"/>
              <w:left w:val="nil"/>
              <w:bottom w:val="single" w:sz="8" w:space="0" w:color="auto"/>
              <w:right w:val="nil"/>
            </w:tcBorders>
            <w:shd w:val="clear" w:color="auto" w:fill="auto"/>
            <w:noWrap/>
            <w:vAlign w:val="center"/>
            <w:hideMark/>
          </w:tcPr>
          <w:p w14:paraId="26D1224B" w14:textId="196FABC8" w:rsidR="00E642E0" w:rsidRPr="002E2B5B" w:rsidRDefault="00E642E0" w:rsidP="007D40EC">
            <w:pPr>
              <w:spacing w:after="120"/>
              <w:rPr>
                <w:rFonts w:ascii="Calibri" w:hAnsi="Calibri" w:cs="Calibri"/>
                <w:color w:val="000000"/>
                <w:sz w:val="16"/>
                <w:szCs w:val="16"/>
              </w:rPr>
            </w:pPr>
            <w:r w:rsidRPr="00E642E0">
              <w:rPr>
                <w:rFonts w:ascii="Calibri" w:hAnsi="Calibri" w:cs="Calibri"/>
                <w:color w:val="000000"/>
                <w:sz w:val="16"/>
                <w:szCs w:val="16"/>
              </w:rPr>
              <w:t>Almoxarifado</w:t>
            </w:r>
          </w:p>
        </w:tc>
        <w:tc>
          <w:tcPr>
            <w:tcW w:w="714" w:type="pct"/>
            <w:tcBorders>
              <w:top w:val="nil"/>
              <w:left w:val="nil"/>
              <w:bottom w:val="single" w:sz="8" w:space="0" w:color="auto"/>
              <w:right w:val="nil"/>
            </w:tcBorders>
            <w:shd w:val="clear" w:color="auto" w:fill="auto"/>
            <w:noWrap/>
            <w:vAlign w:val="bottom"/>
            <w:hideMark/>
          </w:tcPr>
          <w:p w14:paraId="401D6399" w14:textId="77777777" w:rsidR="00E642E0" w:rsidRPr="002E2B5B" w:rsidRDefault="00E642E0" w:rsidP="007D40EC">
            <w:pPr>
              <w:spacing w:after="120"/>
              <w:rPr>
                <w:rFonts w:ascii="Calibri" w:hAnsi="Calibri" w:cs="Calibri"/>
                <w:color w:val="000000"/>
                <w:sz w:val="16"/>
                <w:szCs w:val="16"/>
              </w:rPr>
            </w:pPr>
          </w:p>
        </w:tc>
        <w:tc>
          <w:tcPr>
            <w:tcW w:w="715" w:type="pct"/>
            <w:tcBorders>
              <w:top w:val="nil"/>
              <w:left w:val="nil"/>
              <w:bottom w:val="single" w:sz="8" w:space="0" w:color="auto"/>
              <w:right w:val="nil"/>
            </w:tcBorders>
            <w:shd w:val="clear" w:color="auto" w:fill="auto"/>
            <w:noWrap/>
            <w:vAlign w:val="bottom"/>
            <w:hideMark/>
          </w:tcPr>
          <w:p w14:paraId="4282C1F1" w14:textId="77777777" w:rsidR="00E642E0" w:rsidRPr="002E2B5B" w:rsidRDefault="00E642E0" w:rsidP="007D40EC">
            <w:pPr>
              <w:spacing w:after="120"/>
              <w:rPr>
                <w:rFonts w:ascii="Calibri" w:hAnsi="Calibri" w:cs="Calibri"/>
                <w:sz w:val="16"/>
                <w:szCs w:val="16"/>
              </w:rPr>
            </w:pPr>
          </w:p>
        </w:tc>
        <w:tc>
          <w:tcPr>
            <w:tcW w:w="569" w:type="pct"/>
            <w:tcBorders>
              <w:top w:val="nil"/>
              <w:left w:val="nil"/>
              <w:bottom w:val="single" w:sz="8" w:space="0" w:color="auto"/>
              <w:right w:val="nil"/>
            </w:tcBorders>
            <w:shd w:val="clear" w:color="auto" w:fill="auto"/>
            <w:vAlign w:val="center"/>
            <w:hideMark/>
          </w:tcPr>
          <w:p w14:paraId="2D5720D4" w14:textId="77777777" w:rsidR="00E642E0" w:rsidRPr="002E2B5B" w:rsidRDefault="00E642E0" w:rsidP="007D40EC">
            <w:pPr>
              <w:spacing w:after="120"/>
              <w:rPr>
                <w:rFonts w:ascii="Calibri" w:hAnsi="Calibri" w:cs="Calibri"/>
                <w:sz w:val="16"/>
                <w:szCs w:val="16"/>
              </w:rPr>
            </w:pPr>
          </w:p>
        </w:tc>
        <w:tc>
          <w:tcPr>
            <w:tcW w:w="763" w:type="pct"/>
            <w:tcBorders>
              <w:top w:val="nil"/>
              <w:left w:val="nil"/>
              <w:bottom w:val="single" w:sz="8" w:space="0" w:color="auto"/>
              <w:right w:val="nil"/>
            </w:tcBorders>
            <w:shd w:val="clear" w:color="auto" w:fill="auto"/>
            <w:noWrap/>
            <w:vAlign w:val="center"/>
          </w:tcPr>
          <w:p w14:paraId="02933C89" w14:textId="77777777" w:rsidR="00E642E0" w:rsidRPr="002E2B5B" w:rsidRDefault="00E642E0" w:rsidP="007D40EC">
            <w:pPr>
              <w:spacing w:after="120"/>
              <w:jc w:val="right"/>
              <w:rPr>
                <w:rFonts w:ascii="Calibri" w:hAnsi="Calibri" w:cs="Calibri"/>
                <w:color w:val="000000"/>
                <w:sz w:val="16"/>
                <w:szCs w:val="16"/>
              </w:rPr>
            </w:pPr>
          </w:p>
        </w:tc>
        <w:tc>
          <w:tcPr>
            <w:tcW w:w="763" w:type="pct"/>
            <w:tcBorders>
              <w:top w:val="nil"/>
              <w:left w:val="nil"/>
              <w:bottom w:val="single" w:sz="8" w:space="0" w:color="auto"/>
              <w:right w:val="nil"/>
            </w:tcBorders>
            <w:shd w:val="clear" w:color="auto" w:fill="auto"/>
            <w:noWrap/>
            <w:vAlign w:val="center"/>
            <w:hideMark/>
          </w:tcPr>
          <w:p w14:paraId="65860D3D" w14:textId="4F02F21D" w:rsidR="00E642E0" w:rsidRPr="002E2B5B" w:rsidRDefault="00E642E0" w:rsidP="007D40EC">
            <w:pPr>
              <w:spacing w:after="120"/>
              <w:jc w:val="right"/>
              <w:rPr>
                <w:rFonts w:ascii="Calibri" w:hAnsi="Calibri" w:cs="Calibri"/>
                <w:color w:val="000000"/>
                <w:sz w:val="16"/>
                <w:szCs w:val="16"/>
              </w:rPr>
            </w:pPr>
            <w:r w:rsidRPr="00E642E0">
              <w:rPr>
                <w:rFonts w:ascii="Calibri" w:hAnsi="Calibri" w:cs="Calibri"/>
                <w:color w:val="000000"/>
                <w:sz w:val="16"/>
                <w:szCs w:val="16"/>
              </w:rPr>
              <w:t>72.673</w:t>
            </w:r>
          </w:p>
        </w:tc>
        <w:tc>
          <w:tcPr>
            <w:tcW w:w="762" w:type="pct"/>
            <w:tcBorders>
              <w:top w:val="nil"/>
              <w:left w:val="nil"/>
              <w:bottom w:val="single" w:sz="8" w:space="0" w:color="auto"/>
              <w:right w:val="nil"/>
            </w:tcBorders>
            <w:shd w:val="clear" w:color="auto" w:fill="auto"/>
            <w:noWrap/>
            <w:vAlign w:val="center"/>
          </w:tcPr>
          <w:p w14:paraId="62B6C337" w14:textId="38ADB28A" w:rsidR="00E642E0" w:rsidRPr="002E2B5B" w:rsidRDefault="00E642E0" w:rsidP="007D40EC">
            <w:pPr>
              <w:spacing w:after="120"/>
              <w:jc w:val="right"/>
              <w:rPr>
                <w:rFonts w:ascii="Calibri" w:hAnsi="Calibri" w:cs="Calibri"/>
                <w:color w:val="000000"/>
                <w:sz w:val="16"/>
                <w:szCs w:val="16"/>
              </w:rPr>
            </w:pPr>
            <w:r>
              <w:rPr>
                <w:rFonts w:ascii="Calibri" w:hAnsi="Calibri" w:cs="Calibri"/>
                <w:color w:val="000000"/>
                <w:sz w:val="16"/>
                <w:szCs w:val="16"/>
              </w:rPr>
              <w:t>0</w:t>
            </w:r>
          </w:p>
        </w:tc>
      </w:tr>
      <w:tr w:rsidR="00E642E0" w:rsidRPr="002E2B5B" w14:paraId="666B88D5" w14:textId="77777777" w:rsidTr="00E642E0">
        <w:trPr>
          <w:trHeight w:val="315"/>
        </w:trPr>
        <w:tc>
          <w:tcPr>
            <w:tcW w:w="2143" w:type="pct"/>
            <w:gridSpan w:val="3"/>
            <w:tcBorders>
              <w:top w:val="single" w:sz="8" w:space="0" w:color="auto"/>
              <w:left w:val="nil"/>
              <w:bottom w:val="single" w:sz="8" w:space="0" w:color="auto"/>
              <w:right w:val="nil"/>
            </w:tcBorders>
            <w:shd w:val="clear" w:color="auto" w:fill="auto"/>
            <w:noWrap/>
            <w:vAlign w:val="center"/>
            <w:hideMark/>
          </w:tcPr>
          <w:p w14:paraId="5DBABC19" w14:textId="77777777" w:rsidR="00E642E0" w:rsidRPr="002E2B5B" w:rsidRDefault="00E642E0" w:rsidP="007D40EC">
            <w:pPr>
              <w:spacing w:after="120"/>
              <w:rPr>
                <w:rFonts w:ascii="Calibri" w:hAnsi="Calibri" w:cs="Calibri"/>
                <w:b/>
                <w:bCs/>
                <w:color w:val="000000"/>
                <w:sz w:val="16"/>
                <w:szCs w:val="16"/>
              </w:rPr>
            </w:pPr>
            <w:r w:rsidRPr="002E2B5B">
              <w:rPr>
                <w:rFonts w:ascii="Calibri" w:hAnsi="Calibri" w:cs="Calibri"/>
                <w:b/>
                <w:bCs/>
                <w:color w:val="000000"/>
                <w:sz w:val="16"/>
                <w:szCs w:val="16"/>
              </w:rPr>
              <w:t>TOTAL DOS DEPÓSITOS DE CAUÇÕES</w:t>
            </w:r>
          </w:p>
        </w:tc>
        <w:tc>
          <w:tcPr>
            <w:tcW w:w="569" w:type="pct"/>
            <w:tcBorders>
              <w:top w:val="single" w:sz="8" w:space="0" w:color="auto"/>
              <w:left w:val="nil"/>
              <w:bottom w:val="single" w:sz="8" w:space="0" w:color="auto"/>
              <w:right w:val="nil"/>
            </w:tcBorders>
            <w:shd w:val="clear" w:color="auto" w:fill="auto"/>
            <w:vAlign w:val="center"/>
            <w:hideMark/>
          </w:tcPr>
          <w:p w14:paraId="5FCEE3CC" w14:textId="77777777" w:rsidR="00E642E0" w:rsidRPr="002E2B5B" w:rsidRDefault="00E642E0" w:rsidP="007D40EC">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single" w:sz="8" w:space="0" w:color="auto"/>
              <w:left w:val="nil"/>
              <w:bottom w:val="single" w:sz="8" w:space="0" w:color="auto"/>
              <w:right w:val="nil"/>
            </w:tcBorders>
            <w:shd w:val="clear" w:color="auto" w:fill="auto"/>
            <w:noWrap/>
            <w:vAlign w:val="center"/>
          </w:tcPr>
          <w:p w14:paraId="1F05E559" w14:textId="77777777" w:rsidR="00E642E0" w:rsidRPr="002E2B5B" w:rsidRDefault="00E642E0" w:rsidP="007D40EC">
            <w:pPr>
              <w:spacing w:after="120"/>
              <w:jc w:val="right"/>
              <w:rPr>
                <w:rFonts w:ascii="Calibri" w:hAnsi="Calibri" w:cs="Calibri"/>
                <w:b/>
                <w:bCs/>
                <w:color w:val="000000"/>
                <w:sz w:val="16"/>
                <w:szCs w:val="16"/>
              </w:rPr>
            </w:pPr>
          </w:p>
        </w:tc>
        <w:tc>
          <w:tcPr>
            <w:tcW w:w="763" w:type="pct"/>
            <w:tcBorders>
              <w:top w:val="single" w:sz="8" w:space="0" w:color="auto"/>
              <w:left w:val="nil"/>
              <w:bottom w:val="single" w:sz="8" w:space="0" w:color="auto"/>
              <w:right w:val="nil"/>
            </w:tcBorders>
            <w:shd w:val="clear" w:color="auto" w:fill="auto"/>
            <w:noWrap/>
            <w:vAlign w:val="center"/>
            <w:hideMark/>
          </w:tcPr>
          <w:p w14:paraId="403C51D0" w14:textId="133C540B" w:rsidR="00E642E0" w:rsidRPr="002E2B5B" w:rsidRDefault="00E642E0" w:rsidP="007D40EC">
            <w:pPr>
              <w:spacing w:after="120"/>
              <w:jc w:val="right"/>
              <w:rPr>
                <w:rFonts w:ascii="Calibri" w:hAnsi="Calibri" w:cs="Calibri"/>
                <w:b/>
                <w:bCs/>
                <w:color w:val="000000"/>
                <w:sz w:val="16"/>
                <w:szCs w:val="16"/>
              </w:rPr>
            </w:pPr>
            <w:r w:rsidRPr="00E642E0">
              <w:rPr>
                <w:rFonts w:ascii="Calibri" w:hAnsi="Calibri" w:cs="Calibri"/>
                <w:b/>
                <w:bCs/>
                <w:color w:val="000000"/>
                <w:sz w:val="16"/>
                <w:szCs w:val="16"/>
              </w:rPr>
              <w:t>275.953</w:t>
            </w:r>
          </w:p>
        </w:tc>
        <w:tc>
          <w:tcPr>
            <w:tcW w:w="762" w:type="pct"/>
            <w:tcBorders>
              <w:top w:val="single" w:sz="8" w:space="0" w:color="auto"/>
              <w:left w:val="nil"/>
              <w:bottom w:val="single" w:sz="8" w:space="0" w:color="auto"/>
              <w:right w:val="nil"/>
            </w:tcBorders>
            <w:shd w:val="clear" w:color="auto" w:fill="auto"/>
            <w:noWrap/>
            <w:vAlign w:val="center"/>
          </w:tcPr>
          <w:p w14:paraId="651B612B" w14:textId="7C0F654C" w:rsidR="00E642E0" w:rsidRPr="002E2B5B" w:rsidRDefault="00E642E0" w:rsidP="007D40EC">
            <w:pPr>
              <w:spacing w:after="120"/>
              <w:jc w:val="right"/>
              <w:rPr>
                <w:rFonts w:ascii="Calibri" w:hAnsi="Calibri" w:cs="Calibri"/>
                <w:b/>
                <w:bCs/>
                <w:color w:val="000000"/>
                <w:sz w:val="16"/>
                <w:szCs w:val="16"/>
              </w:rPr>
            </w:pPr>
            <w:r>
              <w:rPr>
                <w:rFonts w:ascii="Calibri" w:hAnsi="Calibri" w:cs="Calibri"/>
                <w:b/>
                <w:bCs/>
                <w:color w:val="000000"/>
                <w:sz w:val="16"/>
                <w:szCs w:val="16"/>
              </w:rPr>
              <w:t>0</w:t>
            </w:r>
          </w:p>
        </w:tc>
      </w:tr>
    </w:tbl>
    <w:p w14:paraId="080287D9" w14:textId="0E4D3B07" w:rsidR="00E642E0" w:rsidRPr="00E642E0" w:rsidRDefault="00E642E0" w:rsidP="00E642E0">
      <w:pPr>
        <w:spacing w:before="120" w:after="120"/>
        <w:jc w:val="both"/>
        <w:rPr>
          <w:rFonts w:ascii="Calibri" w:hAnsi="Calibri" w:cs="Calibri"/>
          <w:sz w:val="22"/>
          <w:szCs w:val="22"/>
        </w:rPr>
      </w:pPr>
      <w:r w:rsidRPr="00E642E0">
        <w:rPr>
          <w:rFonts w:ascii="Calibri" w:hAnsi="Calibri" w:cs="Calibri"/>
          <w:sz w:val="22"/>
          <w:szCs w:val="22"/>
        </w:rPr>
        <w:t>Os estoques de serviços em elaboração referem-se ao custo com contratação de terceiros para</w:t>
      </w:r>
      <w:r>
        <w:rPr>
          <w:rFonts w:ascii="Calibri" w:hAnsi="Calibri" w:cs="Calibri"/>
          <w:sz w:val="22"/>
          <w:szCs w:val="22"/>
        </w:rPr>
        <w:t xml:space="preserve"> </w:t>
      </w:r>
      <w:r w:rsidRPr="00E642E0">
        <w:rPr>
          <w:rFonts w:ascii="Calibri" w:hAnsi="Calibri" w:cs="Calibri"/>
          <w:sz w:val="22"/>
          <w:szCs w:val="22"/>
        </w:rPr>
        <w:t>atendimento do Contrato nº 20/2020, firmado entre a EPL e a Administração dos Portos de Paranaguá</w:t>
      </w:r>
      <w:r>
        <w:rPr>
          <w:rFonts w:ascii="Calibri" w:hAnsi="Calibri" w:cs="Calibri"/>
          <w:sz w:val="22"/>
          <w:szCs w:val="22"/>
        </w:rPr>
        <w:t xml:space="preserve"> </w:t>
      </w:r>
      <w:r w:rsidRPr="00E642E0">
        <w:rPr>
          <w:rFonts w:ascii="Calibri" w:hAnsi="Calibri" w:cs="Calibri"/>
          <w:sz w:val="22"/>
          <w:szCs w:val="22"/>
        </w:rPr>
        <w:t>e Antonina – APPA, cujo objeto é a prestação de serviços de atualização dos Planos de Desenvolvimento</w:t>
      </w:r>
      <w:r>
        <w:rPr>
          <w:rFonts w:ascii="Calibri" w:hAnsi="Calibri" w:cs="Calibri"/>
          <w:sz w:val="22"/>
          <w:szCs w:val="22"/>
        </w:rPr>
        <w:t xml:space="preserve"> </w:t>
      </w:r>
      <w:r w:rsidRPr="00E642E0">
        <w:rPr>
          <w:rFonts w:ascii="Calibri" w:hAnsi="Calibri" w:cs="Calibri"/>
          <w:sz w:val="22"/>
          <w:szCs w:val="22"/>
        </w:rPr>
        <w:t>e Zoneamento - PDZ’s dos referidos portos, bem como com a contratação de empresa especializada</w:t>
      </w:r>
      <w:r>
        <w:rPr>
          <w:rFonts w:ascii="Calibri" w:hAnsi="Calibri" w:cs="Calibri"/>
          <w:sz w:val="22"/>
          <w:szCs w:val="22"/>
        </w:rPr>
        <w:t xml:space="preserve"> </w:t>
      </w:r>
      <w:r w:rsidRPr="00E642E0">
        <w:rPr>
          <w:rFonts w:ascii="Calibri" w:hAnsi="Calibri" w:cs="Calibri"/>
          <w:sz w:val="22"/>
          <w:szCs w:val="22"/>
        </w:rPr>
        <w:t>para elaboração de projeto conceitual para implantação, operação e manutenção de sistema de Vessel</w:t>
      </w:r>
      <w:r>
        <w:rPr>
          <w:rFonts w:ascii="Calibri" w:hAnsi="Calibri" w:cs="Calibri"/>
          <w:sz w:val="22"/>
          <w:szCs w:val="22"/>
        </w:rPr>
        <w:t xml:space="preserve"> </w:t>
      </w:r>
      <w:r w:rsidRPr="00E642E0">
        <w:rPr>
          <w:rFonts w:ascii="Calibri" w:hAnsi="Calibri" w:cs="Calibri"/>
          <w:sz w:val="22"/>
          <w:szCs w:val="22"/>
        </w:rPr>
        <w:t>Traffic Service (VTS).</w:t>
      </w:r>
    </w:p>
    <w:p w14:paraId="3DD80AFB" w14:textId="7C445030" w:rsidR="0070749E" w:rsidRDefault="00E642E0" w:rsidP="009538EB">
      <w:pPr>
        <w:jc w:val="both"/>
        <w:rPr>
          <w:rFonts w:ascii="Calibri" w:hAnsi="Calibri" w:cs="Calibri"/>
          <w:sz w:val="22"/>
          <w:szCs w:val="22"/>
        </w:rPr>
      </w:pPr>
      <w:r w:rsidRPr="00E642E0">
        <w:rPr>
          <w:rFonts w:ascii="Calibri" w:hAnsi="Calibri" w:cs="Calibri"/>
          <w:sz w:val="22"/>
          <w:szCs w:val="22"/>
        </w:rPr>
        <w:t xml:space="preserve">Apresenta-se a seguir </w:t>
      </w:r>
      <w:r w:rsidR="0070749E">
        <w:rPr>
          <w:rFonts w:ascii="Calibri" w:hAnsi="Calibri" w:cs="Calibri"/>
          <w:sz w:val="22"/>
          <w:szCs w:val="22"/>
        </w:rPr>
        <w:t>o detalhamento</w:t>
      </w:r>
      <w:r w:rsidRPr="00E642E0">
        <w:rPr>
          <w:rFonts w:ascii="Calibri" w:hAnsi="Calibri" w:cs="Calibri"/>
          <w:sz w:val="22"/>
          <w:szCs w:val="22"/>
        </w:rPr>
        <w:t xml:space="preserve"> dos estoques de serviço em elaboração:</w:t>
      </w:r>
    </w:p>
    <w:tbl>
      <w:tblPr>
        <w:tblW w:w="5000" w:type="pct"/>
        <w:tblCellMar>
          <w:left w:w="70" w:type="dxa"/>
          <w:right w:w="70" w:type="dxa"/>
        </w:tblCellMar>
        <w:tblLook w:val="04A0" w:firstRow="1" w:lastRow="0" w:firstColumn="1" w:lastColumn="0" w:noHBand="0" w:noVBand="1"/>
      </w:tblPr>
      <w:tblGrid>
        <w:gridCol w:w="3784"/>
        <w:gridCol w:w="2268"/>
        <w:gridCol w:w="2209"/>
        <w:gridCol w:w="2206"/>
      </w:tblGrid>
      <w:tr w:rsidR="0070749E" w:rsidRPr="002E2B5B" w14:paraId="3D31A90E" w14:textId="77777777" w:rsidTr="00F91284">
        <w:trPr>
          <w:trHeight w:hRule="exact" w:val="500"/>
        </w:trPr>
        <w:tc>
          <w:tcPr>
            <w:tcW w:w="1808" w:type="pct"/>
            <w:tcBorders>
              <w:top w:val="nil"/>
              <w:left w:val="nil"/>
              <w:bottom w:val="single" w:sz="4" w:space="0" w:color="auto"/>
              <w:right w:val="nil"/>
            </w:tcBorders>
            <w:shd w:val="clear" w:color="auto" w:fill="auto"/>
            <w:noWrap/>
            <w:vAlign w:val="bottom"/>
            <w:hideMark/>
          </w:tcPr>
          <w:p w14:paraId="51F9D088" w14:textId="5CCBDD37" w:rsidR="0070749E" w:rsidRPr="002E2B5B" w:rsidRDefault="0070749E" w:rsidP="007D40EC">
            <w:pPr>
              <w:spacing w:after="120"/>
              <w:rPr>
                <w:rFonts w:ascii="Calibri" w:hAnsi="Calibri" w:cs="Calibri"/>
                <w:b/>
                <w:bCs/>
                <w:sz w:val="16"/>
                <w:szCs w:val="16"/>
              </w:rPr>
            </w:pPr>
            <w:r w:rsidRPr="0070749E">
              <w:rPr>
                <w:rFonts w:ascii="Calibri" w:hAnsi="Calibri" w:cs="Calibri"/>
                <w:b/>
                <w:bCs/>
                <w:sz w:val="16"/>
                <w:szCs w:val="16"/>
              </w:rPr>
              <w:t>Contrato</w:t>
            </w:r>
          </w:p>
        </w:tc>
        <w:tc>
          <w:tcPr>
            <w:tcW w:w="1083" w:type="pct"/>
            <w:tcBorders>
              <w:top w:val="nil"/>
              <w:left w:val="nil"/>
              <w:bottom w:val="single" w:sz="4" w:space="0" w:color="auto"/>
              <w:right w:val="nil"/>
            </w:tcBorders>
            <w:shd w:val="clear" w:color="auto" w:fill="auto"/>
            <w:vAlign w:val="bottom"/>
            <w:hideMark/>
          </w:tcPr>
          <w:p w14:paraId="77C1E072" w14:textId="0F41778B" w:rsidR="0070749E" w:rsidRPr="002E2B5B" w:rsidRDefault="0070749E" w:rsidP="0070749E">
            <w:pPr>
              <w:spacing w:after="120"/>
              <w:jc w:val="center"/>
              <w:rPr>
                <w:rFonts w:ascii="Calibri" w:hAnsi="Calibri" w:cs="Calibri"/>
                <w:b/>
                <w:bCs/>
                <w:sz w:val="16"/>
                <w:szCs w:val="16"/>
              </w:rPr>
            </w:pPr>
            <w:r w:rsidRPr="0070749E">
              <w:rPr>
                <w:rFonts w:ascii="Calibri" w:hAnsi="Calibri" w:cs="Calibri"/>
                <w:b/>
                <w:bCs/>
                <w:sz w:val="16"/>
                <w:szCs w:val="16"/>
              </w:rPr>
              <w:t>Porto</w:t>
            </w:r>
          </w:p>
        </w:tc>
        <w:tc>
          <w:tcPr>
            <w:tcW w:w="1055" w:type="pct"/>
            <w:tcBorders>
              <w:top w:val="nil"/>
              <w:left w:val="nil"/>
              <w:bottom w:val="single" w:sz="4" w:space="0" w:color="auto"/>
              <w:right w:val="nil"/>
            </w:tcBorders>
          </w:tcPr>
          <w:p w14:paraId="4F41D0A1" w14:textId="77777777" w:rsidR="0070749E" w:rsidRPr="002E2B5B" w:rsidRDefault="0070749E" w:rsidP="009538EB">
            <w:pPr>
              <w:spacing w:after="120"/>
              <w:rPr>
                <w:rFonts w:ascii="Calibri" w:hAnsi="Calibri" w:cs="Calibri"/>
                <w:b/>
                <w:bCs/>
                <w:sz w:val="16"/>
                <w:szCs w:val="16"/>
              </w:rPr>
            </w:pPr>
          </w:p>
        </w:tc>
        <w:tc>
          <w:tcPr>
            <w:tcW w:w="1054" w:type="pct"/>
            <w:tcBorders>
              <w:top w:val="nil"/>
              <w:left w:val="nil"/>
              <w:bottom w:val="single" w:sz="4" w:space="0" w:color="auto"/>
              <w:right w:val="nil"/>
            </w:tcBorders>
            <w:shd w:val="clear" w:color="auto" w:fill="auto"/>
            <w:vAlign w:val="bottom"/>
            <w:hideMark/>
          </w:tcPr>
          <w:p w14:paraId="0FC61573" w14:textId="7726E80F" w:rsidR="0070749E" w:rsidRPr="002E2B5B" w:rsidRDefault="0070749E" w:rsidP="007D40EC">
            <w:pPr>
              <w:spacing w:after="120"/>
              <w:jc w:val="right"/>
              <w:rPr>
                <w:rFonts w:ascii="Calibri" w:hAnsi="Calibri" w:cs="Calibri"/>
                <w:b/>
                <w:bCs/>
                <w:sz w:val="16"/>
                <w:szCs w:val="16"/>
              </w:rPr>
            </w:pPr>
            <w:r w:rsidRPr="002E2B5B">
              <w:rPr>
                <w:rFonts w:ascii="Calibri" w:hAnsi="Calibri" w:cs="Calibri"/>
                <w:b/>
                <w:bCs/>
                <w:sz w:val="16"/>
                <w:szCs w:val="16"/>
              </w:rPr>
              <w:t xml:space="preserve">SALDO EM </w:t>
            </w:r>
            <w:r>
              <w:rPr>
                <w:rFonts w:ascii="Calibri" w:hAnsi="Calibri" w:cs="Calibri"/>
                <w:b/>
                <w:bCs/>
                <w:sz w:val="16"/>
                <w:szCs w:val="16"/>
              </w:rPr>
              <w:t>30/09</w:t>
            </w:r>
            <w:r w:rsidRPr="002E2B5B">
              <w:rPr>
                <w:rFonts w:ascii="Calibri" w:hAnsi="Calibri" w:cs="Calibri"/>
                <w:b/>
                <w:bCs/>
                <w:sz w:val="16"/>
                <w:szCs w:val="16"/>
              </w:rPr>
              <w:t>/202</w:t>
            </w:r>
            <w:r>
              <w:rPr>
                <w:rFonts w:ascii="Calibri" w:hAnsi="Calibri" w:cs="Calibri"/>
                <w:b/>
                <w:bCs/>
                <w:sz w:val="16"/>
                <w:szCs w:val="16"/>
              </w:rPr>
              <w:t>2</w:t>
            </w:r>
          </w:p>
        </w:tc>
      </w:tr>
      <w:tr w:rsidR="0070749E" w:rsidRPr="002E2B5B" w14:paraId="37F1A1B5" w14:textId="77777777" w:rsidTr="00F91284">
        <w:trPr>
          <w:trHeight w:hRule="exact" w:val="227"/>
        </w:trPr>
        <w:tc>
          <w:tcPr>
            <w:tcW w:w="1808" w:type="pct"/>
            <w:tcBorders>
              <w:top w:val="nil"/>
              <w:left w:val="nil"/>
              <w:bottom w:val="nil"/>
              <w:right w:val="nil"/>
            </w:tcBorders>
            <w:shd w:val="clear" w:color="auto" w:fill="auto"/>
            <w:noWrap/>
            <w:vAlign w:val="center"/>
            <w:hideMark/>
          </w:tcPr>
          <w:p w14:paraId="4B909BF5" w14:textId="0D6A60C6" w:rsidR="0070749E" w:rsidRPr="002E2B5B" w:rsidRDefault="0070749E" w:rsidP="007D40EC">
            <w:pPr>
              <w:spacing w:after="120"/>
              <w:rPr>
                <w:rFonts w:ascii="Calibri" w:hAnsi="Calibri" w:cs="Calibri"/>
                <w:sz w:val="16"/>
                <w:szCs w:val="16"/>
              </w:rPr>
            </w:pPr>
            <w:r w:rsidRPr="0070749E">
              <w:rPr>
                <w:rFonts w:ascii="Calibri" w:hAnsi="Calibri" w:cs="Calibri"/>
                <w:sz w:val="16"/>
                <w:szCs w:val="16"/>
              </w:rPr>
              <w:t>19/2021 - Hidrotopo</w:t>
            </w:r>
          </w:p>
        </w:tc>
        <w:tc>
          <w:tcPr>
            <w:tcW w:w="1083" w:type="pct"/>
            <w:tcBorders>
              <w:top w:val="nil"/>
              <w:left w:val="nil"/>
              <w:bottom w:val="nil"/>
              <w:right w:val="nil"/>
            </w:tcBorders>
            <w:shd w:val="clear" w:color="auto" w:fill="auto"/>
            <w:noWrap/>
            <w:vAlign w:val="center"/>
            <w:hideMark/>
          </w:tcPr>
          <w:p w14:paraId="05BBD80E" w14:textId="486C6FE8" w:rsidR="0070749E" w:rsidRPr="002E2B5B" w:rsidRDefault="0070749E" w:rsidP="007D40EC">
            <w:pPr>
              <w:spacing w:after="120"/>
              <w:jc w:val="right"/>
              <w:rPr>
                <w:rFonts w:ascii="Calibri" w:hAnsi="Calibri" w:cs="Calibri"/>
                <w:sz w:val="16"/>
                <w:szCs w:val="16"/>
              </w:rPr>
            </w:pPr>
            <w:r w:rsidRPr="0070749E">
              <w:rPr>
                <w:rFonts w:ascii="Calibri" w:hAnsi="Calibri" w:cs="Calibri"/>
                <w:sz w:val="16"/>
                <w:szCs w:val="16"/>
              </w:rPr>
              <w:t>Portos Paranaguá e Antonina/PR</w:t>
            </w:r>
          </w:p>
        </w:tc>
        <w:tc>
          <w:tcPr>
            <w:tcW w:w="1055" w:type="pct"/>
            <w:tcBorders>
              <w:top w:val="single" w:sz="4" w:space="0" w:color="auto"/>
              <w:left w:val="nil"/>
              <w:bottom w:val="single" w:sz="4" w:space="0" w:color="auto"/>
              <w:right w:val="nil"/>
            </w:tcBorders>
          </w:tcPr>
          <w:p w14:paraId="74D4638D" w14:textId="77777777" w:rsidR="0070749E" w:rsidRDefault="0070749E" w:rsidP="007D40EC">
            <w:pPr>
              <w:spacing w:after="120"/>
              <w:jc w:val="right"/>
              <w:rPr>
                <w:rFonts w:ascii="Calibri" w:hAnsi="Calibri" w:cs="Calibri"/>
                <w:sz w:val="16"/>
                <w:szCs w:val="16"/>
              </w:rPr>
            </w:pPr>
          </w:p>
        </w:tc>
        <w:tc>
          <w:tcPr>
            <w:tcW w:w="1054" w:type="pct"/>
            <w:tcBorders>
              <w:top w:val="nil"/>
              <w:left w:val="nil"/>
              <w:bottom w:val="nil"/>
              <w:right w:val="nil"/>
            </w:tcBorders>
            <w:shd w:val="clear" w:color="auto" w:fill="auto"/>
            <w:noWrap/>
            <w:vAlign w:val="center"/>
          </w:tcPr>
          <w:p w14:paraId="5B6E77AA" w14:textId="3A625EA9" w:rsidR="0070749E" w:rsidRPr="002E2B5B" w:rsidRDefault="0070749E" w:rsidP="007D40EC">
            <w:pPr>
              <w:spacing w:after="120"/>
              <w:jc w:val="right"/>
              <w:rPr>
                <w:rFonts w:ascii="Calibri" w:hAnsi="Calibri" w:cs="Calibri"/>
                <w:sz w:val="16"/>
                <w:szCs w:val="16"/>
              </w:rPr>
            </w:pPr>
            <w:r w:rsidRPr="0070749E">
              <w:rPr>
                <w:rFonts w:ascii="Calibri" w:hAnsi="Calibri" w:cs="Calibri"/>
                <w:sz w:val="16"/>
                <w:szCs w:val="16"/>
              </w:rPr>
              <w:t>203.280</w:t>
            </w:r>
          </w:p>
        </w:tc>
      </w:tr>
      <w:tr w:rsidR="0070749E" w:rsidRPr="002E2B5B" w14:paraId="27C1DCC5" w14:textId="77777777" w:rsidTr="00F91284">
        <w:trPr>
          <w:trHeight w:hRule="exact" w:val="227"/>
        </w:trPr>
        <w:tc>
          <w:tcPr>
            <w:tcW w:w="1808" w:type="pct"/>
            <w:tcBorders>
              <w:top w:val="single" w:sz="4" w:space="0" w:color="auto"/>
              <w:left w:val="nil"/>
              <w:bottom w:val="single" w:sz="4" w:space="0" w:color="auto"/>
              <w:right w:val="nil"/>
            </w:tcBorders>
            <w:shd w:val="clear" w:color="auto" w:fill="auto"/>
            <w:noWrap/>
            <w:vAlign w:val="center"/>
            <w:hideMark/>
          </w:tcPr>
          <w:p w14:paraId="4BD56B47" w14:textId="4367E60D" w:rsidR="0070749E" w:rsidRPr="002E2B5B" w:rsidRDefault="0070749E" w:rsidP="007D40EC">
            <w:pPr>
              <w:spacing w:after="120"/>
              <w:rPr>
                <w:rFonts w:ascii="Calibri" w:hAnsi="Calibri" w:cs="Calibri"/>
                <w:b/>
                <w:bCs/>
                <w:sz w:val="16"/>
                <w:szCs w:val="16"/>
              </w:rPr>
            </w:pPr>
            <w:r w:rsidRPr="0070749E">
              <w:rPr>
                <w:rFonts w:ascii="Calibri" w:hAnsi="Calibri" w:cs="Calibri"/>
                <w:b/>
                <w:bCs/>
                <w:sz w:val="16"/>
                <w:szCs w:val="16"/>
              </w:rPr>
              <w:t>Estudos e Projetos em Andamento</w:t>
            </w:r>
          </w:p>
        </w:tc>
        <w:tc>
          <w:tcPr>
            <w:tcW w:w="1083" w:type="pct"/>
            <w:tcBorders>
              <w:top w:val="single" w:sz="4" w:space="0" w:color="auto"/>
              <w:left w:val="nil"/>
              <w:bottom w:val="single" w:sz="4" w:space="0" w:color="auto"/>
              <w:right w:val="nil"/>
            </w:tcBorders>
            <w:shd w:val="clear" w:color="auto" w:fill="auto"/>
            <w:noWrap/>
            <w:vAlign w:val="center"/>
            <w:hideMark/>
          </w:tcPr>
          <w:p w14:paraId="55816A6B" w14:textId="030DF3E6" w:rsidR="0070749E" w:rsidRPr="002E2B5B" w:rsidRDefault="0070749E" w:rsidP="007D40EC">
            <w:pPr>
              <w:spacing w:after="120"/>
              <w:jc w:val="right"/>
              <w:rPr>
                <w:rFonts w:ascii="Calibri" w:hAnsi="Calibri" w:cs="Calibri"/>
                <w:b/>
                <w:bCs/>
                <w:sz w:val="16"/>
                <w:szCs w:val="16"/>
              </w:rPr>
            </w:pPr>
          </w:p>
        </w:tc>
        <w:tc>
          <w:tcPr>
            <w:tcW w:w="1055" w:type="pct"/>
            <w:tcBorders>
              <w:top w:val="single" w:sz="4" w:space="0" w:color="auto"/>
              <w:left w:val="nil"/>
              <w:bottom w:val="single" w:sz="4" w:space="0" w:color="auto"/>
              <w:right w:val="nil"/>
            </w:tcBorders>
          </w:tcPr>
          <w:p w14:paraId="6D0DF63C" w14:textId="77777777" w:rsidR="0070749E" w:rsidRDefault="0070749E" w:rsidP="007D40EC">
            <w:pPr>
              <w:spacing w:after="120"/>
              <w:jc w:val="right"/>
              <w:rPr>
                <w:rFonts w:ascii="Calibri" w:hAnsi="Calibri" w:cs="Calibri"/>
                <w:b/>
                <w:bCs/>
                <w:sz w:val="16"/>
                <w:szCs w:val="16"/>
              </w:rPr>
            </w:pPr>
          </w:p>
        </w:tc>
        <w:tc>
          <w:tcPr>
            <w:tcW w:w="1054" w:type="pct"/>
            <w:tcBorders>
              <w:top w:val="single" w:sz="4" w:space="0" w:color="auto"/>
              <w:left w:val="nil"/>
              <w:bottom w:val="single" w:sz="4" w:space="0" w:color="auto"/>
              <w:right w:val="nil"/>
            </w:tcBorders>
            <w:shd w:val="clear" w:color="auto" w:fill="auto"/>
            <w:noWrap/>
            <w:vAlign w:val="center"/>
          </w:tcPr>
          <w:p w14:paraId="5410E8DA" w14:textId="72674624" w:rsidR="0070749E" w:rsidRPr="002E2B5B" w:rsidRDefault="0070749E" w:rsidP="007D40EC">
            <w:pPr>
              <w:spacing w:after="120"/>
              <w:jc w:val="right"/>
              <w:rPr>
                <w:rFonts w:ascii="Calibri" w:hAnsi="Calibri" w:cs="Calibri"/>
                <w:b/>
                <w:bCs/>
                <w:sz w:val="16"/>
                <w:szCs w:val="16"/>
              </w:rPr>
            </w:pPr>
            <w:r w:rsidRPr="0070749E">
              <w:rPr>
                <w:rFonts w:ascii="Calibri" w:hAnsi="Calibri" w:cs="Calibri"/>
                <w:b/>
                <w:bCs/>
                <w:sz w:val="16"/>
                <w:szCs w:val="16"/>
              </w:rPr>
              <w:t>203.280</w:t>
            </w:r>
          </w:p>
        </w:tc>
      </w:tr>
    </w:tbl>
    <w:p w14:paraId="76D61DB3" w14:textId="461E321F" w:rsidR="00E642E0" w:rsidRPr="0070749E" w:rsidRDefault="00E642E0" w:rsidP="00E642E0">
      <w:pPr>
        <w:spacing w:after="120"/>
        <w:jc w:val="both"/>
        <w:rPr>
          <w:rFonts w:ascii="Calibri" w:hAnsi="Calibri" w:cs="Calibri"/>
          <w:sz w:val="14"/>
          <w:szCs w:val="14"/>
        </w:rPr>
      </w:pPr>
      <w:r w:rsidRPr="0070749E">
        <w:rPr>
          <w:rFonts w:ascii="Calibri" w:hAnsi="Calibri" w:cs="Calibri"/>
          <w:sz w:val="14"/>
          <w:szCs w:val="14"/>
        </w:rPr>
        <w:t>(a) Estudo referente a 12/2021, reclassificado do Intangível para Estoque, pelo valor líquido de PIS e COFINS a recuperar.</w:t>
      </w:r>
    </w:p>
    <w:p w14:paraId="4605D993" w14:textId="193881E0" w:rsidR="00F32FBB" w:rsidRPr="00F32FBB" w:rsidRDefault="00F32FBB" w:rsidP="00F32FBB">
      <w:pPr>
        <w:spacing w:after="120"/>
        <w:jc w:val="both"/>
        <w:rPr>
          <w:rFonts w:ascii="Calibri" w:hAnsi="Calibri" w:cs="Calibri"/>
          <w:sz w:val="22"/>
          <w:szCs w:val="22"/>
        </w:rPr>
      </w:pPr>
      <w:r w:rsidRPr="00F32FBB">
        <w:rPr>
          <w:rFonts w:ascii="Calibri" w:hAnsi="Calibri" w:cs="Calibri"/>
          <w:sz w:val="22"/>
          <w:szCs w:val="22"/>
        </w:rPr>
        <w:t>Cumpre mencionar que, relativamente a estes contratos, parte do valor pago é registrado como tributos</w:t>
      </w:r>
      <w:r>
        <w:rPr>
          <w:rFonts w:ascii="Calibri" w:hAnsi="Calibri" w:cs="Calibri"/>
          <w:sz w:val="22"/>
          <w:szCs w:val="22"/>
        </w:rPr>
        <w:t xml:space="preserve"> </w:t>
      </w:r>
      <w:r w:rsidRPr="00F32FBB">
        <w:rPr>
          <w:rFonts w:ascii="Calibri" w:hAnsi="Calibri" w:cs="Calibri"/>
          <w:sz w:val="22"/>
          <w:szCs w:val="22"/>
        </w:rPr>
        <w:t>a recuperar, sendo compensado nas apurações mensais de PIS e COFINS.</w:t>
      </w:r>
    </w:p>
    <w:p w14:paraId="69F8CCF7" w14:textId="3B5D1922" w:rsidR="009B037C" w:rsidRDefault="00F32FBB" w:rsidP="00F32FBB">
      <w:pPr>
        <w:spacing w:after="120"/>
        <w:jc w:val="both"/>
        <w:rPr>
          <w:rFonts w:ascii="Calibri" w:hAnsi="Calibri" w:cs="Calibri"/>
          <w:sz w:val="22"/>
          <w:szCs w:val="22"/>
        </w:rPr>
      </w:pPr>
      <w:r w:rsidRPr="00F32FBB">
        <w:rPr>
          <w:rFonts w:ascii="Calibri" w:hAnsi="Calibri" w:cs="Calibri"/>
          <w:sz w:val="22"/>
          <w:szCs w:val="22"/>
        </w:rPr>
        <w:t>Em relação aos valores registrados a título de almoxarifado, referem-se aos materiais de consumo</w:t>
      </w:r>
      <w:r>
        <w:rPr>
          <w:rFonts w:ascii="Calibri" w:hAnsi="Calibri" w:cs="Calibri"/>
          <w:sz w:val="22"/>
          <w:szCs w:val="22"/>
        </w:rPr>
        <w:t xml:space="preserve"> </w:t>
      </w:r>
      <w:r w:rsidRPr="00F32FBB">
        <w:rPr>
          <w:rFonts w:ascii="Calibri" w:hAnsi="Calibri" w:cs="Calibri"/>
          <w:sz w:val="22"/>
          <w:szCs w:val="22"/>
        </w:rPr>
        <w:t xml:space="preserve">adquiridos para utilização na manutenção e operação da EPL, no âmbito da </w:t>
      </w:r>
      <w:r w:rsidR="00E11BEF">
        <w:rPr>
          <w:rFonts w:ascii="Calibri" w:hAnsi="Calibri" w:cs="Calibri"/>
          <w:sz w:val="22"/>
          <w:szCs w:val="22"/>
        </w:rPr>
        <w:t>Infra</w:t>
      </w:r>
      <w:r w:rsidRPr="00F32FBB">
        <w:rPr>
          <w:rFonts w:ascii="Calibri" w:hAnsi="Calibri" w:cs="Calibri"/>
          <w:sz w:val="22"/>
          <w:szCs w:val="22"/>
        </w:rPr>
        <w:t>estrutura física e</w:t>
      </w:r>
      <w:r>
        <w:rPr>
          <w:rFonts w:ascii="Calibri" w:hAnsi="Calibri" w:cs="Calibri"/>
          <w:sz w:val="22"/>
          <w:szCs w:val="22"/>
        </w:rPr>
        <w:t xml:space="preserve"> </w:t>
      </w:r>
      <w:r w:rsidRPr="00F32FBB">
        <w:rPr>
          <w:rFonts w:ascii="Calibri" w:hAnsi="Calibri" w:cs="Calibri"/>
          <w:sz w:val="22"/>
          <w:szCs w:val="22"/>
        </w:rPr>
        <w:t>administrativa, composto, basicamente, por materiais de escritório e demonstrado pelo custo médio de</w:t>
      </w:r>
      <w:r>
        <w:rPr>
          <w:rFonts w:ascii="Calibri" w:hAnsi="Calibri" w:cs="Calibri"/>
          <w:sz w:val="22"/>
          <w:szCs w:val="22"/>
        </w:rPr>
        <w:t xml:space="preserve"> </w:t>
      </w:r>
      <w:r w:rsidRPr="00F32FBB">
        <w:rPr>
          <w:rFonts w:ascii="Calibri" w:hAnsi="Calibri" w:cs="Calibri"/>
          <w:sz w:val="22"/>
          <w:szCs w:val="22"/>
        </w:rPr>
        <w:t>aquisição.</w:t>
      </w:r>
    </w:p>
    <w:p w14:paraId="58CAE273" w14:textId="221CB27A" w:rsidR="00F32FBB" w:rsidRDefault="00F32FBB" w:rsidP="00F32FBB">
      <w:pPr>
        <w:spacing w:after="120"/>
        <w:jc w:val="both"/>
        <w:rPr>
          <w:rFonts w:ascii="Calibri" w:hAnsi="Calibri" w:cs="Calibri"/>
          <w:sz w:val="22"/>
          <w:szCs w:val="22"/>
        </w:rPr>
      </w:pPr>
      <w:r>
        <w:rPr>
          <w:rFonts w:ascii="Calibri" w:hAnsi="Calibri" w:cs="Calibri"/>
          <w:sz w:val="22"/>
          <w:szCs w:val="22"/>
        </w:rPr>
        <w:t xml:space="preserve">O total </w:t>
      </w:r>
      <w:r w:rsidRPr="00F32FBB">
        <w:rPr>
          <w:rFonts w:ascii="Calibri" w:hAnsi="Calibri" w:cs="Calibri"/>
          <w:sz w:val="22"/>
          <w:szCs w:val="22"/>
        </w:rPr>
        <w:t>do saldo d</w:t>
      </w:r>
      <w:r>
        <w:rPr>
          <w:rFonts w:ascii="Calibri" w:hAnsi="Calibri" w:cs="Calibri"/>
          <w:sz w:val="22"/>
          <w:szCs w:val="22"/>
        </w:rPr>
        <w:t>e Estoques</w:t>
      </w:r>
      <w:r w:rsidRPr="00F32FBB">
        <w:rPr>
          <w:rFonts w:ascii="Calibri" w:hAnsi="Calibri" w:cs="Calibri"/>
          <w:sz w:val="22"/>
          <w:szCs w:val="22"/>
        </w:rPr>
        <w:t xml:space="preserve"> é proveniente da incorporação da EPL.</w:t>
      </w:r>
    </w:p>
    <w:p w14:paraId="2623217C" w14:textId="0377A3B8" w:rsidR="009C6473" w:rsidRPr="002E2B5B" w:rsidRDefault="00D22F5E" w:rsidP="00937ED9">
      <w:pPr>
        <w:spacing w:after="120"/>
        <w:jc w:val="both"/>
        <w:rPr>
          <w:rFonts w:ascii="Calibri" w:hAnsi="Calibri" w:cs="Calibri"/>
          <w:b/>
          <w:sz w:val="22"/>
          <w:szCs w:val="22"/>
        </w:rPr>
      </w:pPr>
      <w:r w:rsidRPr="002E2B5B">
        <w:rPr>
          <w:rFonts w:ascii="Calibri" w:hAnsi="Calibri" w:cs="Calibri"/>
          <w:b/>
          <w:bCs/>
          <w:sz w:val="22"/>
          <w:szCs w:val="22"/>
        </w:rPr>
        <w:t xml:space="preserve">NOTA </w:t>
      </w:r>
      <w:r w:rsidR="00F32FBB">
        <w:rPr>
          <w:rFonts w:ascii="Calibri" w:hAnsi="Calibri" w:cs="Calibri"/>
          <w:b/>
          <w:bCs/>
          <w:sz w:val="22"/>
          <w:szCs w:val="22"/>
        </w:rPr>
        <w:t>6</w:t>
      </w:r>
      <w:r w:rsidR="00E957DE" w:rsidRPr="002E2B5B">
        <w:rPr>
          <w:rFonts w:ascii="Calibri" w:hAnsi="Calibri" w:cs="Calibri"/>
          <w:b/>
          <w:bCs/>
          <w:sz w:val="22"/>
          <w:szCs w:val="22"/>
        </w:rPr>
        <w:t xml:space="preserve"> </w:t>
      </w:r>
      <w:r w:rsidR="007D7BA1" w:rsidRPr="002E2B5B">
        <w:rPr>
          <w:rFonts w:ascii="Calibri" w:hAnsi="Calibri" w:cs="Calibri"/>
          <w:b/>
          <w:bCs/>
          <w:sz w:val="22"/>
          <w:szCs w:val="22"/>
        </w:rPr>
        <w:t>- REALIZÁVEL A LONGO PRAZO</w:t>
      </w:r>
      <w:r w:rsidR="0055378D" w:rsidRPr="002E2B5B">
        <w:rPr>
          <w:rFonts w:ascii="Calibri" w:hAnsi="Calibri" w:cs="Calibri"/>
          <w:b/>
          <w:bCs/>
          <w:sz w:val="22"/>
          <w:szCs w:val="22"/>
        </w:rPr>
        <w:t xml:space="preserve"> </w:t>
      </w:r>
    </w:p>
    <w:p w14:paraId="1D30B40C" w14:textId="77777777" w:rsidR="0008330B" w:rsidRPr="002E2B5B" w:rsidRDefault="00660339" w:rsidP="00937ED9">
      <w:pPr>
        <w:numPr>
          <w:ilvl w:val="0"/>
          <w:numId w:val="6"/>
        </w:numPr>
        <w:spacing w:after="120"/>
        <w:ind w:left="284" w:hanging="284"/>
        <w:rPr>
          <w:rFonts w:ascii="Calibri" w:hAnsi="Calibri" w:cs="Calibri"/>
          <w:b/>
          <w:sz w:val="22"/>
          <w:szCs w:val="22"/>
        </w:rPr>
      </w:pPr>
      <w:r w:rsidRPr="002E2B5B">
        <w:rPr>
          <w:rFonts w:ascii="Calibri" w:hAnsi="Calibri" w:cs="Calibri"/>
          <w:b/>
          <w:sz w:val="22"/>
          <w:szCs w:val="22"/>
        </w:rPr>
        <w:t>Depósitos de Cauções</w:t>
      </w:r>
    </w:p>
    <w:tbl>
      <w:tblPr>
        <w:tblW w:w="5000" w:type="pct"/>
        <w:tblCellMar>
          <w:left w:w="70" w:type="dxa"/>
          <w:right w:w="70" w:type="dxa"/>
        </w:tblCellMar>
        <w:tblLook w:val="04A0" w:firstRow="1" w:lastRow="0" w:firstColumn="1" w:lastColumn="0" w:noHBand="0" w:noVBand="1"/>
      </w:tblPr>
      <w:tblGrid>
        <w:gridCol w:w="1495"/>
        <w:gridCol w:w="1495"/>
        <w:gridCol w:w="1497"/>
        <w:gridCol w:w="1191"/>
        <w:gridCol w:w="1597"/>
        <w:gridCol w:w="1597"/>
        <w:gridCol w:w="1595"/>
      </w:tblGrid>
      <w:tr w:rsidR="00112A99" w:rsidRPr="002E2B5B" w14:paraId="29892185"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2F2CABA1" w14:textId="77777777" w:rsidR="00112A99" w:rsidRPr="002E2B5B" w:rsidRDefault="00112A9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DEPÓSITOS DE CAUÇÕES</w:t>
            </w:r>
          </w:p>
        </w:tc>
        <w:tc>
          <w:tcPr>
            <w:tcW w:w="569" w:type="pct"/>
            <w:tcBorders>
              <w:top w:val="nil"/>
              <w:left w:val="nil"/>
              <w:bottom w:val="single" w:sz="8" w:space="0" w:color="auto"/>
              <w:right w:val="nil"/>
            </w:tcBorders>
            <w:shd w:val="clear" w:color="auto" w:fill="auto"/>
            <w:vAlign w:val="center"/>
            <w:hideMark/>
          </w:tcPr>
          <w:p w14:paraId="5FC11654" w14:textId="77777777" w:rsidR="00112A99" w:rsidRPr="002E2B5B" w:rsidRDefault="00112A9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bottom"/>
          </w:tcPr>
          <w:p w14:paraId="0D82825D" w14:textId="77777777" w:rsidR="00112A99" w:rsidRPr="002E2B5B" w:rsidRDefault="00112A99" w:rsidP="00937ED9">
            <w:pPr>
              <w:spacing w:after="120"/>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bottom"/>
            <w:hideMark/>
          </w:tcPr>
          <w:p w14:paraId="62CFE833" w14:textId="1BFA2940" w:rsidR="00112A99" w:rsidRPr="002E2B5B" w:rsidRDefault="00FB23F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304B12">
              <w:rPr>
                <w:rFonts w:ascii="Calibri" w:hAnsi="Calibri" w:cs="Calibri"/>
                <w:b/>
                <w:bCs/>
                <w:color w:val="000000"/>
                <w:sz w:val="16"/>
                <w:szCs w:val="16"/>
              </w:rPr>
              <w:t>0</w:t>
            </w:r>
            <w:r>
              <w:rPr>
                <w:rFonts w:ascii="Calibri" w:hAnsi="Calibri" w:cs="Calibri"/>
                <w:b/>
                <w:bCs/>
                <w:color w:val="000000"/>
                <w:sz w:val="16"/>
                <w:szCs w:val="16"/>
              </w:rPr>
              <w:t>/</w:t>
            </w:r>
            <w:r w:rsidR="00575261">
              <w:rPr>
                <w:rFonts w:ascii="Calibri" w:hAnsi="Calibri" w:cs="Calibri"/>
                <w:b/>
                <w:bCs/>
                <w:color w:val="000000"/>
                <w:sz w:val="16"/>
                <w:szCs w:val="16"/>
              </w:rPr>
              <w:t>0</w:t>
            </w:r>
            <w:r w:rsidR="00F32FBB">
              <w:rPr>
                <w:rFonts w:ascii="Calibri" w:hAnsi="Calibri" w:cs="Calibri"/>
                <w:b/>
                <w:bCs/>
                <w:color w:val="000000"/>
                <w:sz w:val="16"/>
                <w:szCs w:val="16"/>
              </w:rPr>
              <w:t>9</w:t>
            </w:r>
            <w:r w:rsidR="00973582">
              <w:rPr>
                <w:rFonts w:ascii="Calibri" w:hAnsi="Calibri" w:cs="Calibri"/>
                <w:b/>
                <w:bCs/>
                <w:color w:val="000000"/>
                <w:sz w:val="16"/>
                <w:szCs w:val="16"/>
              </w:rPr>
              <w:t>/</w:t>
            </w:r>
            <w:r w:rsidR="00112A99" w:rsidRPr="002E2B5B">
              <w:rPr>
                <w:rFonts w:ascii="Calibri" w:hAnsi="Calibri" w:cs="Calibri"/>
                <w:b/>
                <w:bCs/>
                <w:color w:val="000000"/>
                <w:sz w:val="16"/>
                <w:szCs w:val="16"/>
              </w:rPr>
              <w:t>202</w:t>
            </w:r>
            <w:r w:rsidR="00575261">
              <w:rPr>
                <w:rFonts w:ascii="Calibri" w:hAnsi="Calibri" w:cs="Calibri"/>
                <w:b/>
                <w:bCs/>
                <w:color w:val="000000"/>
                <w:sz w:val="16"/>
                <w:szCs w:val="16"/>
              </w:rPr>
              <w:t>2</w:t>
            </w:r>
          </w:p>
        </w:tc>
        <w:tc>
          <w:tcPr>
            <w:tcW w:w="762" w:type="pct"/>
            <w:tcBorders>
              <w:top w:val="nil"/>
              <w:left w:val="nil"/>
              <w:bottom w:val="single" w:sz="8" w:space="0" w:color="auto"/>
              <w:right w:val="nil"/>
            </w:tcBorders>
            <w:shd w:val="clear" w:color="auto" w:fill="auto"/>
            <w:noWrap/>
            <w:vAlign w:val="bottom"/>
          </w:tcPr>
          <w:p w14:paraId="5D0BD221" w14:textId="3F66B696" w:rsidR="00112A99" w:rsidRPr="002E2B5B" w:rsidRDefault="00112A9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3582">
              <w:rPr>
                <w:rFonts w:ascii="Calibri" w:hAnsi="Calibri" w:cs="Calibri"/>
                <w:b/>
                <w:bCs/>
                <w:color w:val="000000"/>
                <w:sz w:val="16"/>
                <w:szCs w:val="16"/>
              </w:rPr>
              <w:t>2</w:t>
            </w:r>
            <w:r w:rsidR="00575261">
              <w:rPr>
                <w:rFonts w:ascii="Calibri" w:hAnsi="Calibri" w:cs="Calibri"/>
                <w:b/>
                <w:bCs/>
                <w:color w:val="000000"/>
                <w:sz w:val="16"/>
                <w:szCs w:val="16"/>
              </w:rPr>
              <w:t>1</w:t>
            </w:r>
          </w:p>
        </w:tc>
      </w:tr>
      <w:tr w:rsidR="00112A99" w:rsidRPr="002E2B5B" w14:paraId="63BB820B" w14:textId="77777777" w:rsidTr="00112A99">
        <w:trPr>
          <w:trHeight w:val="300"/>
        </w:trPr>
        <w:tc>
          <w:tcPr>
            <w:tcW w:w="2143" w:type="pct"/>
            <w:gridSpan w:val="3"/>
            <w:tcBorders>
              <w:top w:val="nil"/>
              <w:left w:val="nil"/>
              <w:bottom w:val="nil"/>
              <w:right w:val="nil"/>
            </w:tcBorders>
            <w:shd w:val="clear" w:color="auto" w:fill="auto"/>
            <w:noWrap/>
            <w:vAlign w:val="center"/>
            <w:hideMark/>
          </w:tcPr>
          <w:p w14:paraId="0CD7A384" w14:textId="77777777" w:rsidR="00112A99" w:rsidRPr="002E2B5B" w:rsidRDefault="00112A99" w:rsidP="00937ED9">
            <w:pPr>
              <w:spacing w:after="120"/>
              <w:rPr>
                <w:rFonts w:ascii="Calibri" w:hAnsi="Calibri" w:cs="Calibri"/>
                <w:color w:val="000000"/>
                <w:sz w:val="16"/>
                <w:szCs w:val="16"/>
              </w:rPr>
            </w:pPr>
            <w:r w:rsidRPr="002E2B5B">
              <w:rPr>
                <w:rFonts w:ascii="Calibri" w:hAnsi="Calibri" w:cs="Calibri"/>
                <w:color w:val="000000"/>
                <w:sz w:val="16"/>
                <w:szCs w:val="16"/>
              </w:rPr>
              <w:t>Saldo do exercício anterior</w:t>
            </w:r>
          </w:p>
        </w:tc>
        <w:tc>
          <w:tcPr>
            <w:tcW w:w="569" w:type="pct"/>
            <w:tcBorders>
              <w:top w:val="nil"/>
              <w:left w:val="nil"/>
              <w:bottom w:val="nil"/>
              <w:right w:val="nil"/>
            </w:tcBorders>
            <w:shd w:val="clear" w:color="auto" w:fill="auto"/>
            <w:vAlign w:val="center"/>
            <w:hideMark/>
          </w:tcPr>
          <w:p w14:paraId="47A8BB45" w14:textId="77777777" w:rsidR="00112A99" w:rsidRPr="002E2B5B" w:rsidRDefault="00112A99" w:rsidP="00937ED9">
            <w:pPr>
              <w:spacing w:after="120"/>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tcPr>
          <w:p w14:paraId="2F252860" w14:textId="77777777" w:rsidR="00112A99" w:rsidRPr="002E2B5B" w:rsidRDefault="00112A99" w:rsidP="00937ED9">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3F8AAA57" w14:textId="54C67017" w:rsidR="00112A99" w:rsidRPr="002E2B5B" w:rsidRDefault="00575261" w:rsidP="00937ED9">
            <w:pPr>
              <w:spacing w:after="120"/>
              <w:jc w:val="right"/>
              <w:rPr>
                <w:rFonts w:ascii="Calibri" w:hAnsi="Calibri" w:cs="Calibri"/>
                <w:color w:val="000000"/>
                <w:sz w:val="16"/>
                <w:szCs w:val="16"/>
              </w:rPr>
            </w:pPr>
            <w:r>
              <w:rPr>
                <w:rFonts w:ascii="Calibri" w:hAnsi="Calibri" w:cs="Calibri"/>
                <w:color w:val="000000"/>
                <w:sz w:val="16"/>
                <w:szCs w:val="16"/>
              </w:rPr>
              <w:t>257.472</w:t>
            </w:r>
          </w:p>
        </w:tc>
        <w:tc>
          <w:tcPr>
            <w:tcW w:w="762" w:type="pct"/>
            <w:tcBorders>
              <w:top w:val="nil"/>
              <w:left w:val="nil"/>
              <w:bottom w:val="nil"/>
              <w:right w:val="nil"/>
            </w:tcBorders>
            <w:shd w:val="clear" w:color="auto" w:fill="auto"/>
            <w:noWrap/>
            <w:vAlign w:val="center"/>
          </w:tcPr>
          <w:p w14:paraId="45B59FAD" w14:textId="5B26F57B" w:rsidR="00112A99" w:rsidRPr="002E2B5B" w:rsidRDefault="00112A99" w:rsidP="00937ED9">
            <w:pPr>
              <w:spacing w:after="120"/>
              <w:jc w:val="right"/>
              <w:rPr>
                <w:rFonts w:ascii="Calibri" w:hAnsi="Calibri" w:cs="Calibri"/>
                <w:color w:val="000000"/>
                <w:sz w:val="16"/>
                <w:szCs w:val="16"/>
              </w:rPr>
            </w:pPr>
            <w:r w:rsidRPr="002E2B5B">
              <w:rPr>
                <w:rFonts w:ascii="Calibri" w:hAnsi="Calibri" w:cs="Calibri"/>
                <w:color w:val="000000"/>
                <w:sz w:val="16"/>
                <w:szCs w:val="16"/>
              </w:rPr>
              <w:t>233.</w:t>
            </w:r>
            <w:r w:rsidR="00973582">
              <w:rPr>
                <w:rFonts w:ascii="Calibri" w:hAnsi="Calibri" w:cs="Calibri"/>
                <w:color w:val="000000"/>
                <w:sz w:val="16"/>
                <w:szCs w:val="16"/>
              </w:rPr>
              <w:t>338</w:t>
            </w:r>
          </w:p>
        </w:tc>
      </w:tr>
      <w:tr w:rsidR="00112A99" w:rsidRPr="002E2B5B" w14:paraId="5C554CBB" w14:textId="77777777" w:rsidTr="00112A99">
        <w:trPr>
          <w:trHeight w:val="300"/>
        </w:trPr>
        <w:tc>
          <w:tcPr>
            <w:tcW w:w="714" w:type="pct"/>
            <w:tcBorders>
              <w:top w:val="nil"/>
              <w:left w:val="nil"/>
              <w:bottom w:val="nil"/>
              <w:right w:val="nil"/>
            </w:tcBorders>
            <w:shd w:val="clear" w:color="auto" w:fill="auto"/>
            <w:noWrap/>
            <w:vAlign w:val="center"/>
            <w:hideMark/>
          </w:tcPr>
          <w:p w14:paraId="2B78C3CD" w14:textId="77777777" w:rsidR="00112A99" w:rsidRPr="002E2B5B" w:rsidRDefault="00112A99" w:rsidP="00937ED9">
            <w:pPr>
              <w:spacing w:after="120"/>
              <w:rPr>
                <w:rFonts w:ascii="Calibri" w:hAnsi="Calibri" w:cs="Calibri"/>
                <w:color w:val="000000"/>
                <w:sz w:val="16"/>
                <w:szCs w:val="16"/>
              </w:rPr>
            </w:pPr>
            <w:r w:rsidRPr="002E2B5B">
              <w:rPr>
                <w:rFonts w:ascii="Calibri" w:hAnsi="Calibri" w:cs="Calibri"/>
                <w:color w:val="000000"/>
                <w:sz w:val="16"/>
                <w:szCs w:val="16"/>
              </w:rPr>
              <w:t>Ingressos</w:t>
            </w:r>
          </w:p>
        </w:tc>
        <w:tc>
          <w:tcPr>
            <w:tcW w:w="714" w:type="pct"/>
            <w:tcBorders>
              <w:top w:val="nil"/>
              <w:left w:val="nil"/>
              <w:bottom w:val="nil"/>
              <w:right w:val="nil"/>
            </w:tcBorders>
            <w:shd w:val="clear" w:color="auto" w:fill="auto"/>
            <w:noWrap/>
            <w:vAlign w:val="bottom"/>
            <w:hideMark/>
          </w:tcPr>
          <w:p w14:paraId="52FC6736" w14:textId="77777777" w:rsidR="00112A99" w:rsidRPr="002E2B5B" w:rsidRDefault="00112A99" w:rsidP="00937ED9">
            <w:pPr>
              <w:spacing w:after="120"/>
              <w:rPr>
                <w:rFonts w:ascii="Calibri" w:hAnsi="Calibri" w:cs="Calibri"/>
                <w:color w:val="000000"/>
                <w:sz w:val="16"/>
                <w:szCs w:val="16"/>
              </w:rPr>
            </w:pPr>
          </w:p>
        </w:tc>
        <w:tc>
          <w:tcPr>
            <w:tcW w:w="715" w:type="pct"/>
            <w:tcBorders>
              <w:top w:val="nil"/>
              <w:left w:val="nil"/>
              <w:bottom w:val="nil"/>
              <w:right w:val="nil"/>
            </w:tcBorders>
            <w:shd w:val="clear" w:color="auto" w:fill="auto"/>
            <w:noWrap/>
            <w:vAlign w:val="bottom"/>
            <w:hideMark/>
          </w:tcPr>
          <w:p w14:paraId="3810775B" w14:textId="77777777" w:rsidR="00112A99" w:rsidRPr="002E2B5B" w:rsidRDefault="00112A99" w:rsidP="00937ED9">
            <w:pPr>
              <w:spacing w:after="120"/>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ABFB7BF" w14:textId="77777777" w:rsidR="00112A99" w:rsidRPr="002E2B5B" w:rsidRDefault="00112A99" w:rsidP="00937ED9">
            <w:pPr>
              <w:spacing w:after="120"/>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57F9047C" w14:textId="77777777" w:rsidR="00112A99" w:rsidRPr="002E2B5B" w:rsidRDefault="00112A99" w:rsidP="00937ED9">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072DEAAF" w14:textId="0EC42B1B" w:rsidR="00112A99" w:rsidRPr="002E2B5B" w:rsidRDefault="00304B12" w:rsidP="00937ED9">
            <w:pPr>
              <w:spacing w:after="120"/>
              <w:jc w:val="right"/>
              <w:rPr>
                <w:rFonts w:ascii="Calibri" w:hAnsi="Calibri" w:cs="Calibri"/>
                <w:color w:val="000000"/>
                <w:sz w:val="16"/>
                <w:szCs w:val="16"/>
              </w:rPr>
            </w:pPr>
            <w:r>
              <w:rPr>
                <w:rFonts w:ascii="Calibri" w:hAnsi="Calibri" w:cs="Calibri"/>
                <w:color w:val="000000"/>
                <w:sz w:val="16"/>
                <w:szCs w:val="16"/>
              </w:rPr>
              <w:t>18</w:t>
            </w:r>
            <w:r w:rsidR="009538EB">
              <w:rPr>
                <w:rFonts w:ascii="Calibri" w:hAnsi="Calibri" w:cs="Calibri"/>
                <w:color w:val="000000"/>
                <w:sz w:val="16"/>
                <w:szCs w:val="16"/>
              </w:rPr>
              <w:t>0</w:t>
            </w:r>
            <w:r>
              <w:rPr>
                <w:rFonts w:ascii="Calibri" w:hAnsi="Calibri" w:cs="Calibri"/>
                <w:color w:val="000000"/>
                <w:sz w:val="16"/>
                <w:szCs w:val="16"/>
              </w:rPr>
              <w:t>.</w:t>
            </w:r>
            <w:r w:rsidR="004817C8">
              <w:rPr>
                <w:rFonts w:ascii="Calibri" w:hAnsi="Calibri" w:cs="Calibri"/>
                <w:color w:val="000000"/>
                <w:sz w:val="16"/>
                <w:szCs w:val="16"/>
              </w:rPr>
              <w:t>84</w:t>
            </w:r>
            <w:r>
              <w:rPr>
                <w:rFonts w:ascii="Calibri" w:hAnsi="Calibri" w:cs="Calibri"/>
                <w:color w:val="000000"/>
                <w:sz w:val="16"/>
                <w:szCs w:val="16"/>
              </w:rPr>
              <w:t>9</w:t>
            </w:r>
          </w:p>
        </w:tc>
        <w:tc>
          <w:tcPr>
            <w:tcW w:w="762" w:type="pct"/>
            <w:tcBorders>
              <w:top w:val="nil"/>
              <w:left w:val="nil"/>
              <w:bottom w:val="nil"/>
              <w:right w:val="nil"/>
            </w:tcBorders>
            <w:shd w:val="clear" w:color="auto" w:fill="auto"/>
            <w:noWrap/>
            <w:vAlign w:val="center"/>
          </w:tcPr>
          <w:p w14:paraId="0790E2B1" w14:textId="3B60265A" w:rsidR="00112A99" w:rsidRPr="002E2B5B" w:rsidRDefault="00575261" w:rsidP="00937ED9">
            <w:pPr>
              <w:spacing w:after="120"/>
              <w:jc w:val="right"/>
              <w:rPr>
                <w:rFonts w:ascii="Calibri" w:hAnsi="Calibri" w:cs="Calibri"/>
                <w:color w:val="000000"/>
                <w:sz w:val="16"/>
                <w:szCs w:val="16"/>
              </w:rPr>
            </w:pPr>
            <w:r>
              <w:rPr>
                <w:rFonts w:ascii="Calibri" w:hAnsi="Calibri" w:cs="Calibri"/>
                <w:color w:val="000000"/>
                <w:sz w:val="16"/>
                <w:szCs w:val="16"/>
              </w:rPr>
              <w:t>58.381</w:t>
            </w:r>
          </w:p>
        </w:tc>
      </w:tr>
      <w:tr w:rsidR="00112A99" w:rsidRPr="002E2B5B" w14:paraId="3709B5AD" w14:textId="77777777" w:rsidTr="00112A99">
        <w:trPr>
          <w:trHeight w:val="300"/>
        </w:trPr>
        <w:tc>
          <w:tcPr>
            <w:tcW w:w="714" w:type="pct"/>
            <w:tcBorders>
              <w:top w:val="nil"/>
              <w:left w:val="nil"/>
              <w:bottom w:val="nil"/>
              <w:right w:val="nil"/>
            </w:tcBorders>
            <w:shd w:val="clear" w:color="auto" w:fill="auto"/>
            <w:noWrap/>
            <w:vAlign w:val="center"/>
            <w:hideMark/>
          </w:tcPr>
          <w:p w14:paraId="4F6D971F" w14:textId="77777777" w:rsidR="00112A99" w:rsidRPr="002E2B5B" w:rsidRDefault="00112A99" w:rsidP="00937ED9">
            <w:pPr>
              <w:spacing w:after="120"/>
              <w:rPr>
                <w:rFonts w:ascii="Calibri" w:hAnsi="Calibri" w:cs="Calibri"/>
                <w:color w:val="000000"/>
                <w:sz w:val="16"/>
                <w:szCs w:val="16"/>
              </w:rPr>
            </w:pPr>
            <w:r w:rsidRPr="002E2B5B">
              <w:rPr>
                <w:rFonts w:ascii="Calibri" w:hAnsi="Calibri" w:cs="Calibri"/>
                <w:color w:val="000000"/>
                <w:sz w:val="16"/>
                <w:szCs w:val="16"/>
              </w:rPr>
              <w:t>Baixas</w:t>
            </w:r>
          </w:p>
        </w:tc>
        <w:tc>
          <w:tcPr>
            <w:tcW w:w="714" w:type="pct"/>
            <w:tcBorders>
              <w:top w:val="nil"/>
              <w:left w:val="nil"/>
              <w:bottom w:val="nil"/>
              <w:right w:val="nil"/>
            </w:tcBorders>
            <w:shd w:val="clear" w:color="auto" w:fill="auto"/>
            <w:noWrap/>
            <w:vAlign w:val="center"/>
            <w:hideMark/>
          </w:tcPr>
          <w:p w14:paraId="3A4B5D66" w14:textId="77777777" w:rsidR="00112A99" w:rsidRPr="002E2B5B" w:rsidRDefault="00112A99" w:rsidP="00937ED9">
            <w:pPr>
              <w:spacing w:after="120"/>
              <w:rPr>
                <w:rFonts w:ascii="Calibri" w:hAnsi="Calibri" w:cs="Calibri"/>
                <w:color w:val="000000"/>
                <w:sz w:val="16"/>
                <w:szCs w:val="16"/>
              </w:rPr>
            </w:pPr>
          </w:p>
        </w:tc>
        <w:tc>
          <w:tcPr>
            <w:tcW w:w="715" w:type="pct"/>
            <w:tcBorders>
              <w:top w:val="nil"/>
              <w:left w:val="nil"/>
              <w:bottom w:val="nil"/>
              <w:right w:val="nil"/>
            </w:tcBorders>
            <w:shd w:val="clear" w:color="auto" w:fill="auto"/>
            <w:noWrap/>
            <w:vAlign w:val="center"/>
            <w:hideMark/>
          </w:tcPr>
          <w:p w14:paraId="784AE36C" w14:textId="77777777" w:rsidR="00112A99" w:rsidRPr="002E2B5B" w:rsidRDefault="00112A99" w:rsidP="00937ED9">
            <w:pPr>
              <w:spacing w:after="120"/>
              <w:rPr>
                <w:rFonts w:ascii="Calibri" w:hAnsi="Calibri" w:cs="Calibri"/>
                <w:sz w:val="16"/>
                <w:szCs w:val="16"/>
              </w:rPr>
            </w:pPr>
          </w:p>
        </w:tc>
        <w:tc>
          <w:tcPr>
            <w:tcW w:w="569" w:type="pct"/>
            <w:tcBorders>
              <w:top w:val="nil"/>
              <w:left w:val="nil"/>
              <w:bottom w:val="nil"/>
              <w:right w:val="nil"/>
            </w:tcBorders>
            <w:shd w:val="clear" w:color="auto" w:fill="auto"/>
            <w:vAlign w:val="center"/>
            <w:hideMark/>
          </w:tcPr>
          <w:p w14:paraId="6C03B07A" w14:textId="77777777" w:rsidR="00112A99" w:rsidRPr="002E2B5B" w:rsidRDefault="00112A99" w:rsidP="00937ED9">
            <w:pPr>
              <w:spacing w:after="120"/>
              <w:rPr>
                <w:rFonts w:ascii="Calibri" w:hAnsi="Calibri" w:cs="Calibri"/>
                <w:sz w:val="16"/>
                <w:szCs w:val="16"/>
              </w:rPr>
            </w:pPr>
          </w:p>
        </w:tc>
        <w:tc>
          <w:tcPr>
            <w:tcW w:w="763" w:type="pct"/>
            <w:tcBorders>
              <w:top w:val="nil"/>
              <w:left w:val="nil"/>
              <w:bottom w:val="nil"/>
              <w:right w:val="nil"/>
            </w:tcBorders>
            <w:shd w:val="clear" w:color="auto" w:fill="auto"/>
            <w:noWrap/>
            <w:vAlign w:val="center"/>
          </w:tcPr>
          <w:p w14:paraId="6496171A" w14:textId="77777777" w:rsidR="00112A99" w:rsidRPr="002E2B5B" w:rsidRDefault="00112A99" w:rsidP="00937ED9">
            <w:pPr>
              <w:spacing w:after="120"/>
              <w:jc w:val="right"/>
              <w:rPr>
                <w:rFonts w:ascii="Calibri" w:hAnsi="Calibri" w:cs="Calibri"/>
                <w:color w:val="000000"/>
                <w:sz w:val="16"/>
                <w:szCs w:val="16"/>
              </w:rPr>
            </w:pPr>
          </w:p>
        </w:tc>
        <w:tc>
          <w:tcPr>
            <w:tcW w:w="763" w:type="pct"/>
            <w:tcBorders>
              <w:top w:val="nil"/>
              <w:left w:val="nil"/>
              <w:bottom w:val="nil"/>
              <w:right w:val="nil"/>
            </w:tcBorders>
            <w:shd w:val="clear" w:color="auto" w:fill="auto"/>
            <w:noWrap/>
            <w:vAlign w:val="center"/>
            <w:hideMark/>
          </w:tcPr>
          <w:p w14:paraId="6D01381A" w14:textId="4B4628FB" w:rsidR="00112A99" w:rsidRPr="002E2B5B" w:rsidRDefault="00973582" w:rsidP="004817C8">
            <w:pPr>
              <w:spacing w:after="120"/>
              <w:jc w:val="right"/>
              <w:rPr>
                <w:rFonts w:ascii="Calibri" w:hAnsi="Calibri" w:cs="Calibri"/>
                <w:color w:val="000000"/>
                <w:sz w:val="16"/>
                <w:szCs w:val="16"/>
              </w:rPr>
            </w:pPr>
            <w:r>
              <w:rPr>
                <w:rFonts w:ascii="Calibri" w:hAnsi="Calibri" w:cs="Calibri"/>
                <w:color w:val="000000"/>
                <w:sz w:val="16"/>
                <w:szCs w:val="16"/>
              </w:rPr>
              <w:t>(</w:t>
            </w:r>
            <w:r w:rsidR="00575261">
              <w:rPr>
                <w:rFonts w:ascii="Calibri" w:hAnsi="Calibri" w:cs="Calibri"/>
                <w:color w:val="000000"/>
                <w:sz w:val="16"/>
                <w:szCs w:val="16"/>
              </w:rPr>
              <w:t>6.56</w:t>
            </w:r>
            <w:r w:rsidR="004817C8">
              <w:rPr>
                <w:rFonts w:ascii="Calibri" w:hAnsi="Calibri" w:cs="Calibri"/>
                <w:color w:val="000000"/>
                <w:sz w:val="16"/>
                <w:szCs w:val="16"/>
              </w:rPr>
              <w:t>5</w:t>
            </w:r>
            <w:r>
              <w:rPr>
                <w:rFonts w:ascii="Calibri" w:hAnsi="Calibri" w:cs="Calibri"/>
                <w:color w:val="000000"/>
                <w:sz w:val="16"/>
                <w:szCs w:val="16"/>
              </w:rPr>
              <w:t>)</w:t>
            </w:r>
          </w:p>
        </w:tc>
        <w:tc>
          <w:tcPr>
            <w:tcW w:w="762" w:type="pct"/>
            <w:tcBorders>
              <w:top w:val="nil"/>
              <w:left w:val="nil"/>
              <w:bottom w:val="nil"/>
              <w:right w:val="nil"/>
            </w:tcBorders>
            <w:shd w:val="clear" w:color="auto" w:fill="auto"/>
            <w:noWrap/>
            <w:vAlign w:val="center"/>
          </w:tcPr>
          <w:p w14:paraId="62D240B8" w14:textId="431A5C15" w:rsidR="00112A99" w:rsidRPr="002E2B5B" w:rsidRDefault="00575261" w:rsidP="00937ED9">
            <w:pPr>
              <w:spacing w:after="120"/>
              <w:jc w:val="right"/>
              <w:rPr>
                <w:rFonts w:ascii="Calibri" w:hAnsi="Calibri" w:cs="Calibri"/>
                <w:color w:val="000000"/>
                <w:sz w:val="16"/>
                <w:szCs w:val="16"/>
              </w:rPr>
            </w:pPr>
            <w:r>
              <w:rPr>
                <w:rFonts w:ascii="Calibri" w:hAnsi="Calibri" w:cs="Calibri"/>
                <w:color w:val="000000"/>
                <w:sz w:val="16"/>
                <w:szCs w:val="16"/>
              </w:rPr>
              <w:t>(</w:t>
            </w:r>
            <w:r w:rsidRPr="00973582">
              <w:rPr>
                <w:rFonts w:ascii="Calibri" w:hAnsi="Calibri" w:cs="Calibri"/>
                <w:color w:val="000000"/>
                <w:sz w:val="16"/>
                <w:szCs w:val="16"/>
              </w:rPr>
              <w:t>3</w:t>
            </w:r>
            <w:r>
              <w:rPr>
                <w:rFonts w:ascii="Calibri" w:hAnsi="Calibri" w:cs="Calibri"/>
                <w:color w:val="000000"/>
                <w:sz w:val="16"/>
                <w:szCs w:val="16"/>
              </w:rPr>
              <w:t>4.247)</w:t>
            </w:r>
          </w:p>
        </w:tc>
      </w:tr>
      <w:tr w:rsidR="00112A99" w:rsidRPr="002E2B5B" w14:paraId="44B827DF" w14:textId="77777777" w:rsidTr="00112A99">
        <w:trPr>
          <w:trHeight w:val="315"/>
        </w:trPr>
        <w:tc>
          <w:tcPr>
            <w:tcW w:w="2143" w:type="pct"/>
            <w:gridSpan w:val="3"/>
            <w:tcBorders>
              <w:top w:val="nil"/>
              <w:left w:val="nil"/>
              <w:bottom w:val="single" w:sz="8" w:space="0" w:color="auto"/>
              <w:right w:val="nil"/>
            </w:tcBorders>
            <w:shd w:val="clear" w:color="auto" w:fill="auto"/>
            <w:noWrap/>
            <w:vAlign w:val="center"/>
            <w:hideMark/>
          </w:tcPr>
          <w:p w14:paraId="0A8B77BB" w14:textId="77777777" w:rsidR="00112A99" w:rsidRPr="002E2B5B" w:rsidRDefault="00112A9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TOTAL DOS DEPÓSITOS DE CAUÇÕES</w:t>
            </w:r>
          </w:p>
        </w:tc>
        <w:tc>
          <w:tcPr>
            <w:tcW w:w="569" w:type="pct"/>
            <w:tcBorders>
              <w:top w:val="nil"/>
              <w:left w:val="nil"/>
              <w:bottom w:val="single" w:sz="8" w:space="0" w:color="auto"/>
              <w:right w:val="nil"/>
            </w:tcBorders>
            <w:shd w:val="clear" w:color="auto" w:fill="auto"/>
            <w:vAlign w:val="center"/>
            <w:hideMark/>
          </w:tcPr>
          <w:p w14:paraId="237CF828" w14:textId="77777777" w:rsidR="00112A99" w:rsidRPr="002E2B5B" w:rsidRDefault="00112A9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763" w:type="pct"/>
            <w:tcBorders>
              <w:top w:val="nil"/>
              <w:left w:val="nil"/>
              <w:bottom w:val="single" w:sz="8" w:space="0" w:color="auto"/>
              <w:right w:val="nil"/>
            </w:tcBorders>
            <w:shd w:val="clear" w:color="auto" w:fill="auto"/>
            <w:noWrap/>
            <w:vAlign w:val="center"/>
          </w:tcPr>
          <w:p w14:paraId="0C48EB5B" w14:textId="77777777" w:rsidR="00112A99" w:rsidRPr="002E2B5B" w:rsidRDefault="00112A99" w:rsidP="00937ED9">
            <w:pPr>
              <w:spacing w:after="120"/>
              <w:jc w:val="right"/>
              <w:rPr>
                <w:rFonts w:ascii="Calibri" w:hAnsi="Calibri" w:cs="Calibri"/>
                <w:b/>
                <w:bCs/>
                <w:color w:val="000000"/>
                <w:sz w:val="16"/>
                <w:szCs w:val="16"/>
              </w:rPr>
            </w:pPr>
          </w:p>
        </w:tc>
        <w:tc>
          <w:tcPr>
            <w:tcW w:w="763" w:type="pct"/>
            <w:tcBorders>
              <w:top w:val="nil"/>
              <w:left w:val="nil"/>
              <w:bottom w:val="single" w:sz="8" w:space="0" w:color="auto"/>
              <w:right w:val="nil"/>
            </w:tcBorders>
            <w:shd w:val="clear" w:color="auto" w:fill="auto"/>
            <w:noWrap/>
            <w:vAlign w:val="center"/>
            <w:hideMark/>
          </w:tcPr>
          <w:p w14:paraId="6479A6D9" w14:textId="707E1482" w:rsidR="00112A99" w:rsidRPr="002E2B5B" w:rsidRDefault="00304B12" w:rsidP="00937ED9">
            <w:pPr>
              <w:spacing w:after="120"/>
              <w:jc w:val="right"/>
              <w:rPr>
                <w:rFonts w:ascii="Calibri" w:hAnsi="Calibri" w:cs="Calibri"/>
                <w:b/>
                <w:bCs/>
                <w:color w:val="000000"/>
                <w:sz w:val="16"/>
                <w:szCs w:val="16"/>
              </w:rPr>
            </w:pPr>
            <w:r>
              <w:rPr>
                <w:rFonts w:ascii="Calibri" w:hAnsi="Calibri" w:cs="Calibri"/>
                <w:b/>
                <w:bCs/>
                <w:color w:val="000000"/>
                <w:sz w:val="16"/>
                <w:szCs w:val="16"/>
              </w:rPr>
              <w:t>4</w:t>
            </w:r>
            <w:r w:rsidR="00F32FBB">
              <w:rPr>
                <w:rFonts w:ascii="Calibri" w:hAnsi="Calibri" w:cs="Calibri"/>
                <w:b/>
                <w:bCs/>
                <w:color w:val="000000"/>
                <w:sz w:val="16"/>
                <w:szCs w:val="16"/>
              </w:rPr>
              <w:t>31</w:t>
            </w:r>
            <w:r>
              <w:rPr>
                <w:rFonts w:ascii="Calibri" w:hAnsi="Calibri" w:cs="Calibri"/>
                <w:b/>
                <w:bCs/>
                <w:color w:val="000000"/>
                <w:sz w:val="16"/>
                <w:szCs w:val="16"/>
              </w:rPr>
              <w:t>.</w:t>
            </w:r>
            <w:r w:rsidR="00F32FBB">
              <w:rPr>
                <w:rFonts w:ascii="Calibri" w:hAnsi="Calibri" w:cs="Calibri"/>
                <w:b/>
                <w:bCs/>
                <w:color w:val="000000"/>
                <w:sz w:val="16"/>
                <w:szCs w:val="16"/>
              </w:rPr>
              <w:t>756</w:t>
            </w:r>
          </w:p>
        </w:tc>
        <w:tc>
          <w:tcPr>
            <w:tcW w:w="762" w:type="pct"/>
            <w:tcBorders>
              <w:top w:val="nil"/>
              <w:left w:val="nil"/>
              <w:bottom w:val="single" w:sz="8" w:space="0" w:color="auto"/>
              <w:right w:val="nil"/>
            </w:tcBorders>
            <w:shd w:val="clear" w:color="auto" w:fill="auto"/>
            <w:noWrap/>
            <w:vAlign w:val="center"/>
          </w:tcPr>
          <w:p w14:paraId="2A02B3CA" w14:textId="69EB7489" w:rsidR="00112A99" w:rsidRPr="002E2B5B" w:rsidRDefault="00575261" w:rsidP="00937ED9">
            <w:pPr>
              <w:spacing w:after="120"/>
              <w:jc w:val="right"/>
              <w:rPr>
                <w:rFonts w:ascii="Calibri" w:hAnsi="Calibri" w:cs="Calibri"/>
                <w:b/>
                <w:bCs/>
                <w:color w:val="000000"/>
                <w:sz w:val="16"/>
                <w:szCs w:val="16"/>
              </w:rPr>
            </w:pPr>
            <w:r>
              <w:rPr>
                <w:rFonts w:ascii="Calibri" w:hAnsi="Calibri" w:cs="Calibri"/>
                <w:b/>
                <w:bCs/>
                <w:color w:val="000000"/>
                <w:sz w:val="16"/>
                <w:szCs w:val="16"/>
              </w:rPr>
              <w:t>257.472</w:t>
            </w:r>
          </w:p>
        </w:tc>
      </w:tr>
    </w:tbl>
    <w:p w14:paraId="13E7D9A8" w14:textId="349D0CC6" w:rsidR="007449DE" w:rsidRDefault="00AC1AD6" w:rsidP="00393462">
      <w:pPr>
        <w:spacing w:before="120" w:after="120"/>
        <w:jc w:val="both"/>
        <w:rPr>
          <w:rFonts w:ascii="Calibri" w:hAnsi="Calibri" w:cs="Calibri"/>
          <w:sz w:val="22"/>
          <w:szCs w:val="22"/>
        </w:rPr>
      </w:pPr>
      <w:r w:rsidRPr="002E2B5B">
        <w:rPr>
          <w:rFonts w:ascii="Calibri" w:hAnsi="Calibri" w:cs="Calibri"/>
          <w:sz w:val="22"/>
          <w:szCs w:val="22"/>
        </w:rPr>
        <w:lastRenderedPageBreak/>
        <w:t xml:space="preserve">Os depósitos de cauções </w:t>
      </w:r>
      <w:r w:rsidR="00AA5748" w:rsidRPr="002E2B5B">
        <w:rPr>
          <w:rFonts w:ascii="Calibri" w:hAnsi="Calibri" w:cs="Calibri"/>
          <w:sz w:val="22"/>
          <w:szCs w:val="22"/>
        </w:rPr>
        <w:t xml:space="preserve">decorrem das garantias </w:t>
      </w:r>
      <w:r w:rsidR="00440D37" w:rsidRPr="002E2B5B">
        <w:rPr>
          <w:rFonts w:ascii="Calibri" w:hAnsi="Calibri" w:cs="Calibri"/>
          <w:sz w:val="22"/>
          <w:szCs w:val="22"/>
        </w:rPr>
        <w:t xml:space="preserve">caucionadas </w:t>
      </w:r>
      <w:r w:rsidR="00AA5748" w:rsidRPr="002E2B5B">
        <w:rPr>
          <w:rFonts w:ascii="Calibri" w:hAnsi="Calibri" w:cs="Calibri"/>
          <w:sz w:val="22"/>
          <w:szCs w:val="22"/>
        </w:rPr>
        <w:t>propostas, em licitação, do contratante ao contratado, conforme cláusula contratual</w:t>
      </w:r>
      <w:r w:rsidR="008C766E" w:rsidRPr="002E2B5B">
        <w:rPr>
          <w:rFonts w:ascii="Calibri" w:hAnsi="Calibri" w:cs="Calibri"/>
          <w:sz w:val="22"/>
          <w:szCs w:val="22"/>
        </w:rPr>
        <w:t>, os quais são contabilizados em contrapartida ao passivo não circulante</w:t>
      </w:r>
      <w:r w:rsidR="00AA5748" w:rsidRPr="002E2B5B">
        <w:rPr>
          <w:rFonts w:ascii="Calibri" w:hAnsi="Calibri" w:cs="Calibri"/>
          <w:sz w:val="22"/>
          <w:szCs w:val="22"/>
        </w:rPr>
        <w:t xml:space="preserve">. Financeiramente, esses </w:t>
      </w:r>
      <w:r w:rsidR="00440D37" w:rsidRPr="002E2B5B">
        <w:rPr>
          <w:rFonts w:ascii="Calibri" w:hAnsi="Calibri" w:cs="Calibri"/>
          <w:sz w:val="22"/>
          <w:szCs w:val="22"/>
        </w:rPr>
        <w:t>valores</w:t>
      </w:r>
      <w:r w:rsidR="00AA5748" w:rsidRPr="002E2B5B">
        <w:rPr>
          <w:rFonts w:ascii="Calibri" w:hAnsi="Calibri" w:cs="Calibri"/>
          <w:sz w:val="22"/>
          <w:szCs w:val="22"/>
        </w:rPr>
        <w:t xml:space="preserve"> encontram-se disponibilizados em conta</w:t>
      </w:r>
      <w:r w:rsidR="008C257A" w:rsidRPr="002E2B5B">
        <w:rPr>
          <w:rFonts w:ascii="Calibri" w:hAnsi="Calibri" w:cs="Calibri"/>
          <w:sz w:val="22"/>
          <w:szCs w:val="22"/>
        </w:rPr>
        <w:t>s</w:t>
      </w:r>
      <w:r w:rsidR="00AA5748" w:rsidRPr="002E2B5B">
        <w:rPr>
          <w:rFonts w:ascii="Calibri" w:hAnsi="Calibri" w:cs="Calibri"/>
          <w:sz w:val="22"/>
          <w:szCs w:val="22"/>
        </w:rPr>
        <w:t xml:space="preserve"> específica</w:t>
      </w:r>
      <w:r w:rsidR="008C257A" w:rsidRPr="002E2B5B">
        <w:rPr>
          <w:rFonts w:ascii="Calibri" w:hAnsi="Calibri" w:cs="Calibri"/>
          <w:sz w:val="22"/>
          <w:szCs w:val="22"/>
        </w:rPr>
        <w:t>s</w:t>
      </w:r>
      <w:r w:rsidR="00AA5748" w:rsidRPr="002E2B5B">
        <w:rPr>
          <w:rFonts w:ascii="Calibri" w:hAnsi="Calibri" w:cs="Calibri"/>
          <w:sz w:val="22"/>
          <w:szCs w:val="22"/>
        </w:rPr>
        <w:t xml:space="preserve"> </w:t>
      </w:r>
      <w:r w:rsidR="008C257A" w:rsidRPr="002E2B5B">
        <w:rPr>
          <w:rFonts w:ascii="Calibri" w:hAnsi="Calibri" w:cs="Calibri"/>
          <w:sz w:val="22"/>
          <w:szCs w:val="22"/>
        </w:rPr>
        <w:t>individualizadas</w:t>
      </w:r>
      <w:r w:rsidR="00000BCA" w:rsidRPr="002E2B5B">
        <w:rPr>
          <w:rFonts w:ascii="Calibri" w:hAnsi="Calibri" w:cs="Calibri"/>
          <w:sz w:val="22"/>
          <w:szCs w:val="22"/>
        </w:rPr>
        <w:t xml:space="preserve"> </w:t>
      </w:r>
      <w:r w:rsidR="00AA5748" w:rsidRPr="002E2B5B">
        <w:rPr>
          <w:rFonts w:ascii="Calibri" w:hAnsi="Calibri" w:cs="Calibri"/>
          <w:sz w:val="22"/>
          <w:szCs w:val="22"/>
        </w:rPr>
        <w:t>sob a custódia da Caixa Econômica Fede</w:t>
      </w:r>
      <w:r w:rsidR="002726DB" w:rsidRPr="002E2B5B">
        <w:rPr>
          <w:rFonts w:ascii="Calibri" w:hAnsi="Calibri" w:cs="Calibri"/>
          <w:sz w:val="22"/>
          <w:szCs w:val="22"/>
        </w:rPr>
        <w:t>ral – C</w:t>
      </w:r>
      <w:r w:rsidR="0046500A" w:rsidRPr="002E2B5B">
        <w:rPr>
          <w:rFonts w:ascii="Calibri" w:hAnsi="Calibri" w:cs="Calibri"/>
          <w:sz w:val="22"/>
          <w:szCs w:val="22"/>
        </w:rPr>
        <w:t>AIXA</w:t>
      </w:r>
      <w:r w:rsidR="0081089E" w:rsidRPr="002E2B5B">
        <w:rPr>
          <w:rFonts w:ascii="Calibri" w:hAnsi="Calibri" w:cs="Calibri"/>
          <w:sz w:val="22"/>
          <w:szCs w:val="22"/>
        </w:rPr>
        <w:t>.</w:t>
      </w:r>
      <w:r w:rsidR="00301062" w:rsidRPr="002E2B5B">
        <w:rPr>
          <w:rFonts w:ascii="Calibri" w:hAnsi="Calibri" w:cs="Calibri"/>
          <w:sz w:val="22"/>
          <w:szCs w:val="22"/>
        </w:rPr>
        <w:t xml:space="preserve"> </w:t>
      </w:r>
    </w:p>
    <w:p w14:paraId="1F7EF45A" w14:textId="77777777" w:rsidR="00552191" w:rsidRPr="002E2B5B" w:rsidRDefault="00660339" w:rsidP="00937ED9">
      <w:pPr>
        <w:numPr>
          <w:ilvl w:val="0"/>
          <w:numId w:val="6"/>
        </w:numPr>
        <w:spacing w:after="120"/>
        <w:ind w:left="284" w:right="-142" w:hanging="284"/>
        <w:jc w:val="both"/>
        <w:rPr>
          <w:rFonts w:ascii="Calibri" w:hAnsi="Calibri" w:cs="Calibri"/>
          <w:b/>
          <w:bCs/>
          <w:sz w:val="22"/>
          <w:szCs w:val="22"/>
        </w:rPr>
      </w:pPr>
      <w:r w:rsidRPr="002E2B5B">
        <w:rPr>
          <w:rFonts w:ascii="Calibri" w:hAnsi="Calibri" w:cs="Calibri"/>
          <w:b/>
          <w:bCs/>
          <w:sz w:val="22"/>
          <w:szCs w:val="22"/>
        </w:rPr>
        <w:t>Depósitos Judiciais</w:t>
      </w:r>
      <w:r w:rsidR="0055378D" w:rsidRPr="002E2B5B">
        <w:rPr>
          <w:rFonts w:ascii="Calibri" w:hAnsi="Calibri" w:cs="Calibri"/>
          <w:b/>
          <w:bCs/>
          <w:sz w:val="22"/>
          <w:szCs w:val="22"/>
        </w:rPr>
        <w:t xml:space="preserve"> </w:t>
      </w:r>
      <w:r w:rsidR="000C076B" w:rsidRPr="002E2B5B">
        <w:rPr>
          <w:rFonts w:ascii="Calibri" w:hAnsi="Calibri" w:cs="Calibri"/>
          <w:b/>
          <w:bCs/>
          <w:sz w:val="22"/>
          <w:szCs w:val="22"/>
        </w:rPr>
        <w:t xml:space="preserve"> </w:t>
      </w:r>
    </w:p>
    <w:tbl>
      <w:tblPr>
        <w:tblW w:w="5000" w:type="pct"/>
        <w:tblCellMar>
          <w:left w:w="70" w:type="dxa"/>
          <w:right w:w="70" w:type="dxa"/>
        </w:tblCellMar>
        <w:tblLook w:val="04A0" w:firstRow="1" w:lastRow="0" w:firstColumn="1" w:lastColumn="0" w:noHBand="0" w:noVBand="1"/>
      </w:tblPr>
      <w:tblGrid>
        <w:gridCol w:w="1985"/>
        <w:gridCol w:w="1719"/>
        <w:gridCol w:w="1304"/>
        <w:gridCol w:w="1463"/>
        <w:gridCol w:w="1999"/>
        <w:gridCol w:w="1997"/>
      </w:tblGrid>
      <w:tr w:rsidR="00706813" w:rsidRPr="002E2B5B" w14:paraId="47D90B64" w14:textId="77777777" w:rsidTr="000A571A">
        <w:trPr>
          <w:trHeight w:hRule="exact" w:val="227"/>
        </w:trPr>
        <w:tc>
          <w:tcPr>
            <w:tcW w:w="948" w:type="pct"/>
            <w:tcBorders>
              <w:top w:val="nil"/>
              <w:left w:val="nil"/>
              <w:bottom w:val="single" w:sz="4" w:space="0" w:color="auto"/>
              <w:right w:val="nil"/>
            </w:tcBorders>
            <w:shd w:val="clear" w:color="auto" w:fill="auto"/>
            <w:noWrap/>
            <w:vAlign w:val="bottom"/>
            <w:hideMark/>
          </w:tcPr>
          <w:p w14:paraId="6470F3B7" w14:textId="77777777" w:rsidR="00706813" w:rsidRPr="002E2B5B" w:rsidRDefault="00706813" w:rsidP="00937ED9">
            <w:pPr>
              <w:spacing w:after="120"/>
              <w:rPr>
                <w:rFonts w:ascii="Calibri" w:hAnsi="Calibri" w:cs="Calibri"/>
                <w:b/>
                <w:bCs/>
                <w:sz w:val="16"/>
                <w:szCs w:val="16"/>
              </w:rPr>
            </w:pPr>
            <w:r w:rsidRPr="002E2B5B">
              <w:rPr>
                <w:rFonts w:ascii="Calibri" w:hAnsi="Calibri" w:cs="Calibri"/>
                <w:b/>
                <w:bCs/>
                <w:sz w:val="16"/>
                <w:szCs w:val="16"/>
              </w:rPr>
              <w:t>AÇÕES</w:t>
            </w:r>
          </w:p>
        </w:tc>
        <w:tc>
          <w:tcPr>
            <w:tcW w:w="821" w:type="pct"/>
            <w:tcBorders>
              <w:top w:val="nil"/>
              <w:left w:val="nil"/>
              <w:bottom w:val="single" w:sz="4" w:space="0" w:color="auto"/>
              <w:right w:val="nil"/>
            </w:tcBorders>
            <w:shd w:val="clear" w:color="auto" w:fill="auto"/>
            <w:vAlign w:val="bottom"/>
            <w:hideMark/>
          </w:tcPr>
          <w:p w14:paraId="5C42A2B6" w14:textId="69762A8B" w:rsidR="00706813" w:rsidRPr="002E2B5B" w:rsidRDefault="00706813" w:rsidP="00304B12">
            <w:pPr>
              <w:spacing w:after="120"/>
              <w:jc w:val="right"/>
              <w:rPr>
                <w:rFonts w:ascii="Calibri" w:hAnsi="Calibri" w:cs="Calibri"/>
                <w:b/>
                <w:bCs/>
                <w:sz w:val="16"/>
                <w:szCs w:val="16"/>
              </w:rPr>
            </w:pPr>
            <w:r w:rsidRPr="002E2B5B">
              <w:rPr>
                <w:rFonts w:ascii="Calibri" w:hAnsi="Calibri" w:cs="Calibri"/>
                <w:b/>
                <w:bCs/>
                <w:sz w:val="16"/>
                <w:szCs w:val="16"/>
              </w:rPr>
              <w:t>SALDO EM 31/12/20</w:t>
            </w:r>
            <w:r>
              <w:rPr>
                <w:rFonts w:ascii="Calibri" w:hAnsi="Calibri" w:cs="Calibri"/>
                <w:b/>
                <w:bCs/>
                <w:sz w:val="16"/>
                <w:szCs w:val="16"/>
              </w:rPr>
              <w:t>2</w:t>
            </w:r>
            <w:r w:rsidR="00575261">
              <w:rPr>
                <w:rFonts w:ascii="Calibri" w:hAnsi="Calibri" w:cs="Calibri"/>
                <w:b/>
                <w:bCs/>
                <w:sz w:val="16"/>
                <w:szCs w:val="16"/>
              </w:rPr>
              <w:t>1</w:t>
            </w:r>
            <w:r w:rsidRPr="002E2B5B">
              <w:rPr>
                <w:rFonts w:ascii="Calibri" w:hAnsi="Calibri" w:cs="Calibri"/>
                <w:b/>
                <w:bCs/>
                <w:sz w:val="16"/>
                <w:szCs w:val="16"/>
              </w:rPr>
              <w:t xml:space="preserve"> </w:t>
            </w:r>
          </w:p>
        </w:tc>
        <w:tc>
          <w:tcPr>
            <w:tcW w:w="623" w:type="pct"/>
            <w:tcBorders>
              <w:top w:val="nil"/>
              <w:left w:val="nil"/>
              <w:bottom w:val="single" w:sz="4" w:space="0" w:color="auto"/>
              <w:right w:val="nil"/>
            </w:tcBorders>
            <w:shd w:val="clear" w:color="auto" w:fill="auto"/>
            <w:vAlign w:val="bottom"/>
            <w:hideMark/>
          </w:tcPr>
          <w:p w14:paraId="0368FF94" w14:textId="77777777" w:rsidR="00706813" w:rsidRPr="002E2B5B" w:rsidRDefault="00706813" w:rsidP="00304B12">
            <w:pPr>
              <w:spacing w:after="120"/>
              <w:jc w:val="right"/>
              <w:rPr>
                <w:rFonts w:ascii="Calibri" w:hAnsi="Calibri" w:cs="Calibri"/>
                <w:b/>
                <w:bCs/>
                <w:sz w:val="16"/>
                <w:szCs w:val="16"/>
              </w:rPr>
            </w:pPr>
            <w:r w:rsidRPr="002E2B5B">
              <w:rPr>
                <w:rFonts w:ascii="Calibri" w:hAnsi="Calibri" w:cs="Calibri"/>
                <w:b/>
                <w:bCs/>
                <w:sz w:val="16"/>
                <w:szCs w:val="16"/>
              </w:rPr>
              <w:t>INGRESSO</w:t>
            </w:r>
          </w:p>
        </w:tc>
        <w:tc>
          <w:tcPr>
            <w:tcW w:w="699" w:type="pct"/>
            <w:tcBorders>
              <w:top w:val="nil"/>
              <w:left w:val="nil"/>
              <w:bottom w:val="single" w:sz="4" w:space="0" w:color="auto"/>
              <w:right w:val="nil"/>
            </w:tcBorders>
            <w:shd w:val="clear" w:color="auto" w:fill="auto"/>
            <w:vAlign w:val="bottom"/>
            <w:hideMark/>
          </w:tcPr>
          <w:p w14:paraId="6E2193F9" w14:textId="6B881797" w:rsidR="00706813" w:rsidRPr="002E2B5B" w:rsidRDefault="00706813" w:rsidP="00304B12">
            <w:pPr>
              <w:spacing w:after="120"/>
              <w:jc w:val="right"/>
              <w:rPr>
                <w:rFonts w:ascii="Calibri" w:hAnsi="Calibri" w:cs="Calibri"/>
                <w:b/>
                <w:bCs/>
                <w:sz w:val="16"/>
                <w:szCs w:val="16"/>
              </w:rPr>
            </w:pPr>
            <w:r w:rsidRPr="002E2B5B">
              <w:rPr>
                <w:rFonts w:ascii="Calibri" w:hAnsi="Calibri" w:cs="Calibri"/>
                <w:b/>
                <w:bCs/>
                <w:sz w:val="16"/>
                <w:szCs w:val="16"/>
              </w:rPr>
              <w:t>BAIXA</w:t>
            </w:r>
          </w:p>
        </w:tc>
        <w:tc>
          <w:tcPr>
            <w:tcW w:w="955" w:type="pct"/>
            <w:tcBorders>
              <w:top w:val="nil"/>
              <w:left w:val="nil"/>
              <w:right w:val="nil"/>
            </w:tcBorders>
            <w:vAlign w:val="bottom"/>
          </w:tcPr>
          <w:p w14:paraId="1936B50A" w14:textId="77777777" w:rsidR="00706813" w:rsidRPr="002E2B5B" w:rsidRDefault="00706813" w:rsidP="00304B12">
            <w:pPr>
              <w:spacing w:after="120"/>
              <w:jc w:val="right"/>
              <w:rPr>
                <w:rFonts w:ascii="Calibri" w:hAnsi="Calibri" w:cs="Calibri"/>
                <w:b/>
                <w:bCs/>
                <w:sz w:val="16"/>
                <w:szCs w:val="16"/>
              </w:rPr>
            </w:pPr>
            <w:r w:rsidRPr="002E2B5B">
              <w:rPr>
                <w:rFonts w:ascii="Calibri" w:hAnsi="Calibri" w:cs="Calibri"/>
                <w:b/>
                <w:bCs/>
                <w:sz w:val="16"/>
                <w:szCs w:val="16"/>
              </w:rPr>
              <w:t>BAIXA ATUAL.  MONET</w:t>
            </w:r>
          </w:p>
        </w:tc>
        <w:tc>
          <w:tcPr>
            <w:tcW w:w="954" w:type="pct"/>
            <w:tcBorders>
              <w:top w:val="nil"/>
              <w:left w:val="nil"/>
              <w:bottom w:val="single" w:sz="4" w:space="0" w:color="auto"/>
              <w:right w:val="nil"/>
            </w:tcBorders>
            <w:shd w:val="clear" w:color="auto" w:fill="auto"/>
            <w:vAlign w:val="bottom"/>
            <w:hideMark/>
          </w:tcPr>
          <w:p w14:paraId="62CC0497" w14:textId="6086FA75" w:rsidR="00706813" w:rsidRPr="002E2B5B" w:rsidRDefault="00706813" w:rsidP="00304B12">
            <w:pPr>
              <w:spacing w:after="120"/>
              <w:jc w:val="right"/>
              <w:rPr>
                <w:rFonts w:ascii="Calibri" w:hAnsi="Calibri" w:cs="Calibri"/>
                <w:b/>
                <w:bCs/>
                <w:sz w:val="16"/>
                <w:szCs w:val="16"/>
              </w:rPr>
            </w:pPr>
            <w:r w:rsidRPr="002E2B5B">
              <w:rPr>
                <w:rFonts w:ascii="Calibri" w:hAnsi="Calibri" w:cs="Calibri"/>
                <w:b/>
                <w:bCs/>
                <w:sz w:val="16"/>
                <w:szCs w:val="16"/>
              </w:rPr>
              <w:t xml:space="preserve">SALDO EM </w:t>
            </w:r>
            <w:r w:rsidR="000027B2">
              <w:rPr>
                <w:rFonts w:ascii="Calibri" w:hAnsi="Calibri" w:cs="Calibri"/>
                <w:b/>
                <w:bCs/>
                <w:sz w:val="16"/>
                <w:szCs w:val="16"/>
              </w:rPr>
              <w:t>3</w:t>
            </w:r>
            <w:r w:rsidR="00304B12">
              <w:rPr>
                <w:rFonts w:ascii="Calibri" w:hAnsi="Calibri" w:cs="Calibri"/>
                <w:b/>
                <w:bCs/>
                <w:sz w:val="16"/>
                <w:szCs w:val="16"/>
              </w:rPr>
              <w:t>0</w:t>
            </w:r>
            <w:r w:rsidR="000027B2">
              <w:rPr>
                <w:rFonts w:ascii="Calibri" w:hAnsi="Calibri" w:cs="Calibri"/>
                <w:b/>
                <w:bCs/>
                <w:sz w:val="16"/>
                <w:szCs w:val="16"/>
              </w:rPr>
              <w:t>/</w:t>
            </w:r>
            <w:r w:rsidR="00575261">
              <w:rPr>
                <w:rFonts w:ascii="Calibri" w:hAnsi="Calibri" w:cs="Calibri"/>
                <w:b/>
                <w:bCs/>
                <w:sz w:val="16"/>
                <w:szCs w:val="16"/>
              </w:rPr>
              <w:t>0</w:t>
            </w:r>
            <w:r w:rsidR="001C2098">
              <w:rPr>
                <w:rFonts w:ascii="Calibri" w:hAnsi="Calibri" w:cs="Calibri"/>
                <w:b/>
                <w:bCs/>
                <w:sz w:val="16"/>
                <w:szCs w:val="16"/>
              </w:rPr>
              <w:t>9</w:t>
            </w:r>
            <w:r w:rsidRPr="002E2B5B">
              <w:rPr>
                <w:rFonts w:ascii="Calibri" w:hAnsi="Calibri" w:cs="Calibri"/>
                <w:b/>
                <w:bCs/>
                <w:sz w:val="16"/>
                <w:szCs w:val="16"/>
              </w:rPr>
              <w:t>/202</w:t>
            </w:r>
            <w:r w:rsidR="00575261">
              <w:rPr>
                <w:rFonts w:ascii="Calibri" w:hAnsi="Calibri" w:cs="Calibri"/>
                <w:b/>
                <w:bCs/>
                <w:sz w:val="16"/>
                <w:szCs w:val="16"/>
              </w:rPr>
              <w:t>2</w:t>
            </w:r>
          </w:p>
        </w:tc>
      </w:tr>
      <w:tr w:rsidR="00706813" w:rsidRPr="002E2B5B" w14:paraId="5B24B5D5" w14:textId="77777777" w:rsidTr="000A571A">
        <w:trPr>
          <w:trHeight w:hRule="exact" w:val="227"/>
        </w:trPr>
        <w:tc>
          <w:tcPr>
            <w:tcW w:w="948" w:type="pct"/>
            <w:tcBorders>
              <w:top w:val="single" w:sz="4" w:space="0" w:color="auto"/>
              <w:left w:val="nil"/>
              <w:bottom w:val="nil"/>
              <w:right w:val="nil"/>
            </w:tcBorders>
            <w:shd w:val="clear" w:color="auto" w:fill="auto"/>
            <w:noWrap/>
            <w:vAlign w:val="center"/>
            <w:hideMark/>
          </w:tcPr>
          <w:p w14:paraId="6C96E2CD" w14:textId="77777777" w:rsidR="00706813" w:rsidRPr="002E2B5B" w:rsidRDefault="00706813" w:rsidP="00937ED9">
            <w:pPr>
              <w:spacing w:after="120"/>
              <w:rPr>
                <w:rFonts w:ascii="Calibri" w:hAnsi="Calibri" w:cs="Calibri"/>
                <w:sz w:val="16"/>
                <w:szCs w:val="16"/>
              </w:rPr>
            </w:pPr>
            <w:r w:rsidRPr="002E2B5B">
              <w:rPr>
                <w:rFonts w:ascii="Calibri" w:hAnsi="Calibri" w:cs="Calibri"/>
                <w:sz w:val="16"/>
                <w:szCs w:val="16"/>
              </w:rPr>
              <w:t>Cíveis</w:t>
            </w:r>
          </w:p>
        </w:tc>
        <w:tc>
          <w:tcPr>
            <w:tcW w:w="821" w:type="pct"/>
            <w:tcBorders>
              <w:top w:val="single" w:sz="4" w:space="0" w:color="auto"/>
              <w:left w:val="nil"/>
              <w:bottom w:val="nil"/>
              <w:right w:val="nil"/>
            </w:tcBorders>
            <w:shd w:val="clear" w:color="auto" w:fill="auto"/>
            <w:noWrap/>
            <w:vAlign w:val="center"/>
            <w:hideMark/>
          </w:tcPr>
          <w:p w14:paraId="7387CCC1" w14:textId="362BD49C" w:rsidR="00706813" w:rsidRPr="002E2B5B" w:rsidRDefault="00706813" w:rsidP="00304B12">
            <w:pPr>
              <w:spacing w:after="120"/>
              <w:jc w:val="right"/>
              <w:rPr>
                <w:rFonts w:ascii="Calibri" w:hAnsi="Calibri" w:cs="Calibri"/>
                <w:sz w:val="16"/>
                <w:szCs w:val="16"/>
              </w:rPr>
            </w:pPr>
            <w:r w:rsidRPr="002E2B5B">
              <w:rPr>
                <w:rFonts w:ascii="Calibri" w:hAnsi="Calibri" w:cs="Calibri"/>
                <w:sz w:val="16"/>
                <w:szCs w:val="16"/>
              </w:rPr>
              <w:t>51.641.802</w:t>
            </w:r>
          </w:p>
        </w:tc>
        <w:tc>
          <w:tcPr>
            <w:tcW w:w="623" w:type="pct"/>
            <w:tcBorders>
              <w:top w:val="single" w:sz="4" w:space="0" w:color="auto"/>
              <w:left w:val="nil"/>
              <w:bottom w:val="nil"/>
              <w:right w:val="nil"/>
            </w:tcBorders>
            <w:shd w:val="clear" w:color="auto" w:fill="auto"/>
            <w:noWrap/>
            <w:vAlign w:val="center"/>
          </w:tcPr>
          <w:p w14:paraId="3BC6F2BD" w14:textId="7F3192B5" w:rsidR="00706813" w:rsidRPr="002E2B5B" w:rsidRDefault="001C2098" w:rsidP="00304B12">
            <w:pPr>
              <w:spacing w:after="120"/>
              <w:jc w:val="right"/>
              <w:rPr>
                <w:rFonts w:ascii="Calibri" w:hAnsi="Calibri" w:cs="Calibri"/>
                <w:sz w:val="16"/>
                <w:szCs w:val="16"/>
              </w:rPr>
            </w:pPr>
            <w:r>
              <w:rPr>
                <w:rFonts w:ascii="Calibri" w:hAnsi="Calibri" w:cs="Calibri"/>
                <w:sz w:val="16"/>
                <w:szCs w:val="16"/>
              </w:rPr>
              <w:t>2.373.258</w:t>
            </w:r>
          </w:p>
        </w:tc>
        <w:tc>
          <w:tcPr>
            <w:tcW w:w="699" w:type="pct"/>
            <w:tcBorders>
              <w:top w:val="single" w:sz="4" w:space="0" w:color="auto"/>
              <w:left w:val="nil"/>
              <w:bottom w:val="nil"/>
              <w:right w:val="nil"/>
            </w:tcBorders>
            <w:shd w:val="clear" w:color="auto" w:fill="auto"/>
            <w:noWrap/>
            <w:vAlign w:val="center"/>
          </w:tcPr>
          <w:p w14:paraId="5A5B026B" w14:textId="3FBD292C" w:rsidR="00706813" w:rsidRPr="002E2B5B" w:rsidRDefault="003129B7" w:rsidP="00304B12">
            <w:pPr>
              <w:spacing w:after="120"/>
              <w:jc w:val="right"/>
              <w:rPr>
                <w:rFonts w:ascii="Calibri" w:hAnsi="Calibri" w:cs="Calibri"/>
                <w:sz w:val="16"/>
                <w:szCs w:val="16"/>
              </w:rPr>
            </w:pPr>
            <w:r>
              <w:rPr>
                <w:rFonts w:ascii="Calibri" w:hAnsi="Calibri" w:cs="Calibri"/>
                <w:sz w:val="16"/>
                <w:szCs w:val="16"/>
              </w:rPr>
              <w:t>0</w:t>
            </w:r>
          </w:p>
        </w:tc>
        <w:tc>
          <w:tcPr>
            <w:tcW w:w="955" w:type="pct"/>
            <w:tcBorders>
              <w:top w:val="single" w:sz="4" w:space="0" w:color="auto"/>
              <w:left w:val="nil"/>
              <w:bottom w:val="nil"/>
              <w:right w:val="nil"/>
            </w:tcBorders>
            <w:vAlign w:val="center"/>
          </w:tcPr>
          <w:p w14:paraId="7078A0D4" w14:textId="4029312C" w:rsidR="00706813" w:rsidRPr="009C6659" w:rsidRDefault="006F3D61" w:rsidP="00304B12">
            <w:pPr>
              <w:spacing w:after="120"/>
              <w:jc w:val="right"/>
              <w:rPr>
                <w:rFonts w:ascii="Calibri" w:hAnsi="Calibri" w:cs="Calibri"/>
                <w:sz w:val="16"/>
                <w:szCs w:val="16"/>
                <w:highlight w:val="yellow"/>
              </w:rPr>
            </w:pPr>
            <w:r w:rsidRPr="006F3D61">
              <w:rPr>
                <w:rFonts w:ascii="Calibri" w:hAnsi="Calibri" w:cs="Calibri"/>
                <w:sz w:val="16"/>
                <w:szCs w:val="16"/>
              </w:rPr>
              <w:t>0</w:t>
            </w:r>
          </w:p>
        </w:tc>
        <w:tc>
          <w:tcPr>
            <w:tcW w:w="954" w:type="pct"/>
            <w:tcBorders>
              <w:top w:val="single" w:sz="4" w:space="0" w:color="auto"/>
              <w:left w:val="nil"/>
              <w:bottom w:val="nil"/>
              <w:right w:val="nil"/>
            </w:tcBorders>
            <w:shd w:val="clear" w:color="auto" w:fill="auto"/>
            <w:noWrap/>
            <w:vAlign w:val="center"/>
          </w:tcPr>
          <w:p w14:paraId="5EBEDCAD" w14:textId="0986133A" w:rsidR="00706813" w:rsidRPr="002E2B5B" w:rsidRDefault="001C2098" w:rsidP="00304B12">
            <w:pPr>
              <w:spacing w:after="120"/>
              <w:jc w:val="right"/>
              <w:rPr>
                <w:rFonts w:ascii="Calibri" w:hAnsi="Calibri" w:cs="Calibri"/>
                <w:sz w:val="16"/>
                <w:szCs w:val="16"/>
              </w:rPr>
            </w:pPr>
            <w:r>
              <w:rPr>
                <w:rFonts w:ascii="Calibri" w:hAnsi="Calibri" w:cs="Calibri"/>
                <w:sz w:val="16"/>
                <w:szCs w:val="16"/>
              </w:rPr>
              <w:t>54.015.060</w:t>
            </w:r>
          </w:p>
        </w:tc>
      </w:tr>
      <w:tr w:rsidR="00706813" w:rsidRPr="002E2B5B" w14:paraId="7FA9849C" w14:textId="77777777" w:rsidTr="000A571A">
        <w:trPr>
          <w:trHeight w:hRule="exact" w:val="227"/>
        </w:trPr>
        <w:tc>
          <w:tcPr>
            <w:tcW w:w="948" w:type="pct"/>
            <w:tcBorders>
              <w:top w:val="nil"/>
              <w:left w:val="nil"/>
              <w:bottom w:val="nil"/>
              <w:right w:val="nil"/>
            </w:tcBorders>
            <w:shd w:val="clear" w:color="auto" w:fill="auto"/>
            <w:noWrap/>
            <w:vAlign w:val="center"/>
            <w:hideMark/>
          </w:tcPr>
          <w:p w14:paraId="2A60962E" w14:textId="77777777" w:rsidR="00706813" w:rsidRPr="002E2B5B" w:rsidRDefault="00706813" w:rsidP="00937ED9">
            <w:pPr>
              <w:spacing w:after="120"/>
              <w:rPr>
                <w:rFonts w:ascii="Calibri" w:hAnsi="Calibri" w:cs="Calibri"/>
                <w:sz w:val="16"/>
                <w:szCs w:val="16"/>
              </w:rPr>
            </w:pPr>
            <w:r w:rsidRPr="002E2B5B">
              <w:rPr>
                <w:rFonts w:ascii="Calibri" w:hAnsi="Calibri" w:cs="Calibri"/>
                <w:sz w:val="16"/>
                <w:szCs w:val="16"/>
              </w:rPr>
              <w:t>Trabalhistas</w:t>
            </w:r>
          </w:p>
        </w:tc>
        <w:tc>
          <w:tcPr>
            <w:tcW w:w="821" w:type="pct"/>
            <w:tcBorders>
              <w:top w:val="nil"/>
              <w:left w:val="nil"/>
              <w:bottom w:val="nil"/>
              <w:right w:val="nil"/>
            </w:tcBorders>
            <w:shd w:val="clear" w:color="auto" w:fill="auto"/>
            <w:noWrap/>
            <w:vAlign w:val="center"/>
            <w:hideMark/>
          </w:tcPr>
          <w:p w14:paraId="566E2878" w14:textId="1CF32366" w:rsidR="00706813" w:rsidRPr="002E2B5B" w:rsidRDefault="00575261" w:rsidP="00304B12">
            <w:pPr>
              <w:spacing w:after="120"/>
              <w:jc w:val="right"/>
              <w:rPr>
                <w:rFonts w:ascii="Calibri" w:hAnsi="Calibri" w:cs="Calibri"/>
                <w:sz w:val="16"/>
                <w:szCs w:val="16"/>
              </w:rPr>
            </w:pPr>
            <w:r>
              <w:rPr>
                <w:rFonts w:ascii="Calibri" w:hAnsi="Calibri" w:cs="Calibri"/>
                <w:sz w:val="16"/>
                <w:szCs w:val="16"/>
              </w:rPr>
              <w:t>38.071.827</w:t>
            </w:r>
          </w:p>
        </w:tc>
        <w:tc>
          <w:tcPr>
            <w:tcW w:w="623" w:type="pct"/>
            <w:tcBorders>
              <w:top w:val="nil"/>
              <w:left w:val="nil"/>
              <w:bottom w:val="nil"/>
              <w:right w:val="nil"/>
            </w:tcBorders>
            <w:shd w:val="clear" w:color="auto" w:fill="auto"/>
            <w:noWrap/>
            <w:vAlign w:val="center"/>
          </w:tcPr>
          <w:p w14:paraId="5B13618D" w14:textId="509C8203" w:rsidR="00706813" w:rsidRPr="002E2B5B" w:rsidRDefault="00585C74" w:rsidP="00304B12">
            <w:pPr>
              <w:spacing w:after="120"/>
              <w:jc w:val="right"/>
              <w:rPr>
                <w:rFonts w:ascii="Calibri" w:hAnsi="Calibri" w:cs="Calibri"/>
                <w:sz w:val="16"/>
                <w:szCs w:val="16"/>
              </w:rPr>
            </w:pPr>
            <w:r>
              <w:rPr>
                <w:rFonts w:ascii="Calibri" w:hAnsi="Calibri" w:cs="Calibri"/>
                <w:sz w:val="16"/>
                <w:szCs w:val="16"/>
              </w:rPr>
              <w:t>1.139.823</w:t>
            </w:r>
          </w:p>
        </w:tc>
        <w:tc>
          <w:tcPr>
            <w:tcW w:w="699" w:type="pct"/>
            <w:tcBorders>
              <w:top w:val="nil"/>
              <w:left w:val="nil"/>
              <w:bottom w:val="nil"/>
              <w:right w:val="nil"/>
            </w:tcBorders>
            <w:shd w:val="clear" w:color="auto" w:fill="auto"/>
            <w:noWrap/>
            <w:vAlign w:val="center"/>
          </w:tcPr>
          <w:p w14:paraId="119255E3" w14:textId="21186F4A" w:rsidR="00706813" w:rsidRPr="002E2B5B" w:rsidRDefault="00706813" w:rsidP="00304B12">
            <w:pPr>
              <w:spacing w:after="120"/>
              <w:jc w:val="right"/>
              <w:rPr>
                <w:rFonts w:ascii="Calibri" w:hAnsi="Calibri" w:cs="Calibri"/>
                <w:sz w:val="16"/>
                <w:szCs w:val="16"/>
              </w:rPr>
            </w:pPr>
            <w:r w:rsidRPr="002E2B5B">
              <w:rPr>
                <w:rFonts w:ascii="Calibri" w:hAnsi="Calibri" w:cs="Calibri"/>
                <w:sz w:val="16"/>
                <w:szCs w:val="16"/>
              </w:rPr>
              <w:t>(</w:t>
            </w:r>
            <w:r w:rsidR="001C2098">
              <w:rPr>
                <w:rFonts w:ascii="Calibri" w:hAnsi="Calibri" w:cs="Calibri"/>
                <w:sz w:val="16"/>
                <w:szCs w:val="16"/>
              </w:rPr>
              <w:t>2.112.624</w:t>
            </w:r>
            <w:r w:rsidRPr="002E2B5B">
              <w:rPr>
                <w:rFonts w:ascii="Calibri" w:hAnsi="Calibri" w:cs="Calibri"/>
                <w:sz w:val="16"/>
                <w:szCs w:val="16"/>
              </w:rPr>
              <w:t>)</w:t>
            </w:r>
          </w:p>
        </w:tc>
        <w:tc>
          <w:tcPr>
            <w:tcW w:w="955" w:type="pct"/>
            <w:tcBorders>
              <w:top w:val="nil"/>
              <w:left w:val="nil"/>
              <w:bottom w:val="nil"/>
              <w:right w:val="nil"/>
            </w:tcBorders>
            <w:vAlign w:val="center"/>
          </w:tcPr>
          <w:p w14:paraId="35F59C03" w14:textId="1EBD5BB3" w:rsidR="00706813" w:rsidRPr="00706813" w:rsidRDefault="00706813" w:rsidP="00304B12">
            <w:pPr>
              <w:spacing w:after="120"/>
              <w:jc w:val="right"/>
              <w:rPr>
                <w:rFonts w:ascii="Calibri" w:hAnsi="Calibri" w:cs="Calibri"/>
                <w:sz w:val="16"/>
                <w:szCs w:val="16"/>
              </w:rPr>
            </w:pPr>
            <w:r w:rsidRPr="00706813">
              <w:rPr>
                <w:rFonts w:ascii="Calibri" w:hAnsi="Calibri" w:cs="Calibri"/>
                <w:sz w:val="16"/>
                <w:szCs w:val="16"/>
              </w:rPr>
              <w:t>(</w:t>
            </w:r>
            <w:r w:rsidR="001C2098">
              <w:rPr>
                <w:rFonts w:ascii="Calibri" w:hAnsi="Calibri" w:cs="Calibri"/>
                <w:sz w:val="16"/>
                <w:szCs w:val="16"/>
              </w:rPr>
              <w:t>207.054</w:t>
            </w:r>
            <w:r w:rsidRPr="00706813">
              <w:rPr>
                <w:rFonts w:ascii="Calibri" w:hAnsi="Calibri" w:cs="Calibri"/>
                <w:sz w:val="16"/>
                <w:szCs w:val="16"/>
              </w:rPr>
              <w:t>)</w:t>
            </w:r>
          </w:p>
        </w:tc>
        <w:tc>
          <w:tcPr>
            <w:tcW w:w="954" w:type="pct"/>
            <w:tcBorders>
              <w:top w:val="nil"/>
              <w:left w:val="nil"/>
              <w:bottom w:val="nil"/>
              <w:right w:val="nil"/>
            </w:tcBorders>
            <w:shd w:val="clear" w:color="auto" w:fill="auto"/>
            <w:noWrap/>
            <w:vAlign w:val="center"/>
          </w:tcPr>
          <w:p w14:paraId="2A6F01EC" w14:textId="124D1C28" w:rsidR="00706813" w:rsidRPr="002E2B5B" w:rsidRDefault="00575261" w:rsidP="00304B12">
            <w:pPr>
              <w:spacing w:after="120"/>
              <w:jc w:val="right"/>
              <w:rPr>
                <w:rFonts w:ascii="Calibri" w:hAnsi="Calibri" w:cs="Calibri"/>
                <w:sz w:val="16"/>
                <w:szCs w:val="16"/>
              </w:rPr>
            </w:pPr>
            <w:r>
              <w:rPr>
                <w:rFonts w:ascii="Calibri" w:hAnsi="Calibri" w:cs="Calibri"/>
                <w:sz w:val="16"/>
                <w:szCs w:val="16"/>
              </w:rPr>
              <w:t>3</w:t>
            </w:r>
            <w:r w:rsidR="003129B7">
              <w:rPr>
                <w:rFonts w:ascii="Calibri" w:hAnsi="Calibri" w:cs="Calibri"/>
                <w:sz w:val="16"/>
                <w:szCs w:val="16"/>
              </w:rPr>
              <w:t>6</w:t>
            </w:r>
            <w:r>
              <w:rPr>
                <w:rFonts w:ascii="Calibri" w:hAnsi="Calibri" w:cs="Calibri"/>
                <w:sz w:val="16"/>
                <w:szCs w:val="16"/>
              </w:rPr>
              <w:t>.</w:t>
            </w:r>
            <w:r w:rsidR="003129B7">
              <w:rPr>
                <w:rFonts w:ascii="Calibri" w:hAnsi="Calibri" w:cs="Calibri"/>
                <w:sz w:val="16"/>
                <w:szCs w:val="16"/>
              </w:rPr>
              <w:t>2</w:t>
            </w:r>
            <w:r w:rsidR="001C2098">
              <w:rPr>
                <w:rFonts w:ascii="Calibri" w:hAnsi="Calibri" w:cs="Calibri"/>
                <w:sz w:val="16"/>
                <w:szCs w:val="16"/>
              </w:rPr>
              <w:t>27</w:t>
            </w:r>
            <w:r>
              <w:rPr>
                <w:rFonts w:ascii="Calibri" w:hAnsi="Calibri" w:cs="Calibri"/>
                <w:sz w:val="16"/>
                <w:szCs w:val="16"/>
              </w:rPr>
              <w:t>.</w:t>
            </w:r>
            <w:r w:rsidR="001C2098">
              <w:rPr>
                <w:rFonts w:ascii="Calibri" w:hAnsi="Calibri" w:cs="Calibri"/>
                <w:sz w:val="16"/>
                <w:szCs w:val="16"/>
              </w:rPr>
              <w:t>502</w:t>
            </w:r>
          </w:p>
        </w:tc>
      </w:tr>
      <w:tr w:rsidR="00706813" w:rsidRPr="002E2B5B" w14:paraId="3ED486A4" w14:textId="77777777" w:rsidTr="000A571A">
        <w:trPr>
          <w:trHeight w:hRule="exact" w:val="227"/>
        </w:trPr>
        <w:tc>
          <w:tcPr>
            <w:tcW w:w="948" w:type="pct"/>
            <w:tcBorders>
              <w:top w:val="single" w:sz="4" w:space="0" w:color="auto"/>
              <w:left w:val="nil"/>
              <w:bottom w:val="single" w:sz="4" w:space="0" w:color="auto"/>
              <w:right w:val="nil"/>
            </w:tcBorders>
            <w:shd w:val="clear" w:color="auto" w:fill="auto"/>
            <w:noWrap/>
            <w:vAlign w:val="center"/>
            <w:hideMark/>
          </w:tcPr>
          <w:p w14:paraId="2551589F" w14:textId="77777777" w:rsidR="00706813" w:rsidRPr="002E2B5B" w:rsidRDefault="00706813" w:rsidP="00937ED9">
            <w:pPr>
              <w:spacing w:after="120"/>
              <w:rPr>
                <w:rFonts w:ascii="Calibri" w:hAnsi="Calibri" w:cs="Calibri"/>
                <w:b/>
                <w:bCs/>
                <w:sz w:val="16"/>
                <w:szCs w:val="16"/>
              </w:rPr>
            </w:pPr>
            <w:r w:rsidRPr="002E2B5B">
              <w:rPr>
                <w:rFonts w:ascii="Calibri" w:hAnsi="Calibri" w:cs="Calibri"/>
                <w:b/>
                <w:bCs/>
                <w:sz w:val="16"/>
                <w:szCs w:val="16"/>
              </w:rPr>
              <w:t>TOTAL</w:t>
            </w:r>
          </w:p>
        </w:tc>
        <w:tc>
          <w:tcPr>
            <w:tcW w:w="821" w:type="pct"/>
            <w:tcBorders>
              <w:top w:val="single" w:sz="4" w:space="0" w:color="auto"/>
              <w:left w:val="nil"/>
              <w:bottom w:val="single" w:sz="4" w:space="0" w:color="auto"/>
              <w:right w:val="nil"/>
            </w:tcBorders>
            <w:shd w:val="clear" w:color="auto" w:fill="auto"/>
            <w:noWrap/>
            <w:vAlign w:val="center"/>
            <w:hideMark/>
          </w:tcPr>
          <w:p w14:paraId="3CC1A0A8" w14:textId="6A19B146" w:rsidR="00706813" w:rsidRPr="002E2B5B" w:rsidRDefault="00575261" w:rsidP="00304B12">
            <w:pPr>
              <w:spacing w:after="120"/>
              <w:jc w:val="right"/>
              <w:rPr>
                <w:rFonts w:ascii="Calibri" w:hAnsi="Calibri" w:cs="Calibri"/>
                <w:b/>
                <w:bCs/>
                <w:sz w:val="16"/>
                <w:szCs w:val="16"/>
              </w:rPr>
            </w:pPr>
            <w:r>
              <w:rPr>
                <w:rFonts w:ascii="Calibri" w:hAnsi="Calibri" w:cs="Calibri"/>
                <w:b/>
                <w:bCs/>
                <w:sz w:val="16"/>
                <w:szCs w:val="16"/>
              </w:rPr>
              <w:t>89.713.629</w:t>
            </w:r>
          </w:p>
        </w:tc>
        <w:tc>
          <w:tcPr>
            <w:tcW w:w="623" w:type="pct"/>
            <w:tcBorders>
              <w:top w:val="single" w:sz="4" w:space="0" w:color="auto"/>
              <w:left w:val="nil"/>
              <w:bottom w:val="single" w:sz="4" w:space="0" w:color="auto"/>
              <w:right w:val="nil"/>
            </w:tcBorders>
            <w:shd w:val="clear" w:color="auto" w:fill="auto"/>
            <w:noWrap/>
            <w:vAlign w:val="center"/>
          </w:tcPr>
          <w:p w14:paraId="6B3D1F26" w14:textId="4827E1F6" w:rsidR="00706813" w:rsidRPr="002E2B5B" w:rsidRDefault="00585C74" w:rsidP="00304B12">
            <w:pPr>
              <w:spacing w:after="120"/>
              <w:jc w:val="right"/>
              <w:rPr>
                <w:rFonts w:ascii="Calibri" w:hAnsi="Calibri" w:cs="Calibri"/>
                <w:b/>
                <w:bCs/>
                <w:sz w:val="16"/>
                <w:szCs w:val="16"/>
              </w:rPr>
            </w:pPr>
            <w:r>
              <w:rPr>
                <w:rFonts w:ascii="Calibri" w:hAnsi="Calibri" w:cs="Calibri"/>
                <w:b/>
                <w:bCs/>
                <w:sz w:val="16"/>
                <w:szCs w:val="16"/>
              </w:rPr>
              <w:t>3.513.081</w:t>
            </w:r>
          </w:p>
        </w:tc>
        <w:tc>
          <w:tcPr>
            <w:tcW w:w="699" w:type="pct"/>
            <w:tcBorders>
              <w:top w:val="single" w:sz="4" w:space="0" w:color="auto"/>
              <w:left w:val="nil"/>
              <w:bottom w:val="single" w:sz="4" w:space="0" w:color="auto"/>
              <w:right w:val="nil"/>
            </w:tcBorders>
            <w:shd w:val="clear" w:color="auto" w:fill="auto"/>
            <w:noWrap/>
            <w:vAlign w:val="center"/>
          </w:tcPr>
          <w:p w14:paraId="22E0F802" w14:textId="53DC4F0E" w:rsidR="00706813" w:rsidRPr="002E2B5B" w:rsidRDefault="00706813" w:rsidP="00304B12">
            <w:pPr>
              <w:spacing w:after="120"/>
              <w:jc w:val="right"/>
              <w:rPr>
                <w:rFonts w:ascii="Calibri" w:hAnsi="Calibri" w:cs="Calibri"/>
                <w:b/>
                <w:bCs/>
                <w:sz w:val="16"/>
                <w:szCs w:val="16"/>
              </w:rPr>
            </w:pPr>
            <w:r w:rsidRPr="002E2B5B">
              <w:rPr>
                <w:rFonts w:ascii="Calibri" w:hAnsi="Calibri" w:cs="Calibri"/>
                <w:b/>
                <w:bCs/>
                <w:sz w:val="16"/>
                <w:szCs w:val="16"/>
              </w:rPr>
              <w:t>(</w:t>
            </w:r>
            <w:r w:rsidR="001C2098">
              <w:rPr>
                <w:rFonts w:ascii="Calibri" w:hAnsi="Calibri" w:cs="Calibri"/>
                <w:b/>
                <w:bCs/>
                <w:sz w:val="16"/>
                <w:szCs w:val="16"/>
              </w:rPr>
              <w:t>2.112.624</w:t>
            </w:r>
            <w:r w:rsidRPr="002E2B5B">
              <w:rPr>
                <w:rFonts w:ascii="Calibri" w:hAnsi="Calibri" w:cs="Calibri"/>
                <w:b/>
                <w:bCs/>
                <w:sz w:val="16"/>
                <w:szCs w:val="16"/>
              </w:rPr>
              <w:t>)</w:t>
            </w:r>
          </w:p>
        </w:tc>
        <w:tc>
          <w:tcPr>
            <w:tcW w:w="955" w:type="pct"/>
            <w:tcBorders>
              <w:top w:val="single" w:sz="4" w:space="0" w:color="auto"/>
              <w:left w:val="nil"/>
              <w:bottom w:val="single" w:sz="4" w:space="0" w:color="auto"/>
              <w:right w:val="nil"/>
            </w:tcBorders>
            <w:vAlign w:val="center"/>
          </w:tcPr>
          <w:p w14:paraId="2B971A4D" w14:textId="3B0F2314" w:rsidR="00706813" w:rsidRPr="00706813" w:rsidRDefault="00706813" w:rsidP="00304B12">
            <w:pPr>
              <w:spacing w:after="120"/>
              <w:jc w:val="right"/>
              <w:rPr>
                <w:rFonts w:ascii="Calibri" w:hAnsi="Calibri" w:cs="Calibri"/>
                <w:b/>
                <w:bCs/>
                <w:sz w:val="16"/>
                <w:szCs w:val="16"/>
              </w:rPr>
            </w:pPr>
            <w:r w:rsidRPr="00706813">
              <w:rPr>
                <w:rFonts w:ascii="Calibri" w:hAnsi="Calibri" w:cs="Calibri"/>
                <w:b/>
                <w:bCs/>
                <w:sz w:val="16"/>
                <w:szCs w:val="16"/>
              </w:rPr>
              <w:t>(</w:t>
            </w:r>
            <w:r w:rsidR="001C2098">
              <w:rPr>
                <w:rFonts w:ascii="Calibri" w:hAnsi="Calibri" w:cs="Calibri"/>
                <w:b/>
                <w:bCs/>
                <w:sz w:val="16"/>
                <w:szCs w:val="16"/>
              </w:rPr>
              <w:t>207.054</w:t>
            </w:r>
            <w:r w:rsidRPr="00706813">
              <w:rPr>
                <w:rFonts w:ascii="Calibri" w:hAnsi="Calibri" w:cs="Calibri"/>
                <w:b/>
                <w:bCs/>
                <w:sz w:val="16"/>
                <w:szCs w:val="16"/>
              </w:rPr>
              <w:t>)</w:t>
            </w:r>
          </w:p>
        </w:tc>
        <w:tc>
          <w:tcPr>
            <w:tcW w:w="954" w:type="pct"/>
            <w:tcBorders>
              <w:top w:val="single" w:sz="4" w:space="0" w:color="auto"/>
              <w:left w:val="nil"/>
              <w:bottom w:val="single" w:sz="4" w:space="0" w:color="auto"/>
              <w:right w:val="nil"/>
            </w:tcBorders>
            <w:shd w:val="clear" w:color="auto" w:fill="auto"/>
            <w:noWrap/>
            <w:vAlign w:val="center"/>
          </w:tcPr>
          <w:p w14:paraId="5ED8D0F1" w14:textId="77D4AD0F" w:rsidR="00706813" w:rsidRPr="002E2B5B" w:rsidRDefault="001C2098" w:rsidP="00304B12">
            <w:pPr>
              <w:spacing w:after="120"/>
              <w:jc w:val="right"/>
              <w:rPr>
                <w:rFonts w:ascii="Calibri" w:hAnsi="Calibri" w:cs="Calibri"/>
                <w:b/>
                <w:bCs/>
                <w:sz w:val="16"/>
                <w:szCs w:val="16"/>
              </w:rPr>
            </w:pPr>
            <w:r>
              <w:rPr>
                <w:rFonts w:ascii="Calibri" w:hAnsi="Calibri" w:cs="Calibri"/>
                <w:b/>
                <w:bCs/>
                <w:sz w:val="16"/>
                <w:szCs w:val="16"/>
              </w:rPr>
              <w:t>90.</w:t>
            </w:r>
            <w:r w:rsidR="00585C74">
              <w:rPr>
                <w:rFonts w:ascii="Calibri" w:hAnsi="Calibri" w:cs="Calibri"/>
                <w:b/>
                <w:bCs/>
                <w:sz w:val="16"/>
                <w:szCs w:val="16"/>
              </w:rPr>
              <w:t>907</w:t>
            </w:r>
            <w:r>
              <w:rPr>
                <w:rFonts w:ascii="Calibri" w:hAnsi="Calibri" w:cs="Calibri"/>
                <w:b/>
                <w:bCs/>
                <w:sz w:val="16"/>
                <w:szCs w:val="16"/>
              </w:rPr>
              <w:t>.</w:t>
            </w:r>
            <w:r w:rsidR="00585C74">
              <w:rPr>
                <w:rFonts w:ascii="Calibri" w:hAnsi="Calibri" w:cs="Calibri"/>
                <w:b/>
                <w:bCs/>
                <w:sz w:val="16"/>
                <w:szCs w:val="16"/>
              </w:rPr>
              <w:t>03</w:t>
            </w:r>
            <w:r>
              <w:rPr>
                <w:rFonts w:ascii="Calibri" w:hAnsi="Calibri" w:cs="Calibri"/>
                <w:b/>
                <w:bCs/>
                <w:sz w:val="16"/>
                <w:szCs w:val="16"/>
              </w:rPr>
              <w:t>2</w:t>
            </w:r>
          </w:p>
        </w:tc>
      </w:tr>
    </w:tbl>
    <w:p w14:paraId="3B838B7C" w14:textId="49D82813" w:rsidR="00E9733B" w:rsidRDefault="00174649" w:rsidP="000B3A75">
      <w:pPr>
        <w:spacing w:before="120" w:after="120"/>
        <w:jc w:val="both"/>
        <w:rPr>
          <w:rFonts w:ascii="Calibri" w:hAnsi="Calibri" w:cs="Calibri"/>
          <w:sz w:val="22"/>
          <w:szCs w:val="22"/>
        </w:rPr>
      </w:pPr>
      <w:r w:rsidRPr="002E2B5B">
        <w:rPr>
          <w:rFonts w:ascii="Calibri" w:hAnsi="Calibri" w:cs="Calibri"/>
          <w:sz w:val="22"/>
          <w:szCs w:val="22"/>
        </w:rPr>
        <w:t xml:space="preserve">O montante </w:t>
      </w:r>
      <w:r w:rsidR="00E35139" w:rsidRPr="002E2B5B">
        <w:rPr>
          <w:rFonts w:ascii="Calibri" w:hAnsi="Calibri" w:cs="Calibri"/>
          <w:sz w:val="22"/>
          <w:szCs w:val="22"/>
        </w:rPr>
        <w:t xml:space="preserve">de R$ </w:t>
      </w:r>
      <w:r w:rsidR="001C2098">
        <w:rPr>
          <w:rFonts w:ascii="Calibri" w:hAnsi="Calibri" w:cs="Calibri"/>
          <w:sz w:val="22"/>
          <w:szCs w:val="22"/>
        </w:rPr>
        <w:t>90</w:t>
      </w:r>
      <w:r w:rsidR="000027B2">
        <w:rPr>
          <w:rFonts w:ascii="Calibri" w:hAnsi="Calibri" w:cs="Calibri"/>
          <w:sz w:val="22"/>
          <w:szCs w:val="22"/>
        </w:rPr>
        <w:t>,</w:t>
      </w:r>
      <w:r w:rsidR="00585C74">
        <w:rPr>
          <w:rFonts w:ascii="Calibri" w:hAnsi="Calibri" w:cs="Calibri"/>
          <w:sz w:val="22"/>
          <w:szCs w:val="22"/>
        </w:rPr>
        <w:t>91</w:t>
      </w:r>
      <w:r w:rsidR="00706813">
        <w:rPr>
          <w:rFonts w:ascii="Calibri" w:hAnsi="Calibri" w:cs="Calibri"/>
          <w:sz w:val="22"/>
          <w:szCs w:val="22"/>
        </w:rPr>
        <w:t xml:space="preserve"> milhões</w:t>
      </w:r>
      <w:r w:rsidRPr="002E2B5B">
        <w:rPr>
          <w:rFonts w:ascii="Calibri" w:hAnsi="Calibri" w:cs="Calibri"/>
          <w:sz w:val="22"/>
          <w:szCs w:val="22"/>
        </w:rPr>
        <w:t xml:space="preserve"> compreende </w:t>
      </w:r>
      <w:r w:rsidR="00300ECC" w:rsidRPr="002E2B5B">
        <w:rPr>
          <w:rFonts w:ascii="Calibri" w:hAnsi="Calibri" w:cs="Calibri"/>
          <w:sz w:val="22"/>
          <w:szCs w:val="22"/>
        </w:rPr>
        <w:t>os</w:t>
      </w:r>
      <w:r w:rsidRPr="002E2B5B">
        <w:rPr>
          <w:rFonts w:ascii="Calibri" w:hAnsi="Calibri" w:cs="Calibri"/>
          <w:sz w:val="22"/>
          <w:szCs w:val="22"/>
        </w:rPr>
        <w:t xml:space="preserve"> </w:t>
      </w:r>
      <w:r w:rsidR="00D33D2A" w:rsidRPr="002E2B5B">
        <w:rPr>
          <w:rFonts w:ascii="Calibri" w:hAnsi="Calibri" w:cs="Calibri"/>
          <w:sz w:val="22"/>
          <w:szCs w:val="22"/>
        </w:rPr>
        <w:t xml:space="preserve">valores depositados em juízo referentes a </w:t>
      </w:r>
      <w:r w:rsidRPr="002E2B5B">
        <w:rPr>
          <w:rFonts w:ascii="Calibri" w:hAnsi="Calibri" w:cs="Calibri"/>
          <w:sz w:val="22"/>
          <w:szCs w:val="22"/>
        </w:rPr>
        <w:t xml:space="preserve">depósitos </w:t>
      </w:r>
      <w:r w:rsidR="00D33D2A" w:rsidRPr="002E2B5B">
        <w:rPr>
          <w:rFonts w:ascii="Calibri" w:hAnsi="Calibri" w:cs="Calibri"/>
          <w:sz w:val="22"/>
          <w:szCs w:val="22"/>
        </w:rPr>
        <w:t xml:space="preserve">recursais, </w:t>
      </w:r>
      <w:r w:rsidRPr="002E2B5B">
        <w:rPr>
          <w:rFonts w:ascii="Calibri" w:hAnsi="Calibri" w:cs="Calibri"/>
          <w:sz w:val="22"/>
          <w:szCs w:val="22"/>
        </w:rPr>
        <w:t>provenientes das ações trabalhistas e cíveis impetradas pelas partes autoras contra</w:t>
      </w:r>
      <w:r w:rsidR="004F4203" w:rsidRPr="002E2B5B">
        <w:rPr>
          <w:rFonts w:ascii="Calibri" w:hAnsi="Calibri" w:cs="Calibri"/>
          <w:sz w:val="22"/>
          <w:szCs w:val="22"/>
        </w:rPr>
        <w:t xml:space="preserve"> a </w:t>
      </w:r>
      <w:r w:rsidR="00E11BEF">
        <w:rPr>
          <w:rFonts w:ascii="Calibri" w:hAnsi="Calibri" w:cs="Calibri"/>
          <w:sz w:val="22"/>
          <w:szCs w:val="22"/>
        </w:rPr>
        <w:t>Infra</w:t>
      </w:r>
      <w:r w:rsidR="00585C74">
        <w:rPr>
          <w:rFonts w:ascii="Calibri" w:hAnsi="Calibri" w:cs="Calibri"/>
          <w:sz w:val="22"/>
          <w:szCs w:val="22"/>
        </w:rPr>
        <w:t xml:space="preserve"> S.A.</w:t>
      </w:r>
      <w:r w:rsidR="004F4203" w:rsidRPr="002E2B5B">
        <w:rPr>
          <w:rFonts w:ascii="Calibri" w:hAnsi="Calibri" w:cs="Calibri"/>
          <w:sz w:val="22"/>
          <w:szCs w:val="22"/>
        </w:rPr>
        <w:t xml:space="preserve"> e </w:t>
      </w:r>
      <w:r w:rsidRPr="002E2B5B">
        <w:rPr>
          <w:rFonts w:ascii="Calibri" w:hAnsi="Calibri" w:cs="Calibri"/>
          <w:sz w:val="22"/>
          <w:szCs w:val="22"/>
        </w:rPr>
        <w:t>as extintas empresas Rede Ferroviária Federal S/A – RFFSA e Empresa Brasileira de Plane</w:t>
      </w:r>
      <w:r w:rsidR="004F4203" w:rsidRPr="002E2B5B">
        <w:rPr>
          <w:rFonts w:ascii="Calibri" w:hAnsi="Calibri" w:cs="Calibri"/>
          <w:sz w:val="22"/>
          <w:szCs w:val="22"/>
        </w:rPr>
        <w:t>jamento de Transportes – GEIPOT</w:t>
      </w:r>
      <w:r w:rsidR="00526964" w:rsidRPr="002E2B5B">
        <w:rPr>
          <w:rFonts w:ascii="Calibri" w:hAnsi="Calibri" w:cs="Calibri"/>
          <w:sz w:val="22"/>
          <w:szCs w:val="22"/>
        </w:rPr>
        <w:t>, atualizados monetariamente pela</w:t>
      </w:r>
      <w:r w:rsidR="00D33D2A" w:rsidRPr="002E2B5B">
        <w:rPr>
          <w:rFonts w:ascii="Calibri" w:hAnsi="Calibri" w:cs="Calibri"/>
          <w:sz w:val="22"/>
          <w:szCs w:val="22"/>
        </w:rPr>
        <w:t xml:space="preserve"> taxa JAM-FGTS (ações trabalhistas) ou pela taxa Selic (ações cíveis)</w:t>
      </w:r>
      <w:r w:rsidR="00526964" w:rsidRPr="002E2B5B">
        <w:rPr>
          <w:rFonts w:ascii="Calibri" w:hAnsi="Calibri" w:cs="Calibri"/>
          <w:sz w:val="22"/>
          <w:szCs w:val="22"/>
        </w:rPr>
        <w:t xml:space="preserve"> até 31</w:t>
      </w:r>
      <w:r w:rsidR="00706813">
        <w:rPr>
          <w:rFonts w:ascii="Calibri" w:hAnsi="Calibri" w:cs="Calibri"/>
          <w:sz w:val="22"/>
          <w:szCs w:val="22"/>
        </w:rPr>
        <w:t xml:space="preserve"> de dezembro de 2018</w:t>
      </w:r>
      <w:r w:rsidR="00526964" w:rsidRPr="002E2B5B">
        <w:rPr>
          <w:rFonts w:ascii="Calibri" w:hAnsi="Calibri" w:cs="Calibri"/>
          <w:sz w:val="22"/>
          <w:szCs w:val="22"/>
        </w:rPr>
        <w:t>.</w:t>
      </w:r>
    </w:p>
    <w:p w14:paraId="7DD37C8E" w14:textId="06AC1885" w:rsidR="009B037C" w:rsidRPr="000B1B26" w:rsidRDefault="009B037C" w:rsidP="009B037C">
      <w:pPr>
        <w:spacing w:after="120"/>
        <w:jc w:val="both"/>
        <w:rPr>
          <w:rFonts w:ascii="Calibri" w:hAnsi="Calibri" w:cs="Calibri"/>
          <w:sz w:val="22"/>
          <w:szCs w:val="22"/>
        </w:rPr>
      </w:pPr>
      <w:r w:rsidRPr="0065363F">
        <w:rPr>
          <w:rFonts w:ascii="Calibri" w:hAnsi="Calibri" w:cs="Calibri"/>
          <w:sz w:val="22"/>
          <w:szCs w:val="22"/>
        </w:rPr>
        <w:t>Do total</w:t>
      </w:r>
      <w:r w:rsidR="00585C74">
        <w:rPr>
          <w:rFonts w:ascii="Calibri" w:hAnsi="Calibri" w:cs="Calibri"/>
          <w:sz w:val="22"/>
          <w:szCs w:val="22"/>
        </w:rPr>
        <w:t xml:space="preserve"> de ingressos relativos às ações trabalhistas, R$ 664,47 mil correspondem aos valores advindos da</w:t>
      </w:r>
      <w:r w:rsidRPr="0065363F">
        <w:rPr>
          <w:rFonts w:ascii="Calibri" w:hAnsi="Calibri" w:cs="Calibri"/>
          <w:sz w:val="22"/>
          <w:szCs w:val="22"/>
        </w:rPr>
        <w:t xml:space="preserve"> incorporação da EPL.</w:t>
      </w:r>
    </w:p>
    <w:p w14:paraId="1FCA8969" w14:textId="77777777" w:rsidR="00A502E5" w:rsidRPr="002E2B5B" w:rsidRDefault="00660339" w:rsidP="00937ED9">
      <w:pPr>
        <w:numPr>
          <w:ilvl w:val="0"/>
          <w:numId w:val="4"/>
        </w:numPr>
        <w:spacing w:after="120"/>
        <w:ind w:left="284" w:right="-142" w:hanging="284"/>
        <w:jc w:val="both"/>
        <w:rPr>
          <w:rFonts w:ascii="Calibri" w:hAnsi="Calibri" w:cs="Calibri"/>
          <w:sz w:val="22"/>
          <w:szCs w:val="22"/>
        </w:rPr>
      </w:pPr>
      <w:r w:rsidRPr="002E2B5B">
        <w:rPr>
          <w:rFonts w:ascii="Calibri" w:hAnsi="Calibri" w:cs="Calibri"/>
          <w:b/>
          <w:sz w:val="22"/>
          <w:szCs w:val="22"/>
        </w:rPr>
        <w:t>Valores a Receber</w:t>
      </w:r>
      <w:r w:rsidR="00E848F6" w:rsidRPr="002E2B5B">
        <w:rPr>
          <w:rFonts w:ascii="Calibri" w:hAnsi="Calibri" w:cs="Calibri"/>
          <w:b/>
          <w:sz w:val="22"/>
          <w:szCs w:val="22"/>
        </w:rPr>
        <w:t xml:space="preserve">  </w:t>
      </w:r>
    </w:p>
    <w:tbl>
      <w:tblPr>
        <w:tblW w:w="5001" w:type="pct"/>
        <w:tblCellMar>
          <w:left w:w="70" w:type="dxa"/>
          <w:right w:w="70" w:type="dxa"/>
        </w:tblCellMar>
        <w:tblLook w:val="04A0" w:firstRow="1" w:lastRow="0" w:firstColumn="1" w:lastColumn="0" w:noHBand="0" w:noVBand="1"/>
      </w:tblPr>
      <w:tblGrid>
        <w:gridCol w:w="4112"/>
        <w:gridCol w:w="436"/>
        <w:gridCol w:w="438"/>
        <w:gridCol w:w="1773"/>
        <w:gridCol w:w="1773"/>
        <w:gridCol w:w="1937"/>
      </w:tblGrid>
      <w:tr w:rsidR="00F82B11" w:rsidRPr="002E2B5B" w14:paraId="0505C96F" w14:textId="77777777" w:rsidTr="000B3A75">
        <w:trPr>
          <w:trHeight w:hRule="exact" w:val="227"/>
        </w:trPr>
        <w:tc>
          <w:tcPr>
            <w:tcW w:w="2381" w:type="pct"/>
            <w:gridSpan w:val="3"/>
            <w:tcBorders>
              <w:top w:val="nil"/>
              <w:left w:val="nil"/>
              <w:bottom w:val="single" w:sz="8" w:space="0" w:color="auto"/>
              <w:right w:val="nil"/>
            </w:tcBorders>
            <w:shd w:val="clear" w:color="auto" w:fill="auto"/>
            <w:noWrap/>
            <w:vAlign w:val="center"/>
            <w:hideMark/>
          </w:tcPr>
          <w:p w14:paraId="652B3ABF" w14:textId="77777777" w:rsidR="00F82B11" w:rsidRPr="002E2B5B" w:rsidRDefault="00F82B11"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VALORES A RECEBER</w:t>
            </w:r>
          </w:p>
        </w:tc>
        <w:tc>
          <w:tcPr>
            <w:tcW w:w="847" w:type="pct"/>
            <w:tcBorders>
              <w:top w:val="nil"/>
              <w:left w:val="nil"/>
              <w:bottom w:val="single" w:sz="8" w:space="0" w:color="auto"/>
              <w:right w:val="nil"/>
            </w:tcBorders>
            <w:shd w:val="clear" w:color="auto" w:fill="auto"/>
            <w:noWrap/>
            <w:vAlign w:val="center"/>
          </w:tcPr>
          <w:p w14:paraId="4679933E" w14:textId="77777777" w:rsidR="00F82B11" w:rsidRPr="002E2B5B" w:rsidRDefault="00F82B11" w:rsidP="00937ED9">
            <w:pPr>
              <w:spacing w:after="120"/>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411293E8" w14:textId="30CAA908" w:rsidR="00F82B11" w:rsidRPr="002E2B5B" w:rsidRDefault="00BC2E03"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3129B7">
              <w:rPr>
                <w:rFonts w:ascii="Calibri" w:hAnsi="Calibri" w:cs="Calibri"/>
                <w:b/>
                <w:bCs/>
                <w:color w:val="000000"/>
                <w:sz w:val="16"/>
                <w:szCs w:val="16"/>
              </w:rPr>
              <w:t>0</w:t>
            </w:r>
            <w:r>
              <w:rPr>
                <w:rFonts w:ascii="Calibri" w:hAnsi="Calibri" w:cs="Calibri"/>
                <w:b/>
                <w:bCs/>
                <w:color w:val="000000"/>
                <w:sz w:val="16"/>
                <w:szCs w:val="16"/>
              </w:rPr>
              <w:t>/</w:t>
            </w:r>
            <w:r w:rsidR="003544D3">
              <w:rPr>
                <w:rFonts w:ascii="Calibri" w:hAnsi="Calibri" w:cs="Calibri"/>
                <w:b/>
                <w:bCs/>
                <w:color w:val="000000"/>
                <w:sz w:val="16"/>
                <w:szCs w:val="16"/>
              </w:rPr>
              <w:t>0</w:t>
            </w:r>
            <w:r w:rsidR="00BD6DFB">
              <w:rPr>
                <w:rFonts w:ascii="Calibri" w:hAnsi="Calibri" w:cs="Calibri"/>
                <w:b/>
                <w:bCs/>
                <w:color w:val="000000"/>
                <w:sz w:val="16"/>
                <w:szCs w:val="16"/>
              </w:rPr>
              <w:t>9</w:t>
            </w:r>
            <w:r w:rsidR="00F82B11" w:rsidRPr="002E2B5B">
              <w:rPr>
                <w:rFonts w:ascii="Calibri" w:hAnsi="Calibri" w:cs="Calibri"/>
                <w:b/>
                <w:bCs/>
                <w:color w:val="000000"/>
                <w:sz w:val="16"/>
                <w:szCs w:val="16"/>
              </w:rPr>
              <w:t>/202</w:t>
            </w:r>
            <w:r w:rsidR="003544D3">
              <w:rPr>
                <w:rFonts w:ascii="Calibri" w:hAnsi="Calibri" w:cs="Calibri"/>
                <w:b/>
                <w:bCs/>
                <w:color w:val="000000"/>
                <w:sz w:val="16"/>
                <w:szCs w:val="16"/>
              </w:rPr>
              <w:t>2</w:t>
            </w:r>
          </w:p>
        </w:tc>
        <w:tc>
          <w:tcPr>
            <w:tcW w:w="925" w:type="pct"/>
            <w:tcBorders>
              <w:top w:val="nil"/>
              <w:left w:val="nil"/>
              <w:bottom w:val="single" w:sz="8" w:space="0" w:color="auto"/>
              <w:right w:val="nil"/>
            </w:tcBorders>
            <w:vAlign w:val="center"/>
          </w:tcPr>
          <w:p w14:paraId="00C0F1B8" w14:textId="6A6A4F62" w:rsidR="00F82B11" w:rsidRPr="002E2B5B" w:rsidRDefault="00F82B11"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C6659">
              <w:rPr>
                <w:rFonts w:ascii="Calibri" w:hAnsi="Calibri" w:cs="Calibri"/>
                <w:b/>
                <w:bCs/>
                <w:color w:val="000000"/>
                <w:sz w:val="16"/>
                <w:szCs w:val="16"/>
              </w:rPr>
              <w:t>2</w:t>
            </w:r>
            <w:r w:rsidR="003544D3">
              <w:rPr>
                <w:rFonts w:ascii="Calibri" w:hAnsi="Calibri" w:cs="Calibri"/>
                <w:b/>
                <w:bCs/>
                <w:color w:val="000000"/>
                <w:sz w:val="16"/>
                <w:szCs w:val="16"/>
              </w:rPr>
              <w:t>1</w:t>
            </w:r>
          </w:p>
        </w:tc>
      </w:tr>
      <w:tr w:rsidR="00F82B11" w:rsidRPr="002E2B5B" w14:paraId="5E7B6336" w14:textId="77777777" w:rsidTr="000B3A75">
        <w:trPr>
          <w:trHeight w:hRule="exact" w:val="227"/>
        </w:trPr>
        <w:tc>
          <w:tcPr>
            <w:tcW w:w="2381" w:type="pct"/>
            <w:gridSpan w:val="3"/>
            <w:tcBorders>
              <w:top w:val="single" w:sz="8" w:space="0" w:color="auto"/>
              <w:left w:val="nil"/>
              <w:bottom w:val="nil"/>
              <w:right w:val="nil"/>
            </w:tcBorders>
            <w:shd w:val="clear" w:color="auto" w:fill="auto"/>
            <w:noWrap/>
            <w:vAlign w:val="center"/>
            <w:hideMark/>
          </w:tcPr>
          <w:p w14:paraId="4A0D5388"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Saldo do exercício anterior</w:t>
            </w:r>
          </w:p>
        </w:tc>
        <w:tc>
          <w:tcPr>
            <w:tcW w:w="847" w:type="pct"/>
            <w:tcBorders>
              <w:top w:val="nil"/>
              <w:left w:val="nil"/>
              <w:bottom w:val="nil"/>
              <w:right w:val="nil"/>
            </w:tcBorders>
            <w:shd w:val="clear" w:color="auto" w:fill="auto"/>
            <w:noWrap/>
            <w:vAlign w:val="center"/>
          </w:tcPr>
          <w:p w14:paraId="7C4A742F" w14:textId="77777777" w:rsidR="00F82B11" w:rsidRPr="002E2B5B" w:rsidRDefault="00F82B11" w:rsidP="00937ED9">
            <w:pPr>
              <w:spacing w:after="120"/>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4F581F9E" w14:textId="6A497EEB" w:rsidR="00F82B11" w:rsidRPr="002E2B5B"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35.147</w:t>
            </w:r>
          </w:p>
        </w:tc>
        <w:tc>
          <w:tcPr>
            <w:tcW w:w="925" w:type="pct"/>
            <w:tcBorders>
              <w:top w:val="nil"/>
              <w:left w:val="nil"/>
              <w:bottom w:val="nil"/>
              <w:right w:val="nil"/>
            </w:tcBorders>
            <w:vAlign w:val="center"/>
          </w:tcPr>
          <w:p w14:paraId="02C1C3A6" w14:textId="1FBA4387" w:rsidR="00F82B11" w:rsidRPr="002E2B5B"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46.043</w:t>
            </w:r>
          </w:p>
        </w:tc>
      </w:tr>
      <w:tr w:rsidR="00F82B11" w:rsidRPr="002E2B5B" w14:paraId="5176AADB" w14:textId="77777777" w:rsidTr="00C34E8D">
        <w:trPr>
          <w:trHeight w:hRule="exact" w:val="227"/>
        </w:trPr>
        <w:tc>
          <w:tcPr>
            <w:tcW w:w="1964" w:type="pct"/>
            <w:tcBorders>
              <w:top w:val="nil"/>
              <w:left w:val="nil"/>
              <w:bottom w:val="nil"/>
              <w:right w:val="nil"/>
            </w:tcBorders>
            <w:shd w:val="clear" w:color="auto" w:fill="auto"/>
            <w:noWrap/>
            <w:vAlign w:val="center"/>
            <w:hideMark/>
          </w:tcPr>
          <w:p w14:paraId="3E99F965"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Ingressos</w:t>
            </w:r>
          </w:p>
        </w:tc>
        <w:tc>
          <w:tcPr>
            <w:tcW w:w="208" w:type="pct"/>
            <w:tcBorders>
              <w:top w:val="nil"/>
              <w:left w:val="nil"/>
              <w:bottom w:val="nil"/>
              <w:right w:val="nil"/>
            </w:tcBorders>
            <w:shd w:val="clear" w:color="auto" w:fill="auto"/>
            <w:noWrap/>
            <w:vAlign w:val="center"/>
            <w:hideMark/>
          </w:tcPr>
          <w:p w14:paraId="34015BF4" w14:textId="77777777" w:rsidR="00F82B11" w:rsidRPr="002E2B5B" w:rsidRDefault="00F82B11" w:rsidP="00937ED9">
            <w:pPr>
              <w:spacing w:after="120"/>
              <w:rPr>
                <w:rFonts w:ascii="Calibri" w:hAnsi="Calibri" w:cs="Calibri"/>
                <w:color w:val="000000"/>
                <w:sz w:val="16"/>
                <w:szCs w:val="16"/>
              </w:rPr>
            </w:pPr>
          </w:p>
        </w:tc>
        <w:tc>
          <w:tcPr>
            <w:tcW w:w="209" w:type="pct"/>
            <w:tcBorders>
              <w:top w:val="nil"/>
              <w:left w:val="nil"/>
              <w:bottom w:val="nil"/>
              <w:right w:val="nil"/>
            </w:tcBorders>
            <w:shd w:val="clear" w:color="auto" w:fill="auto"/>
            <w:noWrap/>
            <w:vAlign w:val="center"/>
            <w:hideMark/>
          </w:tcPr>
          <w:p w14:paraId="33316553" w14:textId="77777777" w:rsidR="00F82B11" w:rsidRPr="002E2B5B" w:rsidRDefault="00F82B11" w:rsidP="00937ED9">
            <w:pPr>
              <w:spacing w:after="120"/>
              <w:jc w:val="right"/>
              <w:rPr>
                <w:rFonts w:ascii="Calibri" w:hAnsi="Calibri" w:cs="Calibri"/>
                <w:sz w:val="16"/>
                <w:szCs w:val="16"/>
              </w:rPr>
            </w:pPr>
          </w:p>
        </w:tc>
        <w:tc>
          <w:tcPr>
            <w:tcW w:w="847" w:type="pct"/>
            <w:tcBorders>
              <w:top w:val="nil"/>
              <w:left w:val="nil"/>
              <w:bottom w:val="nil"/>
              <w:right w:val="nil"/>
            </w:tcBorders>
            <w:vAlign w:val="center"/>
          </w:tcPr>
          <w:p w14:paraId="0908F826" w14:textId="77777777" w:rsidR="00F82B11" w:rsidRPr="002E2B5B" w:rsidRDefault="00F82B11" w:rsidP="00937ED9">
            <w:pPr>
              <w:spacing w:after="120"/>
              <w:jc w:val="right"/>
              <w:rPr>
                <w:rFonts w:ascii="Calibri" w:hAnsi="Calibri" w:cs="Calibri"/>
                <w:color w:val="000000"/>
                <w:sz w:val="16"/>
                <w:szCs w:val="16"/>
              </w:rPr>
            </w:pPr>
          </w:p>
        </w:tc>
        <w:tc>
          <w:tcPr>
            <w:tcW w:w="847" w:type="pct"/>
            <w:tcBorders>
              <w:top w:val="nil"/>
              <w:left w:val="nil"/>
              <w:bottom w:val="nil"/>
              <w:right w:val="nil"/>
            </w:tcBorders>
            <w:shd w:val="clear" w:color="auto" w:fill="auto"/>
            <w:noWrap/>
            <w:vAlign w:val="center"/>
            <w:hideMark/>
          </w:tcPr>
          <w:p w14:paraId="382478DC" w14:textId="77777777"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0</w:t>
            </w:r>
          </w:p>
        </w:tc>
        <w:tc>
          <w:tcPr>
            <w:tcW w:w="925" w:type="pct"/>
            <w:tcBorders>
              <w:top w:val="nil"/>
              <w:left w:val="nil"/>
              <w:bottom w:val="nil"/>
              <w:right w:val="nil"/>
            </w:tcBorders>
            <w:shd w:val="clear" w:color="auto" w:fill="auto"/>
            <w:noWrap/>
            <w:vAlign w:val="center"/>
            <w:hideMark/>
          </w:tcPr>
          <w:p w14:paraId="6A3D6C75" w14:textId="34958432" w:rsidR="00F82B11" w:rsidRPr="002E2B5B" w:rsidRDefault="009C6659"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F82B11" w:rsidRPr="002E2B5B" w14:paraId="5EC220C8" w14:textId="77777777" w:rsidTr="00C34E8D">
        <w:trPr>
          <w:trHeight w:hRule="exact" w:val="227"/>
        </w:trPr>
        <w:tc>
          <w:tcPr>
            <w:tcW w:w="1964" w:type="pct"/>
            <w:tcBorders>
              <w:top w:val="nil"/>
              <w:left w:val="nil"/>
              <w:bottom w:val="single" w:sz="8" w:space="0" w:color="auto"/>
              <w:right w:val="nil"/>
            </w:tcBorders>
            <w:shd w:val="clear" w:color="auto" w:fill="auto"/>
            <w:noWrap/>
            <w:vAlign w:val="center"/>
            <w:hideMark/>
          </w:tcPr>
          <w:p w14:paraId="5085720B"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xml:space="preserve"> Baixas</w:t>
            </w:r>
          </w:p>
        </w:tc>
        <w:tc>
          <w:tcPr>
            <w:tcW w:w="208" w:type="pct"/>
            <w:tcBorders>
              <w:top w:val="nil"/>
              <w:left w:val="nil"/>
              <w:bottom w:val="single" w:sz="8" w:space="0" w:color="auto"/>
              <w:right w:val="nil"/>
            </w:tcBorders>
            <w:shd w:val="clear" w:color="auto" w:fill="auto"/>
            <w:noWrap/>
            <w:vAlign w:val="center"/>
            <w:hideMark/>
          </w:tcPr>
          <w:p w14:paraId="2A74EBB6" w14:textId="77777777"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6283652E" w14:textId="77777777"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5CD7B29" w14:textId="77777777" w:rsidR="00F82B11" w:rsidRPr="002E2B5B" w:rsidRDefault="00F82B11" w:rsidP="00937ED9">
            <w:pPr>
              <w:spacing w:after="120"/>
              <w:jc w:val="right"/>
              <w:rPr>
                <w:rFonts w:ascii="Calibri" w:hAnsi="Calibri" w:cs="Calibri"/>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16FAD1DA" w14:textId="74CAB953" w:rsidR="00F82B11" w:rsidRPr="002E2B5B" w:rsidRDefault="00F82B11"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BD6DFB">
              <w:rPr>
                <w:rFonts w:ascii="Calibri" w:hAnsi="Calibri" w:cs="Calibri"/>
                <w:color w:val="000000"/>
                <w:sz w:val="16"/>
                <w:szCs w:val="16"/>
              </w:rPr>
              <w:t>7.127</w:t>
            </w:r>
            <w:r w:rsidRPr="002E2B5B">
              <w:rPr>
                <w:rFonts w:ascii="Calibri" w:hAnsi="Calibri" w:cs="Calibri"/>
                <w:color w:val="000000"/>
                <w:sz w:val="16"/>
                <w:szCs w:val="16"/>
              </w:rPr>
              <w:t>)</w:t>
            </w:r>
          </w:p>
        </w:tc>
        <w:tc>
          <w:tcPr>
            <w:tcW w:w="925" w:type="pct"/>
            <w:tcBorders>
              <w:top w:val="nil"/>
              <w:left w:val="nil"/>
              <w:bottom w:val="single" w:sz="8" w:space="0" w:color="auto"/>
              <w:right w:val="nil"/>
            </w:tcBorders>
            <w:shd w:val="clear" w:color="auto" w:fill="auto"/>
            <w:noWrap/>
            <w:vAlign w:val="center"/>
            <w:hideMark/>
          </w:tcPr>
          <w:p w14:paraId="2F5158A3" w14:textId="5E8BEAF0" w:rsidR="00F82B11" w:rsidRPr="002E2B5B" w:rsidRDefault="003544D3" w:rsidP="00937ED9">
            <w:pPr>
              <w:spacing w:after="120"/>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10.896</w:t>
            </w:r>
            <w:r w:rsidRPr="002E2B5B">
              <w:rPr>
                <w:rFonts w:ascii="Calibri" w:hAnsi="Calibri" w:cs="Calibri"/>
                <w:color w:val="000000"/>
                <w:sz w:val="16"/>
                <w:szCs w:val="16"/>
              </w:rPr>
              <w:t>)</w:t>
            </w:r>
          </w:p>
        </w:tc>
      </w:tr>
      <w:tr w:rsidR="00F82B11" w:rsidRPr="002E2B5B" w14:paraId="6197C69E" w14:textId="77777777" w:rsidTr="00C34E8D">
        <w:trPr>
          <w:trHeight w:hRule="exact" w:val="227"/>
        </w:trPr>
        <w:tc>
          <w:tcPr>
            <w:tcW w:w="1964" w:type="pct"/>
            <w:tcBorders>
              <w:top w:val="nil"/>
              <w:left w:val="nil"/>
              <w:bottom w:val="single" w:sz="8" w:space="0" w:color="auto"/>
              <w:right w:val="nil"/>
            </w:tcBorders>
            <w:shd w:val="clear" w:color="auto" w:fill="auto"/>
            <w:noWrap/>
            <w:vAlign w:val="center"/>
            <w:hideMark/>
          </w:tcPr>
          <w:p w14:paraId="58708201" w14:textId="77777777" w:rsidR="00F82B11" w:rsidRPr="002E2B5B" w:rsidRDefault="00F82B11"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08" w:type="pct"/>
            <w:tcBorders>
              <w:top w:val="nil"/>
              <w:left w:val="nil"/>
              <w:bottom w:val="single" w:sz="8" w:space="0" w:color="auto"/>
              <w:right w:val="nil"/>
            </w:tcBorders>
            <w:shd w:val="clear" w:color="auto" w:fill="auto"/>
            <w:noWrap/>
            <w:vAlign w:val="center"/>
            <w:hideMark/>
          </w:tcPr>
          <w:p w14:paraId="6F384909"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09" w:type="pct"/>
            <w:tcBorders>
              <w:top w:val="nil"/>
              <w:left w:val="nil"/>
              <w:bottom w:val="single" w:sz="8" w:space="0" w:color="auto"/>
              <w:right w:val="nil"/>
            </w:tcBorders>
            <w:shd w:val="clear" w:color="auto" w:fill="auto"/>
            <w:noWrap/>
            <w:vAlign w:val="center"/>
            <w:hideMark/>
          </w:tcPr>
          <w:p w14:paraId="5D56D4F4" w14:textId="77777777" w:rsidR="00F82B11" w:rsidRPr="002E2B5B" w:rsidRDefault="00F82B11"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847" w:type="pct"/>
            <w:tcBorders>
              <w:top w:val="nil"/>
              <w:left w:val="nil"/>
              <w:bottom w:val="single" w:sz="8" w:space="0" w:color="auto"/>
              <w:right w:val="nil"/>
            </w:tcBorders>
            <w:vAlign w:val="center"/>
          </w:tcPr>
          <w:p w14:paraId="67348A0D" w14:textId="77777777" w:rsidR="00F82B11" w:rsidRPr="002E2B5B" w:rsidRDefault="00F82B11" w:rsidP="00937ED9">
            <w:pPr>
              <w:spacing w:after="120"/>
              <w:jc w:val="right"/>
              <w:rPr>
                <w:rFonts w:ascii="Calibri" w:hAnsi="Calibri" w:cs="Calibri"/>
                <w:b/>
                <w:bCs/>
                <w:color w:val="000000"/>
                <w:sz w:val="16"/>
                <w:szCs w:val="16"/>
              </w:rPr>
            </w:pPr>
          </w:p>
        </w:tc>
        <w:tc>
          <w:tcPr>
            <w:tcW w:w="847" w:type="pct"/>
            <w:tcBorders>
              <w:top w:val="nil"/>
              <w:left w:val="nil"/>
              <w:bottom w:val="single" w:sz="8" w:space="0" w:color="auto"/>
              <w:right w:val="nil"/>
            </w:tcBorders>
            <w:shd w:val="clear" w:color="auto" w:fill="auto"/>
            <w:noWrap/>
            <w:vAlign w:val="center"/>
            <w:hideMark/>
          </w:tcPr>
          <w:p w14:paraId="65A106C3" w14:textId="30D4F4D7" w:rsidR="00F82B11" w:rsidRPr="002E2B5B" w:rsidRDefault="00BD6DFB" w:rsidP="00937ED9">
            <w:pPr>
              <w:spacing w:after="120"/>
              <w:jc w:val="right"/>
              <w:rPr>
                <w:rFonts w:ascii="Calibri" w:hAnsi="Calibri" w:cs="Calibri"/>
                <w:b/>
                <w:bCs/>
                <w:color w:val="000000"/>
                <w:sz w:val="16"/>
                <w:szCs w:val="16"/>
              </w:rPr>
            </w:pPr>
            <w:r>
              <w:rPr>
                <w:rFonts w:ascii="Calibri" w:hAnsi="Calibri" w:cs="Calibri"/>
                <w:b/>
                <w:bCs/>
                <w:color w:val="000000"/>
                <w:sz w:val="16"/>
                <w:szCs w:val="16"/>
              </w:rPr>
              <w:t>28.020</w:t>
            </w:r>
          </w:p>
        </w:tc>
        <w:tc>
          <w:tcPr>
            <w:tcW w:w="925" w:type="pct"/>
            <w:tcBorders>
              <w:top w:val="nil"/>
              <w:left w:val="nil"/>
              <w:bottom w:val="single" w:sz="8" w:space="0" w:color="auto"/>
              <w:right w:val="nil"/>
            </w:tcBorders>
            <w:shd w:val="clear" w:color="auto" w:fill="auto"/>
            <w:noWrap/>
            <w:vAlign w:val="center"/>
            <w:hideMark/>
          </w:tcPr>
          <w:p w14:paraId="6D8D5236" w14:textId="0C21BCEF" w:rsidR="00F82B11" w:rsidRPr="002E2B5B" w:rsidRDefault="003544D3" w:rsidP="00937ED9">
            <w:pPr>
              <w:spacing w:after="120"/>
              <w:jc w:val="right"/>
              <w:rPr>
                <w:rFonts w:ascii="Calibri" w:hAnsi="Calibri" w:cs="Calibri"/>
                <w:b/>
                <w:bCs/>
                <w:color w:val="000000"/>
                <w:sz w:val="16"/>
                <w:szCs w:val="16"/>
              </w:rPr>
            </w:pPr>
            <w:r>
              <w:rPr>
                <w:rFonts w:ascii="Calibri" w:hAnsi="Calibri" w:cs="Calibri"/>
                <w:b/>
                <w:bCs/>
                <w:color w:val="000000"/>
                <w:sz w:val="16"/>
                <w:szCs w:val="16"/>
              </w:rPr>
              <w:t>35.147</w:t>
            </w:r>
          </w:p>
        </w:tc>
      </w:tr>
    </w:tbl>
    <w:p w14:paraId="4DCAE695" w14:textId="2CA48443" w:rsidR="007449DE" w:rsidRDefault="00833C55" w:rsidP="000B3A75">
      <w:pPr>
        <w:spacing w:before="120" w:after="120"/>
        <w:jc w:val="both"/>
        <w:rPr>
          <w:rFonts w:ascii="Calibri" w:hAnsi="Calibri" w:cs="Calibri"/>
          <w:sz w:val="22"/>
          <w:szCs w:val="22"/>
        </w:rPr>
      </w:pPr>
      <w:r w:rsidRPr="002E2B5B">
        <w:rPr>
          <w:rFonts w:ascii="Calibri" w:hAnsi="Calibri" w:cs="Calibri"/>
          <w:sz w:val="22"/>
          <w:szCs w:val="22"/>
        </w:rPr>
        <w:t xml:space="preserve">O saldo de R$ </w:t>
      </w:r>
      <w:r w:rsidR="00C766AD">
        <w:rPr>
          <w:rFonts w:ascii="Calibri" w:hAnsi="Calibri" w:cs="Calibri"/>
          <w:sz w:val="22"/>
          <w:szCs w:val="22"/>
        </w:rPr>
        <w:t>28,02</w:t>
      </w:r>
      <w:r w:rsidR="008619B2">
        <w:rPr>
          <w:rFonts w:ascii="Calibri" w:hAnsi="Calibri" w:cs="Calibri"/>
          <w:sz w:val="22"/>
          <w:szCs w:val="22"/>
        </w:rPr>
        <w:t xml:space="preserve"> mil</w:t>
      </w:r>
      <w:r w:rsidR="004B6CEF" w:rsidRPr="002E2B5B">
        <w:rPr>
          <w:rFonts w:ascii="Calibri" w:hAnsi="Calibri" w:cs="Calibri"/>
          <w:sz w:val="22"/>
          <w:szCs w:val="22"/>
        </w:rPr>
        <w:t xml:space="preserve"> </w:t>
      </w:r>
      <w:r w:rsidRPr="002E2B5B">
        <w:rPr>
          <w:rFonts w:ascii="Calibri" w:hAnsi="Calibri" w:cs="Calibri"/>
          <w:sz w:val="22"/>
          <w:szCs w:val="22"/>
        </w:rPr>
        <w:t xml:space="preserve">abrange </w:t>
      </w:r>
      <w:r w:rsidR="002A17DE">
        <w:rPr>
          <w:rFonts w:ascii="Calibri" w:hAnsi="Calibri" w:cs="Calibri"/>
          <w:sz w:val="22"/>
          <w:szCs w:val="22"/>
        </w:rPr>
        <w:t>adiantamentos</w:t>
      </w:r>
      <w:r w:rsidRPr="002E2B5B">
        <w:rPr>
          <w:rFonts w:ascii="Calibri" w:hAnsi="Calibri" w:cs="Calibri"/>
          <w:sz w:val="22"/>
          <w:szCs w:val="22"/>
        </w:rPr>
        <w:t xml:space="preserve"> com despesas médicas </w:t>
      </w:r>
      <w:r w:rsidR="002A17DE">
        <w:rPr>
          <w:rFonts w:ascii="Calibri" w:hAnsi="Calibri" w:cs="Calibri"/>
          <w:sz w:val="22"/>
          <w:szCs w:val="22"/>
        </w:rPr>
        <w:t>a</w:t>
      </w:r>
      <w:r w:rsidRPr="002E2B5B">
        <w:rPr>
          <w:rFonts w:ascii="Calibri" w:hAnsi="Calibri" w:cs="Calibri"/>
          <w:sz w:val="22"/>
          <w:szCs w:val="22"/>
        </w:rPr>
        <w:t xml:space="preserve">os empregados da extinta Empresa Brasileira de Planejamento de Transportes – GEIPOT transferidos para a </w:t>
      </w:r>
      <w:r w:rsidR="00E11BEF">
        <w:rPr>
          <w:rFonts w:ascii="Calibri" w:hAnsi="Calibri" w:cs="Calibri"/>
          <w:sz w:val="22"/>
          <w:szCs w:val="22"/>
        </w:rPr>
        <w:t>Infra</w:t>
      </w:r>
      <w:r w:rsidR="00C766AD">
        <w:rPr>
          <w:rFonts w:ascii="Calibri" w:hAnsi="Calibri" w:cs="Calibri"/>
          <w:sz w:val="22"/>
          <w:szCs w:val="22"/>
        </w:rPr>
        <w:t xml:space="preserve"> S.A</w:t>
      </w:r>
      <w:r w:rsidR="0046500A" w:rsidRPr="002E2B5B">
        <w:rPr>
          <w:rFonts w:ascii="Calibri" w:hAnsi="Calibri" w:cs="Calibri"/>
          <w:sz w:val="22"/>
          <w:szCs w:val="22"/>
        </w:rPr>
        <w:t>. O</w:t>
      </w:r>
      <w:r w:rsidRPr="002E2B5B">
        <w:rPr>
          <w:rFonts w:ascii="Calibri" w:hAnsi="Calibri" w:cs="Calibri"/>
          <w:sz w:val="22"/>
          <w:szCs w:val="22"/>
        </w:rPr>
        <w:t>s descontos desses valores são efetuados mensalmente na Folha de Pagamento dos colaboradores.</w:t>
      </w:r>
      <w:r w:rsidR="00EF021B" w:rsidRPr="002E2B5B">
        <w:rPr>
          <w:rFonts w:ascii="Calibri" w:hAnsi="Calibri" w:cs="Calibri"/>
          <w:sz w:val="22"/>
          <w:szCs w:val="22"/>
        </w:rPr>
        <w:t xml:space="preserve"> </w:t>
      </w:r>
    </w:p>
    <w:p w14:paraId="086F5CAF" w14:textId="77A83433" w:rsidR="00A3162E" w:rsidRPr="00A3162E" w:rsidRDefault="00D22F5E" w:rsidP="00A3162E">
      <w:pPr>
        <w:spacing w:after="120"/>
        <w:rPr>
          <w:rFonts w:ascii="Calibri" w:hAnsi="Calibri" w:cs="Calibri"/>
          <w:b/>
          <w:sz w:val="22"/>
          <w:szCs w:val="22"/>
        </w:rPr>
      </w:pPr>
      <w:r w:rsidRPr="002E2B5B">
        <w:rPr>
          <w:rFonts w:ascii="Calibri" w:hAnsi="Calibri" w:cs="Calibri"/>
          <w:b/>
          <w:sz w:val="22"/>
          <w:szCs w:val="22"/>
        </w:rPr>
        <w:t xml:space="preserve">NOTA </w:t>
      </w:r>
      <w:r w:rsidR="00C766AD">
        <w:rPr>
          <w:rFonts w:ascii="Calibri" w:hAnsi="Calibri" w:cs="Calibri"/>
          <w:b/>
          <w:sz w:val="22"/>
          <w:szCs w:val="22"/>
        </w:rPr>
        <w:t>7</w:t>
      </w:r>
      <w:r w:rsidR="00596575" w:rsidRPr="002E2B5B">
        <w:rPr>
          <w:rFonts w:ascii="Calibri" w:hAnsi="Calibri" w:cs="Calibri"/>
          <w:b/>
          <w:sz w:val="22"/>
          <w:szCs w:val="22"/>
        </w:rPr>
        <w:t xml:space="preserve"> – </w:t>
      </w:r>
      <w:r w:rsidR="00FA2255" w:rsidRPr="002E2B5B">
        <w:rPr>
          <w:rFonts w:ascii="Calibri" w:hAnsi="Calibri" w:cs="Calibri"/>
          <w:b/>
          <w:sz w:val="22"/>
          <w:szCs w:val="22"/>
        </w:rPr>
        <w:t>PERMISSÕES PARA</w:t>
      </w:r>
      <w:r w:rsidR="00251A3C" w:rsidRPr="002E2B5B">
        <w:rPr>
          <w:rFonts w:ascii="Calibri" w:hAnsi="Calibri" w:cs="Calibri"/>
          <w:b/>
          <w:sz w:val="22"/>
          <w:szCs w:val="22"/>
        </w:rPr>
        <w:t xml:space="preserve"> USO</w:t>
      </w:r>
      <w:r w:rsidR="00596575" w:rsidRPr="002E2B5B">
        <w:rPr>
          <w:rFonts w:ascii="Calibri" w:hAnsi="Calibri" w:cs="Calibri"/>
          <w:b/>
          <w:sz w:val="22"/>
          <w:szCs w:val="22"/>
        </w:rPr>
        <w:t xml:space="preserve"> DE PÁTIOS </w:t>
      </w:r>
    </w:p>
    <w:tbl>
      <w:tblPr>
        <w:tblpPr w:leftFromText="141" w:rightFromText="141" w:vertAnchor="text" w:horzAnchor="margin" w:tblpY="1380"/>
        <w:tblW w:w="5000" w:type="pct"/>
        <w:tblCellMar>
          <w:left w:w="70" w:type="dxa"/>
          <w:right w:w="70" w:type="dxa"/>
        </w:tblCellMar>
        <w:tblLook w:val="04A0" w:firstRow="1" w:lastRow="0" w:firstColumn="1" w:lastColumn="0" w:noHBand="0" w:noVBand="1"/>
      </w:tblPr>
      <w:tblGrid>
        <w:gridCol w:w="5550"/>
        <w:gridCol w:w="264"/>
        <w:gridCol w:w="1017"/>
        <w:gridCol w:w="1019"/>
        <w:gridCol w:w="1271"/>
        <w:gridCol w:w="1346"/>
      </w:tblGrid>
      <w:tr w:rsidR="00A3162E" w:rsidRPr="00A3162E" w14:paraId="36FC6C16" w14:textId="77777777" w:rsidTr="00683B08">
        <w:trPr>
          <w:trHeight w:hRule="exact" w:val="227"/>
        </w:trPr>
        <w:tc>
          <w:tcPr>
            <w:tcW w:w="2777" w:type="pct"/>
            <w:gridSpan w:val="2"/>
            <w:tcBorders>
              <w:left w:val="nil"/>
              <w:bottom w:val="single" w:sz="8" w:space="0" w:color="auto"/>
              <w:right w:val="nil"/>
            </w:tcBorders>
            <w:shd w:val="clear" w:color="auto" w:fill="auto"/>
            <w:noWrap/>
            <w:vAlign w:val="center"/>
            <w:hideMark/>
          </w:tcPr>
          <w:p w14:paraId="7150EE21" w14:textId="77777777" w:rsidR="00A3162E" w:rsidRPr="00A3162E" w:rsidRDefault="00A3162E" w:rsidP="00A3162E">
            <w:pPr>
              <w:spacing w:after="120"/>
              <w:rPr>
                <w:rFonts w:ascii="Calibri" w:hAnsi="Calibri" w:cs="Calibri"/>
                <w:b/>
                <w:bCs/>
                <w:color w:val="000000"/>
                <w:sz w:val="16"/>
                <w:szCs w:val="16"/>
              </w:rPr>
            </w:pPr>
            <w:r w:rsidRPr="00A3162E">
              <w:rPr>
                <w:rFonts w:ascii="Calibri" w:hAnsi="Calibri" w:cs="Calibri"/>
                <w:b/>
                <w:bCs/>
                <w:color w:val="000000"/>
                <w:sz w:val="16"/>
                <w:szCs w:val="16"/>
              </w:rPr>
              <w:t>SALDO DE CONTRATOS POR PERMISSÃO A RECEBER</w:t>
            </w:r>
          </w:p>
        </w:tc>
        <w:tc>
          <w:tcPr>
            <w:tcW w:w="486" w:type="pct"/>
            <w:tcBorders>
              <w:top w:val="nil"/>
              <w:left w:val="nil"/>
              <w:bottom w:val="single" w:sz="8" w:space="0" w:color="auto"/>
              <w:right w:val="nil"/>
            </w:tcBorders>
            <w:shd w:val="clear" w:color="auto" w:fill="auto"/>
            <w:noWrap/>
            <w:vAlign w:val="center"/>
            <w:hideMark/>
          </w:tcPr>
          <w:p w14:paraId="48CC5755" w14:textId="77777777" w:rsidR="00A3162E" w:rsidRPr="00A3162E" w:rsidRDefault="00A3162E" w:rsidP="00A3162E">
            <w:pPr>
              <w:spacing w:after="120"/>
              <w:rPr>
                <w:rFonts w:ascii="Calibri" w:hAnsi="Calibri" w:cs="Calibri"/>
                <w:color w:val="000000"/>
                <w:sz w:val="16"/>
                <w:szCs w:val="16"/>
              </w:rPr>
            </w:pPr>
            <w:r w:rsidRPr="00A3162E">
              <w:rPr>
                <w:rFonts w:ascii="Calibri" w:hAnsi="Calibri" w:cs="Calibri"/>
                <w:color w:val="000000"/>
                <w:sz w:val="16"/>
                <w:szCs w:val="16"/>
              </w:rPr>
              <w:t> </w:t>
            </w:r>
          </w:p>
        </w:tc>
        <w:tc>
          <w:tcPr>
            <w:tcW w:w="487" w:type="pct"/>
            <w:tcBorders>
              <w:top w:val="nil"/>
              <w:left w:val="nil"/>
              <w:bottom w:val="single" w:sz="8" w:space="0" w:color="auto"/>
              <w:right w:val="nil"/>
            </w:tcBorders>
            <w:shd w:val="clear" w:color="auto" w:fill="auto"/>
            <w:noWrap/>
            <w:vAlign w:val="center"/>
            <w:hideMark/>
          </w:tcPr>
          <w:p w14:paraId="623F2EB8" w14:textId="77777777" w:rsidR="00A3162E" w:rsidRPr="00A3162E" w:rsidRDefault="00A3162E" w:rsidP="00A3162E">
            <w:pPr>
              <w:spacing w:after="120"/>
              <w:jc w:val="right"/>
              <w:rPr>
                <w:rFonts w:ascii="Calibri" w:hAnsi="Calibri" w:cs="Calibri"/>
                <w:b/>
                <w:bCs/>
                <w:color w:val="000000"/>
                <w:sz w:val="16"/>
                <w:szCs w:val="16"/>
              </w:rPr>
            </w:pPr>
            <w:r w:rsidRPr="00A3162E">
              <w:rPr>
                <w:rFonts w:ascii="Calibri" w:hAnsi="Calibri" w:cs="Calibri"/>
                <w:b/>
                <w:bCs/>
                <w:color w:val="000000"/>
                <w:sz w:val="16"/>
                <w:szCs w:val="16"/>
              </w:rPr>
              <w:t> </w:t>
            </w:r>
          </w:p>
        </w:tc>
        <w:tc>
          <w:tcPr>
            <w:tcW w:w="607" w:type="pct"/>
            <w:tcBorders>
              <w:top w:val="nil"/>
              <w:left w:val="nil"/>
              <w:bottom w:val="single" w:sz="8" w:space="0" w:color="auto"/>
              <w:right w:val="nil"/>
            </w:tcBorders>
            <w:shd w:val="clear" w:color="auto" w:fill="auto"/>
            <w:noWrap/>
            <w:vAlign w:val="center"/>
            <w:hideMark/>
          </w:tcPr>
          <w:p w14:paraId="2CF036B1" w14:textId="77777777" w:rsidR="00A3162E" w:rsidRPr="00A3162E" w:rsidRDefault="00A3162E" w:rsidP="00A3162E">
            <w:pPr>
              <w:spacing w:after="120"/>
              <w:jc w:val="right"/>
              <w:rPr>
                <w:rFonts w:ascii="Calibri" w:hAnsi="Calibri" w:cs="Calibri"/>
                <w:b/>
                <w:bCs/>
                <w:color w:val="000000"/>
                <w:sz w:val="16"/>
                <w:szCs w:val="16"/>
              </w:rPr>
            </w:pPr>
            <w:r w:rsidRPr="00A3162E">
              <w:rPr>
                <w:rFonts w:ascii="Calibri" w:hAnsi="Calibri" w:cs="Calibri"/>
                <w:b/>
                <w:bCs/>
                <w:color w:val="000000"/>
                <w:sz w:val="16"/>
                <w:szCs w:val="16"/>
              </w:rPr>
              <w:t>30/09/2022</w:t>
            </w:r>
          </w:p>
        </w:tc>
        <w:tc>
          <w:tcPr>
            <w:tcW w:w="643" w:type="pct"/>
            <w:tcBorders>
              <w:top w:val="nil"/>
              <w:left w:val="nil"/>
              <w:bottom w:val="single" w:sz="8" w:space="0" w:color="auto"/>
              <w:right w:val="nil"/>
            </w:tcBorders>
            <w:shd w:val="clear" w:color="auto" w:fill="auto"/>
            <w:noWrap/>
            <w:vAlign w:val="center"/>
            <w:hideMark/>
          </w:tcPr>
          <w:p w14:paraId="166EE2B8" w14:textId="77777777" w:rsidR="00A3162E" w:rsidRPr="00A3162E" w:rsidRDefault="00A3162E" w:rsidP="00A3162E">
            <w:pPr>
              <w:spacing w:after="120"/>
              <w:jc w:val="right"/>
              <w:rPr>
                <w:rFonts w:ascii="Calibri" w:hAnsi="Calibri" w:cs="Calibri"/>
                <w:b/>
                <w:bCs/>
                <w:color w:val="000000"/>
                <w:sz w:val="16"/>
                <w:szCs w:val="16"/>
              </w:rPr>
            </w:pPr>
            <w:r w:rsidRPr="00A3162E">
              <w:rPr>
                <w:rFonts w:ascii="Calibri" w:hAnsi="Calibri" w:cs="Calibri"/>
                <w:b/>
                <w:bCs/>
                <w:color w:val="000000"/>
                <w:sz w:val="16"/>
                <w:szCs w:val="16"/>
              </w:rPr>
              <w:t>31/12/2021</w:t>
            </w:r>
          </w:p>
        </w:tc>
      </w:tr>
      <w:tr w:rsidR="00A3162E" w:rsidRPr="00A3162E" w14:paraId="1546D645" w14:textId="77777777" w:rsidTr="00A3162E">
        <w:trPr>
          <w:trHeight w:hRule="exact" w:val="227"/>
        </w:trPr>
        <w:tc>
          <w:tcPr>
            <w:tcW w:w="2651" w:type="pct"/>
            <w:tcBorders>
              <w:top w:val="nil"/>
              <w:left w:val="nil"/>
              <w:bottom w:val="nil"/>
              <w:right w:val="nil"/>
            </w:tcBorders>
            <w:shd w:val="clear" w:color="auto" w:fill="auto"/>
            <w:noWrap/>
            <w:vAlign w:val="center"/>
            <w:hideMark/>
          </w:tcPr>
          <w:p w14:paraId="0CCB4729" w14:textId="77777777" w:rsidR="00A3162E" w:rsidRPr="00A3162E" w:rsidRDefault="00A3162E" w:rsidP="00A3162E">
            <w:pPr>
              <w:spacing w:after="120"/>
              <w:rPr>
                <w:rFonts w:ascii="Calibri" w:hAnsi="Calibri" w:cs="Calibri"/>
                <w:color w:val="000000"/>
                <w:sz w:val="16"/>
                <w:szCs w:val="16"/>
              </w:rPr>
            </w:pPr>
            <w:r w:rsidRPr="00A3162E">
              <w:rPr>
                <w:rFonts w:ascii="Calibri" w:hAnsi="Calibri" w:cs="Calibri"/>
                <w:color w:val="000000"/>
                <w:sz w:val="16"/>
                <w:szCs w:val="16"/>
              </w:rPr>
              <w:t>Porto Seco Centro Oeste S.A. 13/2016</w:t>
            </w:r>
          </w:p>
        </w:tc>
        <w:tc>
          <w:tcPr>
            <w:tcW w:w="126" w:type="pct"/>
            <w:tcBorders>
              <w:top w:val="nil"/>
              <w:left w:val="nil"/>
              <w:bottom w:val="nil"/>
              <w:right w:val="nil"/>
            </w:tcBorders>
            <w:shd w:val="clear" w:color="auto" w:fill="auto"/>
            <w:noWrap/>
            <w:vAlign w:val="center"/>
            <w:hideMark/>
          </w:tcPr>
          <w:p w14:paraId="6D75A817" w14:textId="77777777" w:rsidR="00A3162E" w:rsidRPr="00A3162E" w:rsidRDefault="00A3162E" w:rsidP="00A3162E">
            <w:pPr>
              <w:spacing w:after="120"/>
              <w:rPr>
                <w:rFonts w:ascii="Calibri" w:hAnsi="Calibri" w:cs="Calibri"/>
                <w:color w:val="000000"/>
                <w:sz w:val="16"/>
                <w:szCs w:val="16"/>
              </w:rPr>
            </w:pPr>
          </w:p>
        </w:tc>
        <w:tc>
          <w:tcPr>
            <w:tcW w:w="486" w:type="pct"/>
            <w:tcBorders>
              <w:top w:val="nil"/>
              <w:left w:val="nil"/>
              <w:bottom w:val="nil"/>
              <w:right w:val="nil"/>
            </w:tcBorders>
            <w:shd w:val="clear" w:color="auto" w:fill="auto"/>
            <w:noWrap/>
            <w:vAlign w:val="center"/>
            <w:hideMark/>
          </w:tcPr>
          <w:p w14:paraId="55BE5D09" w14:textId="77777777" w:rsidR="00A3162E" w:rsidRPr="00A3162E" w:rsidRDefault="00A3162E" w:rsidP="00A3162E">
            <w:pPr>
              <w:spacing w:after="120"/>
              <w:rPr>
                <w:sz w:val="20"/>
                <w:szCs w:val="20"/>
              </w:rPr>
            </w:pPr>
          </w:p>
        </w:tc>
        <w:tc>
          <w:tcPr>
            <w:tcW w:w="487" w:type="pct"/>
            <w:tcBorders>
              <w:top w:val="nil"/>
              <w:left w:val="nil"/>
              <w:bottom w:val="nil"/>
              <w:right w:val="nil"/>
            </w:tcBorders>
            <w:shd w:val="clear" w:color="auto" w:fill="auto"/>
            <w:noWrap/>
            <w:vAlign w:val="center"/>
            <w:hideMark/>
          </w:tcPr>
          <w:p w14:paraId="030404A8" w14:textId="77777777" w:rsidR="00A3162E" w:rsidRPr="00A3162E" w:rsidRDefault="00A3162E" w:rsidP="00A3162E">
            <w:pPr>
              <w:spacing w:after="120"/>
              <w:rPr>
                <w:sz w:val="20"/>
                <w:szCs w:val="20"/>
              </w:rPr>
            </w:pPr>
          </w:p>
        </w:tc>
        <w:tc>
          <w:tcPr>
            <w:tcW w:w="607" w:type="pct"/>
            <w:tcBorders>
              <w:top w:val="nil"/>
              <w:left w:val="nil"/>
              <w:bottom w:val="nil"/>
              <w:right w:val="nil"/>
            </w:tcBorders>
            <w:shd w:val="clear" w:color="auto" w:fill="auto"/>
            <w:noWrap/>
            <w:vAlign w:val="center"/>
            <w:hideMark/>
          </w:tcPr>
          <w:p w14:paraId="4C33411A" w14:textId="77777777" w:rsidR="00A3162E" w:rsidRPr="00A3162E" w:rsidRDefault="00A3162E" w:rsidP="00A3162E">
            <w:pPr>
              <w:spacing w:after="120"/>
              <w:jc w:val="right"/>
              <w:rPr>
                <w:rFonts w:ascii="Calibri" w:hAnsi="Calibri" w:cs="Calibri"/>
                <w:color w:val="000000"/>
                <w:sz w:val="16"/>
                <w:szCs w:val="16"/>
              </w:rPr>
            </w:pPr>
            <w:r w:rsidRPr="00A3162E">
              <w:rPr>
                <w:rFonts w:ascii="Calibri" w:hAnsi="Calibri" w:cs="Calibri"/>
                <w:color w:val="000000"/>
                <w:sz w:val="16"/>
                <w:szCs w:val="16"/>
              </w:rPr>
              <w:t>14.973.957</w:t>
            </w:r>
          </w:p>
        </w:tc>
        <w:tc>
          <w:tcPr>
            <w:tcW w:w="643" w:type="pct"/>
            <w:tcBorders>
              <w:top w:val="nil"/>
              <w:left w:val="nil"/>
              <w:bottom w:val="nil"/>
              <w:right w:val="nil"/>
            </w:tcBorders>
            <w:shd w:val="clear" w:color="auto" w:fill="auto"/>
            <w:noWrap/>
            <w:vAlign w:val="center"/>
            <w:hideMark/>
          </w:tcPr>
          <w:p w14:paraId="65555265" w14:textId="77777777" w:rsidR="00A3162E" w:rsidRPr="00A3162E" w:rsidRDefault="00A3162E" w:rsidP="00A3162E">
            <w:pPr>
              <w:spacing w:after="120"/>
              <w:jc w:val="right"/>
              <w:rPr>
                <w:rFonts w:ascii="Calibri" w:hAnsi="Calibri" w:cs="Calibri"/>
                <w:color w:val="000000"/>
                <w:sz w:val="16"/>
                <w:szCs w:val="16"/>
              </w:rPr>
            </w:pPr>
            <w:r w:rsidRPr="00A3162E">
              <w:rPr>
                <w:rFonts w:ascii="Calibri" w:hAnsi="Calibri" w:cs="Calibri"/>
                <w:color w:val="000000"/>
                <w:sz w:val="16"/>
                <w:szCs w:val="16"/>
              </w:rPr>
              <w:t>14.416.397</w:t>
            </w:r>
          </w:p>
        </w:tc>
      </w:tr>
      <w:tr w:rsidR="00A3162E" w:rsidRPr="00A3162E" w14:paraId="0EDE486B" w14:textId="77777777" w:rsidTr="00A3162E">
        <w:trPr>
          <w:trHeight w:hRule="exact" w:val="227"/>
        </w:trPr>
        <w:tc>
          <w:tcPr>
            <w:tcW w:w="2651" w:type="pct"/>
            <w:tcBorders>
              <w:top w:val="nil"/>
              <w:left w:val="nil"/>
              <w:bottom w:val="nil"/>
              <w:right w:val="nil"/>
            </w:tcBorders>
            <w:shd w:val="clear" w:color="auto" w:fill="auto"/>
            <w:noWrap/>
            <w:vAlign w:val="center"/>
          </w:tcPr>
          <w:p w14:paraId="5996C5EB" w14:textId="77777777" w:rsidR="00A3162E" w:rsidRPr="00A3162E" w:rsidRDefault="00A3162E" w:rsidP="00A3162E">
            <w:pPr>
              <w:spacing w:after="120"/>
              <w:rPr>
                <w:rFonts w:ascii="Calibri" w:hAnsi="Calibri" w:cs="Calibri"/>
                <w:color w:val="000000"/>
                <w:sz w:val="16"/>
                <w:szCs w:val="16"/>
              </w:rPr>
            </w:pPr>
            <w:r w:rsidRPr="00A3162E">
              <w:rPr>
                <w:rFonts w:ascii="Calibri" w:hAnsi="Calibri" w:cs="Calibri"/>
                <w:color w:val="000000"/>
                <w:sz w:val="16"/>
                <w:szCs w:val="16"/>
              </w:rPr>
              <w:t>TDC - Distribuidora de Combustíveis S.A. 01/2016</w:t>
            </w:r>
          </w:p>
        </w:tc>
        <w:tc>
          <w:tcPr>
            <w:tcW w:w="126" w:type="pct"/>
            <w:tcBorders>
              <w:top w:val="nil"/>
              <w:left w:val="nil"/>
              <w:bottom w:val="nil"/>
              <w:right w:val="nil"/>
            </w:tcBorders>
            <w:shd w:val="clear" w:color="auto" w:fill="auto"/>
            <w:noWrap/>
            <w:vAlign w:val="center"/>
          </w:tcPr>
          <w:p w14:paraId="0833B2B3" w14:textId="77777777" w:rsidR="00A3162E" w:rsidRPr="00A3162E" w:rsidRDefault="00A3162E" w:rsidP="00A3162E">
            <w:pPr>
              <w:spacing w:after="120"/>
              <w:rPr>
                <w:rFonts w:ascii="Calibri" w:hAnsi="Calibri" w:cs="Calibri"/>
                <w:color w:val="000000"/>
                <w:sz w:val="16"/>
                <w:szCs w:val="16"/>
              </w:rPr>
            </w:pPr>
            <w:r w:rsidRPr="00A3162E">
              <w:rPr>
                <w:rFonts w:ascii="Calibri" w:hAnsi="Calibri" w:cs="Calibri"/>
                <w:color w:val="000000"/>
                <w:sz w:val="16"/>
                <w:szCs w:val="16"/>
              </w:rPr>
              <w:t> </w:t>
            </w:r>
          </w:p>
        </w:tc>
        <w:tc>
          <w:tcPr>
            <w:tcW w:w="486" w:type="pct"/>
            <w:tcBorders>
              <w:top w:val="nil"/>
              <w:left w:val="nil"/>
              <w:bottom w:val="nil"/>
              <w:right w:val="nil"/>
            </w:tcBorders>
            <w:shd w:val="clear" w:color="auto" w:fill="auto"/>
            <w:noWrap/>
            <w:vAlign w:val="center"/>
          </w:tcPr>
          <w:p w14:paraId="425B26D6" w14:textId="77777777" w:rsidR="00A3162E" w:rsidRPr="00A3162E" w:rsidRDefault="00A3162E" w:rsidP="00A3162E">
            <w:pPr>
              <w:spacing w:after="120"/>
              <w:rPr>
                <w:sz w:val="20"/>
                <w:szCs w:val="20"/>
              </w:rPr>
            </w:pPr>
            <w:r w:rsidRPr="00A3162E">
              <w:rPr>
                <w:rFonts w:ascii="Calibri" w:hAnsi="Calibri" w:cs="Calibri"/>
                <w:color w:val="000000"/>
                <w:sz w:val="16"/>
                <w:szCs w:val="16"/>
              </w:rPr>
              <w:t> </w:t>
            </w:r>
          </w:p>
        </w:tc>
        <w:tc>
          <w:tcPr>
            <w:tcW w:w="487" w:type="pct"/>
            <w:tcBorders>
              <w:top w:val="nil"/>
              <w:left w:val="nil"/>
              <w:bottom w:val="nil"/>
              <w:right w:val="nil"/>
            </w:tcBorders>
            <w:shd w:val="clear" w:color="auto" w:fill="auto"/>
            <w:noWrap/>
            <w:vAlign w:val="center"/>
          </w:tcPr>
          <w:p w14:paraId="3DEDC738" w14:textId="77777777" w:rsidR="00A3162E" w:rsidRPr="00A3162E" w:rsidRDefault="00A3162E" w:rsidP="00A3162E">
            <w:pPr>
              <w:spacing w:after="120"/>
              <w:rPr>
                <w:sz w:val="20"/>
                <w:szCs w:val="20"/>
              </w:rPr>
            </w:pPr>
            <w:r w:rsidRPr="00A3162E">
              <w:rPr>
                <w:rFonts w:ascii="Calibri" w:hAnsi="Calibri" w:cs="Calibri"/>
                <w:b/>
                <w:bCs/>
                <w:color w:val="000000"/>
                <w:sz w:val="16"/>
                <w:szCs w:val="16"/>
              </w:rPr>
              <w:t> </w:t>
            </w:r>
          </w:p>
        </w:tc>
        <w:tc>
          <w:tcPr>
            <w:tcW w:w="607" w:type="pct"/>
            <w:tcBorders>
              <w:top w:val="nil"/>
              <w:left w:val="nil"/>
              <w:bottom w:val="nil"/>
              <w:right w:val="nil"/>
            </w:tcBorders>
            <w:shd w:val="clear" w:color="auto" w:fill="auto"/>
            <w:noWrap/>
            <w:vAlign w:val="center"/>
          </w:tcPr>
          <w:p w14:paraId="66008343" w14:textId="77777777" w:rsidR="00A3162E" w:rsidRPr="00A3162E" w:rsidRDefault="00A3162E" w:rsidP="00A3162E">
            <w:pPr>
              <w:spacing w:after="120"/>
              <w:jc w:val="right"/>
              <w:rPr>
                <w:rFonts w:ascii="Calibri" w:hAnsi="Calibri" w:cs="Calibri"/>
                <w:color w:val="000000"/>
                <w:sz w:val="16"/>
                <w:szCs w:val="16"/>
              </w:rPr>
            </w:pPr>
            <w:r w:rsidRPr="00A3162E">
              <w:rPr>
                <w:rFonts w:ascii="Calibri" w:hAnsi="Calibri" w:cs="Calibri"/>
                <w:color w:val="000000"/>
                <w:sz w:val="16"/>
                <w:szCs w:val="16"/>
              </w:rPr>
              <w:t>15.296.712</w:t>
            </w:r>
          </w:p>
        </w:tc>
        <w:tc>
          <w:tcPr>
            <w:tcW w:w="643" w:type="pct"/>
            <w:tcBorders>
              <w:top w:val="nil"/>
              <w:left w:val="nil"/>
              <w:bottom w:val="nil"/>
              <w:right w:val="nil"/>
            </w:tcBorders>
            <w:shd w:val="clear" w:color="auto" w:fill="auto"/>
            <w:noWrap/>
            <w:vAlign w:val="center"/>
          </w:tcPr>
          <w:p w14:paraId="3CB88BF7" w14:textId="77777777" w:rsidR="00A3162E" w:rsidRPr="00A3162E" w:rsidRDefault="00A3162E" w:rsidP="00A3162E">
            <w:pPr>
              <w:spacing w:after="120"/>
              <w:jc w:val="right"/>
              <w:rPr>
                <w:rFonts w:ascii="Calibri" w:hAnsi="Calibri" w:cs="Calibri"/>
                <w:color w:val="000000"/>
                <w:sz w:val="16"/>
                <w:szCs w:val="16"/>
              </w:rPr>
            </w:pPr>
            <w:r w:rsidRPr="00A3162E">
              <w:rPr>
                <w:rFonts w:ascii="Calibri" w:hAnsi="Calibri" w:cs="Calibri"/>
                <w:color w:val="000000"/>
                <w:sz w:val="16"/>
                <w:szCs w:val="16"/>
              </w:rPr>
              <w:t>14.720.247</w:t>
            </w:r>
          </w:p>
        </w:tc>
      </w:tr>
      <w:tr w:rsidR="00A3162E" w:rsidRPr="00A3162E" w14:paraId="74E20E17" w14:textId="77777777" w:rsidTr="00A3162E">
        <w:trPr>
          <w:trHeight w:hRule="exact" w:val="227"/>
        </w:trPr>
        <w:tc>
          <w:tcPr>
            <w:tcW w:w="2651" w:type="pct"/>
            <w:tcBorders>
              <w:top w:val="nil"/>
              <w:left w:val="nil"/>
              <w:right w:val="nil"/>
            </w:tcBorders>
            <w:shd w:val="clear" w:color="auto" w:fill="auto"/>
            <w:noWrap/>
            <w:vAlign w:val="center"/>
            <w:hideMark/>
          </w:tcPr>
          <w:p w14:paraId="008CE181" w14:textId="77777777" w:rsidR="00A3162E" w:rsidRPr="00A3162E" w:rsidRDefault="00A3162E" w:rsidP="00A3162E">
            <w:pPr>
              <w:spacing w:after="120"/>
              <w:rPr>
                <w:rFonts w:ascii="Calibri" w:hAnsi="Calibri" w:cs="Calibri"/>
                <w:color w:val="000000"/>
                <w:sz w:val="16"/>
                <w:szCs w:val="16"/>
              </w:rPr>
            </w:pPr>
            <w:r w:rsidRPr="00A3162E">
              <w:rPr>
                <w:rFonts w:ascii="Calibri" w:hAnsi="Calibri" w:cs="Calibri"/>
                <w:color w:val="000000"/>
                <w:sz w:val="16"/>
                <w:szCs w:val="16"/>
              </w:rPr>
              <w:t>Terminal VLI Porto Franco S.A. 19/2021</w:t>
            </w:r>
          </w:p>
        </w:tc>
        <w:tc>
          <w:tcPr>
            <w:tcW w:w="126" w:type="pct"/>
            <w:tcBorders>
              <w:top w:val="nil"/>
              <w:left w:val="nil"/>
              <w:right w:val="nil"/>
            </w:tcBorders>
            <w:shd w:val="clear" w:color="auto" w:fill="auto"/>
            <w:noWrap/>
            <w:vAlign w:val="center"/>
            <w:hideMark/>
          </w:tcPr>
          <w:p w14:paraId="37B3C0EB" w14:textId="77777777" w:rsidR="00A3162E" w:rsidRPr="00A3162E" w:rsidRDefault="00A3162E" w:rsidP="00A3162E">
            <w:pPr>
              <w:spacing w:after="120"/>
              <w:rPr>
                <w:rFonts w:ascii="Calibri" w:hAnsi="Calibri" w:cs="Calibri"/>
                <w:color w:val="000000"/>
                <w:sz w:val="16"/>
                <w:szCs w:val="16"/>
              </w:rPr>
            </w:pPr>
            <w:r w:rsidRPr="00A3162E">
              <w:rPr>
                <w:rFonts w:ascii="Calibri" w:hAnsi="Calibri" w:cs="Calibri"/>
                <w:color w:val="000000"/>
                <w:sz w:val="16"/>
                <w:szCs w:val="16"/>
              </w:rPr>
              <w:t> </w:t>
            </w:r>
          </w:p>
        </w:tc>
        <w:tc>
          <w:tcPr>
            <w:tcW w:w="486" w:type="pct"/>
            <w:tcBorders>
              <w:top w:val="nil"/>
              <w:left w:val="nil"/>
              <w:right w:val="nil"/>
            </w:tcBorders>
            <w:shd w:val="clear" w:color="auto" w:fill="auto"/>
            <w:noWrap/>
            <w:vAlign w:val="center"/>
            <w:hideMark/>
          </w:tcPr>
          <w:p w14:paraId="05FCD3EA" w14:textId="77777777" w:rsidR="00A3162E" w:rsidRPr="00A3162E" w:rsidRDefault="00A3162E" w:rsidP="00A3162E">
            <w:pPr>
              <w:spacing w:after="120"/>
              <w:rPr>
                <w:rFonts w:ascii="Calibri" w:hAnsi="Calibri" w:cs="Calibri"/>
                <w:color w:val="000000"/>
                <w:sz w:val="16"/>
                <w:szCs w:val="16"/>
              </w:rPr>
            </w:pPr>
            <w:r w:rsidRPr="00A3162E">
              <w:rPr>
                <w:rFonts w:ascii="Calibri" w:hAnsi="Calibri" w:cs="Calibri"/>
                <w:color w:val="000000"/>
                <w:sz w:val="16"/>
                <w:szCs w:val="16"/>
              </w:rPr>
              <w:t> </w:t>
            </w:r>
          </w:p>
        </w:tc>
        <w:tc>
          <w:tcPr>
            <w:tcW w:w="487" w:type="pct"/>
            <w:tcBorders>
              <w:top w:val="nil"/>
              <w:left w:val="nil"/>
              <w:right w:val="nil"/>
            </w:tcBorders>
            <w:shd w:val="clear" w:color="auto" w:fill="auto"/>
            <w:noWrap/>
            <w:vAlign w:val="center"/>
            <w:hideMark/>
          </w:tcPr>
          <w:p w14:paraId="4F5A5D19" w14:textId="77777777" w:rsidR="00A3162E" w:rsidRPr="00A3162E" w:rsidRDefault="00A3162E" w:rsidP="00A3162E">
            <w:pPr>
              <w:spacing w:after="120"/>
              <w:jc w:val="right"/>
              <w:rPr>
                <w:rFonts w:ascii="Calibri" w:hAnsi="Calibri" w:cs="Calibri"/>
                <w:b/>
                <w:bCs/>
                <w:color w:val="000000"/>
                <w:sz w:val="16"/>
                <w:szCs w:val="16"/>
              </w:rPr>
            </w:pPr>
            <w:r w:rsidRPr="00A3162E">
              <w:rPr>
                <w:rFonts w:ascii="Calibri" w:hAnsi="Calibri" w:cs="Calibri"/>
                <w:b/>
                <w:bCs/>
                <w:color w:val="000000"/>
                <w:sz w:val="16"/>
                <w:szCs w:val="16"/>
              </w:rPr>
              <w:t> </w:t>
            </w:r>
          </w:p>
        </w:tc>
        <w:tc>
          <w:tcPr>
            <w:tcW w:w="607" w:type="pct"/>
            <w:tcBorders>
              <w:top w:val="nil"/>
              <w:left w:val="nil"/>
              <w:right w:val="nil"/>
            </w:tcBorders>
            <w:shd w:val="clear" w:color="auto" w:fill="auto"/>
            <w:noWrap/>
            <w:vAlign w:val="center"/>
            <w:hideMark/>
          </w:tcPr>
          <w:p w14:paraId="58B25E8C" w14:textId="77777777" w:rsidR="00A3162E" w:rsidRPr="00A3162E" w:rsidRDefault="00A3162E" w:rsidP="00A3162E">
            <w:pPr>
              <w:spacing w:after="120"/>
              <w:jc w:val="right"/>
              <w:rPr>
                <w:rFonts w:ascii="Calibri" w:hAnsi="Calibri" w:cs="Calibri"/>
                <w:color w:val="000000"/>
                <w:sz w:val="16"/>
                <w:szCs w:val="16"/>
              </w:rPr>
            </w:pPr>
            <w:r w:rsidRPr="00A3162E">
              <w:rPr>
                <w:rFonts w:ascii="Calibri" w:hAnsi="Calibri" w:cs="Calibri"/>
                <w:color w:val="000000"/>
                <w:sz w:val="16"/>
                <w:szCs w:val="16"/>
              </w:rPr>
              <w:t>13.865.040</w:t>
            </w:r>
          </w:p>
        </w:tc>
        <w:tc>
          <w:tcPr>
            <w:tcW w:w="643" w:type="pct"/>
            <w:tcBorders>
              <w:top w:val="nil"/>
              <w:left w:val="nil"/>
              <w:right w:val="nil"/>
            </w:tcBorders>
            <w:shd w:val="clear" w:color="auto" w:fill="auto"/>
            <w:noWrap/>
            <w:vAlign w:val="center"/>
            <w:hideMark/>
          </w:tcPr>
          <w:p w14:paraId="4DE2123A" w14:textId="77777777" w:rsidR="00A3162E" w:rsidRPr="00A3162E" w:rsidRDefault="00A3162E" w:rsidP="00A3162E">
            <w:pPr>
              <w:spacing w:after="120"/>
              <w:jc w:val="right"/>
              <w:rPr>
                <w:rFonts w:ascii="Calibri" w:hAnsi="Calibri" w:cs="Calibri"/>
                <w:color w:val="000000"/>
                <w:sz w:val="16"/>
                <w:szCs w:val="16"/>
              </w:rPr>
            </w:pPr>
            <w:r w:rsidRPr="00A3162E">
              <w:rPr>
                <w:rFonts w:ascii="Calibri" w:hAnsi="Calibri" w:cs="Calibri"/>
                <w:color w:val="000000"/>
                <w:sz w:val="16"/>
                <w:szCs w:val="16"/>
              </w:rPr>
              <w:t>14.120.510</w:t>
            </w:r>
          </w:p>
        </w:tc>
      </w:tr>
      <w:tr w:rsidR="00A3162E" w:rsidRPr="00A3162E" w14:paraId="1ADC4478" w14:textId="77777777" w:rsidTr="00A3162E">
        <w:trPr>
          <w:trHeight w:hRule="exact" w:val="227"/>
        </w:trPr>
        <w:tc>
          <w:tcPr>
            <w:tcW w:w="2651" w:type="pct"/>
            <w:tcBorders>
              <w:top w:val="nil"/>
              <w:left w:val="nil"/>
              <w:bottom w:val="single" w:sz="8" w:space="0" w:color="auto"/>
              <w:right w:val="nil"/>
            </w:tcBorders>
            <w:shd w:val="clear" w:color="auto" w:fill="auto"/>
            <w:noWrap/>
            <w:vAlign w:val="center"/>
          </w:tcPr>
          <w:p w14:paraId="1F436C16" w14:textId="77777777" w:rsidR="00A3162E" w:rsidRPr="00A3162E" w:rsidRDefault="00A3162E" w:rsidP="00A3162E">
            <w:pPr>
              <w:spacing w:after="120"/>
              <w:rPr>
                <w:rFonts w:ascii="Calibri" w:hAnsi="Calibri" w:cs="Calibri"/>
                <w:color w:val="000000"/>
                <w:sz w:val="16"/>
                <w:szCs w:val="16"/>
              </w:rPr>
            </w:pPr>
            <w:r w:rsidRPr="00A3162E">
              <w:rPr>
                <w:rFonts w:ascii="Calibri" w:hAnsi="Calibri" w:cs="Calibri"/>
                <w:color w:val="000000"/>
                <w:sz w:val="16"/>
                <w:szCs w:val="16"/>
              </w:rPr>
              <w:t>MIL - Modal de Integração e Logística SPE S/A - 01/2022</w:t>
            </w:r>
          </w:p>
        </w:tc>
        <w:tc>
          <w:tcPr>
            <w:tcW w:w="126" w:type="pct"/>
            <w:tcBorders>
              <w:top w:val="nil"/>
              <w:left w:val="nil"/>
              <w:bottom w:val="single" w:sz="8" w:space="0" w:color="auto"/>
              <w:right w:val="nil"/>
            </w:tcBorders>
            <w:shd w:val="clear" w:color="auto" w:fill="auto"/>
            <w:noWrap/>
            <w:vAlign w:val="center"/>
          </w:tcPr>
          <w:p w14:paraId="789658D6" w14:textId="77777777" w:rsidR="00A3162E" w:rsidRPr="00A3162E" w:rsidRDefault="00A3162E" w:rsidP="00A3162E">
            <w:pPr>
              <w:spacing w:after="120"/>
              <w:rPr>
                <w:rFonts w:ascii="Calibri" w:hAnsi="Calibri" w:cs="Calibri"/>
                <w:color w:val="000000"/>
                <w:sz w:val="16"/>
                <w:szCs w:val="16"/>
              </w:rPr>
            </w:pPr>
          </w:p>
        </w:tc>
        <w:tc>
          <w:tcPr>
            <w:tcW w:w="486" w:type="pct"/>
            <w:tcBorders>
              <w:top w:val="nil"/>
              <w:left w:val="nil"/>
              <w:bottom w:val="single" w:sz="8" w:space="0" w:color="auto"/>
              <w:right w:val="nil"/>
            </w:tcBorders>
            <w:shd w:val="clear" w:color="auto" w:fill="auto"/>
            <w:noWrap/>
            <w:vAlign w:val="center"/>
          </w:tcPr>
          <w:p w14:paraId="3ADB0992" w14:textId="77777777" w:rsidR="00A3162E" w:rsidRPr="00A3162E" w:rsidRDefault="00A3162E" w:rsidP="00A3162E">
            <w:pPr>
              <w:spacing w:after="120"/>
              <w:rPr>
                <w:rFonts w:ascii="Calibri" w:hAnsi="Calibri" w:cs="Calibri"/>
                <w:color w:val="000000"/>
                <w:sz w:val="16"/>
                <w:szCs w:val="16"/>
              </w:rPr>
            </w:pPr>
          </w:p>
        </w:tc>
        <w:tc>
          <w:tcPr>
            <w:tcW w:w="487" w:type="pct"/>
            <w:tcBorders>
              <w:top w:val="nil"/>
              <w:left w:val="nil"/>
              <w:bottom w:val="single" w:sz="8" w:space="0" w:color="auto"/>
              <w:right w:val="nil"/>
            </w:tcBorders>
            <w:shd w:val="clear" w:color="auto" w:fill="auto"/>
            <w:noWrap/>
            <w:vAlign w:val="center"/>
          </w:tcPr>
          <w:p w14:paraId="000AFB63" w14:textId="77777777" w:rsidR="00A3162E" w:rsidRPr="00A3162E" w:rsidRDefault="00A3162E" w:rsidP="00A3162E">
            <w:pPr>
              <w:spacing w:after="120"/>
              <w:jc w:val="right"/>
              <w:rPr>
                <w:rFonts w:ascii="Calibri" w:hAnsi="Calibri" w:cs="Calibri"/>
                <w:b/>
                <w:bCs/>
                <w:color w:val="000000"/>
                <w:sz w:val="16"/>
                <w:szCs w:val="16"/>
              </w:rPr>
            </w:pPr>
          </w:p>
        </w:tc>
        <w:tc>
          <w:tcPr>
            <w:tcW w:w="607" w:type="pct"/>
            <w:tcBorders>
              <w:top w:val="nil"/>
              <w:left w:val="nil"/>
              <w:bottom w:val="single" w:sz="8" w:space="0" w:color="auto"/>
              <w:right w:val="nil"/>
            </w:tcBorders>
            <w:shd w:val="clear" w:color="auto" w:fill="auto"/>
            <w:noWrap/>
            <w:vAlign w:val="center"/>
          </w:tcPr>
          <w:p w14:paraId="405AB42C" w14:textId="77777777" w:rsidR="00A3162E" w:rsidRPr="00A3162E" w:rsidRDefault="00A3162E" w:rsidP="00A3162E">
            <w:pPr>
              <w:spacing w:after="120"/>
              <w:jc w:val="right"/>
              <w:rPr>
                <w:rFonts w:ascii="Calibri" w:hAnsi="Calibri" w:cs="Calibri"/>
                <w:color w:val="000000"/>
                <w:sz w:val="16"/>
                <w:szCs w:val="16"/>
              </w:rPr>
            </w:pPr>
            <w:r w:rsidRPr="00A3162E">
              <w:rPr>
                <w:rFonts w:ascii="Calibri" w:hAnsi="Calibri" w:cs="Calibri"/>
                <w:color w:val="000000"/>
                <w:sz w:val="16"/>
                <w:szCs w:val="16"/>
              </w:rPr>
              <w:t>9.291.427</w:t>
            </w:r>
          </w:p>
        </w:tc>
        <w:tc>
          <w:tcPr>
            <w:tcW w:w="643" w:type="pct"/>
            <w:tcBorders>
              <w:top w:val="nil"/>
              <w:left w:val="nil"/>
              <w:bottom w:val="single" w:sz="8" w:space="0" w:color="auto"/>
              <w:right w:val="nil"/>
            </w:tcBorders>
            <w:shd w:val="clear" w:color="auto" w:fill="auto"/>
            <w:noWrap/>
            <w:vAlign w:val="center"/>
          </w:tcPr>
          <w:p w14:paraId="72BEC018" w14:textId="77777777" w:rsidR="00A3162E" w:rsidRPr="00A3162E" w:rsidRDefault="00A3162E" w:rsidP="00A3162E">
            <w:pPr>
              <w:spacing w:after="120"/>
              <w:jc w:val="right"/>
              <w:rPr>
                <w:rFonts w:ascii="Calibri" w:hAnsi="Calibri" w:cs="Calibri"/>
                <w:color w:val="000000"/>
                <w:sz w:val="16"/>
                <w:szCs w:val="16"/>
              </w:rPr>
            </w:pPr>
            <w:r w:rsidRPr="00A3162E">
              <w:rPr>
                <w:rFonts w:ascii="Calibri" w:hAnsi="Calibri" w:cs="Calibri"/>
                <w:color w:val="000000"/>
                <w:sz w:val="16"/>
                <w:szCs w:val="16"/>
              </w:rPr>
              <w:t>0</w:t>
            </w:r>
          </w:p>
        </w:tc>
      </w:tr>
      <w:tr w:rsidR="00A3162E" w:rsidRPr="00A3162E" w14:paraId="3D32B545" w14:textId="77777777" w:rsidTr="00A3162E">
        <w:trPr>
          <w:trHeight w:hRule="exact" w:val="227"/>
        </w:trPr>
        <w:tc>
          <w:tcPr>
            <w:tcW w:w="2651" w:type="pct"/>
            <w:tcBorders>
              <w:top w:val="nil"/>
              <w:left w:val="nil"/>
              <w:bottom w:val="single" w:sz="8" w:space="0" w:color="auto"/>
              <w:right w:val="nil"/>
            </w:tcBorders>
            <w:shd w:val="clear" w:color="auto" w:fill="auto"/>
            <w:noWrap/>
            <w:vAlign w:val="center"/>
            <w:hideMark/>
          </w:tcPr>
          <w:p w14:paraId="0F3B6ADE" w14:textId="77777777" w:rsidR="00A3162E" w:rsidRPr="00A3162E" w:rsidRDefault="00A3162E" w:rsidP="00A3162E">
            <w:pPr>
              <w:spacing w:after="120"/>
              <w:rPr>
                <w:rFonts w:ascii="Calibri" w:hAnsi="Calibri" w:cs="Calibri"/>
                <w:b/>
                <w:bCs/>
                <w:color w:val="000000"/>
                <w:sz w:val="16"/>
                <w:szCs w:val="16"/>
              </w:rPr>
            </w:pPr>
            <w:r w:rsidRPr="00A3162E">
              <w:rPr>
                <w:rFonts w:ascii="Calibri" w:hAnsi="Calibri" w:cs="Calibri"/>
                <w:b/>
                <w:bCs/>
                <w:color w:val="000000"/>
                <w:sz w:val="16"/>
                <w:szCs w:val="16"/>
              </w:rPr>
              <w:t>TOTAL</w:t>
            </w:r>
          </w:p>
        </w:tc>
        <w:tc>
          <w:tcPr>
            <w:tcW w:w="126" w:type="pct"/>
            <w:tcBorders>
              <w:top w:val="nil"/>
              <w:left w:val="nil"/>
              <w:bottom w:val="single" w:sz="8" w:space="0" w:color="auto"/>
              <w:right w:val="nil"/>
            </w:tcBorders>
            <w:shd w:val="clear" w:color="auto" w:fill="auto"/>
            <w:noWrap/>
            <w:vAlign w:val="center"/>
            <w:hideMark/>
          </w:tcPr>
          <w:p w14:paraId="757F6DC2" w14:textId="77777777" w:rsidR="00A3162E" w:rsidRPr="00A3162E" w:rsidRDefault="00A3162E" w:rsidP="00A3162E">
            <w:pPr>
              <w:spacing w:after="120"/>
              <w:rPr>
                <w:rFonts w:ascii="Calibri" w:hAnsi="Calibri" w:cs="Calibri"/>
                <w:color w:val="000000"/>
                <w:sz w:val="16"/>
                <w:szCs w:val="16"/>
              </w:rPr>
            </w:pPr>
            <w:r w:rsidRPr="00A3162E">
              <w:rPr>
                <w:rFonts w:ascii="Calibri" w:hAnsi="Calibri" w:cs="Calibri"/>
                <w:color w:val="000000"/>
                <w:sz w:val="16"/>
                <w:szCs w:val="16"/>
              </w:rPr>
              <w:t> </w:t>
            </w:r>
          </w:p>
        </w:tc>
        <w:tc>
          <w:tcPr>
            <w:tcW w:w="486" w:type="pct"/>
            <w:tcBorders>
              <w:top w:val="nil"/>
              <w:left w:val="nil"/>
              <w:bottom w:val="single" w:sz="8" w:space="0" w:color="auto"/>
              <w:right w:val="nil"/>
            </w:tcBorders>
            <w:shd w:val="clear" w:color="auto" w:fill="auto"/>
            <w:noWrap/>
            <w:vAlign w:val="center"/>
            <w:hideMark/>
          </w:tcPr>
          <w:p w14:paraId="34A2A4A3" w14:textId="77777777" w:rsidR="00A3162E" w:rsidRPr="00A3162E" w:rsidRDefault="00A3162E" w:rsidP="00A3162E">
            <w:pPr>
              <w:spacing w:after="120"/>
              <w:rPr>
                <w:rFonts w:ascii="Calibri" w:hAnsi="Calibri" w:cs="Calibri"/>
                <w:color w:val="000000"/>
                <w:sz w:val="16"/>
                <w:szCs w:val="16"/>
              </w:rPr>
            </w:pPr>
            <w:r w:rsidRPr="00A3162E">
              <w:rPr>
                <w:rFonts w:ascii="Calibri" w:hAnsi="Calibri" w:cs="Calibri"/>
                <w:color w:val="000000"/>
                <w:sz w:val="16"/>
                <w:szCs w:val="16"/>
              </w:rPr>
              <w:t> </w:t>
            </w:r>
          </w:p>
        </w:tc>
        <w:tc>
          <w:tcPr>
            <w:tcW w:w="487" w:type="pct"/>
            <w:tcBorders>
              <w:top w:val="nil"/>
              <w:left w:val="nil"/>
              <w:bottom w:val="single" w:sz="8" w:space="0" w:color="auto"/>
              <w:right w:val="nil"/>
            </w:tcBorders>
            <w:shd w:val="clear" w:color="auto" w:fill="auto"/>
            <w:noWrap/>
            <w:vAlign w:val="center"/>
            <w:hideMark/>
          </w:tcPr>
          <w:p w14:paraId="5E92D01D" w14:textId="77777777" w:rsidR="00A3162E" w:rsidRPr="00A3162E" w:rsidRDefault="00A3162E" w:rsidP="00A3162E">
            <w:pPr>
              <w:spacing w:after="120"/>
              <w:jc w:val="right"/>
              <w:rPr>
                <w:rFonts w:ascii="Calibri" w:hAnsi="Calibri" w:cs="Calibri"/>
                <w:b/>
                <w:bCs/>
                <w:color w:val="000000"/>
                <w:sz w:val="16"/>
                <w:szCs w:val="16"/>
              </w:rPr>
            </w:pPr>
            <w:r w:rsidRPr="00A3162E">
              <w:rPr>
                <w:rFonts w:ascii="Calibri" w:hAnsi="Calibri" w:cs="Calibri"/>
                <w:b/>
                <w:bCs/>
                <w:color w:val="000000"/>
                <w:sz w:val="16"/>
                <w:szCs w:val="16"/>
              </w:rPr>
              <w:t> </w:t>
            </w:r>
          </w:p>
        </w:tc>
        <w:tc>
          <w:tcPr>
            <w:tcW w:w="607" w:type="pct"/>
            <w:tcBorders>
              <w:top w:val="nil"/>
              <w:left w:val="nil"/>
              <w:bottom w:val="single" w:sz="8" w:space="0" w:color="auto"/>
              <w:right w:val="nil"/>
            </w:tcBorders>
            <w:shd w:val="clear" w:color="auto" w:fill="auto"/>
            <w:noWrap/>
            <w:vAlign w:val="center"/>
            <w:hideMark/>
          </w:tcPr>
          <w:p w14:paraId="4146CCA4" w14:textId="77777777" w:rsidR="00A3162E" w:rsidRPr="00A3162E" w:rsidRDefault="00A3162E" w:rsidP="00A3162E">
            <w:pPr>
              <w:spacing w:after="120"/>
              <w:jc w:val="right"/>
              <w:rPr>
                <w:rFonts w:ascii="Calibri" w:hAnsi="Calibri" w:cs="Calibri"/>
                <w:b/>
                <w:bCs/>
                <w:color w:val="000000"/>
                <w:sz w:val="16"/>
                <w:szCs w:val="16"/>
              </w:rPr>
            </w:pPr>
            <w:r w:rsidRPr="00A3162E">
              <w:rPr>
                <w:rFonts w:ascii="Calibri" w:hAnsi="Calibri" w:cs="Calibri"/>
                <w:b/>
                <w:bCs/>
                <w:color w:val="000000"/>
                <w:sz w:val="16"/>
                <w:szCs w:val="16"/>
              </w:rPr>
              <w:t>53.427.136</w:t>
            </w:r>
          </w:p>
        </w:tc>
        <w:tc>
          <w:tcPr>
            <w:tcW w:w="643" w:type="pct"/>
            <w:tcBorders>
              <w:top w:val="nil"/>
              <w:left w:val="nil"/>
              <w:bottom w:val="single" w:sz="8" w:space="0" w:color="auto"/>
              <w:right w:val="nil"/>
            </w:tcBorders>
            <w:shd w:val="clear" w:color="auto" w:fill="auto"/>
            <w:noWrap/>
            <w:vAlign w:val="center"/>
            <w:hideMark/>
          </w:tcPr>
          <w:p w14:paraId="54257CD4" w14:textId="77777777" w:rsidR="00A3162E" w:rsidRPr="00A3162E" w:rsidRDefault="00A3162E" w:rsidP="00A3162E">
            <w:pPr>
              <w:spacing w:after="120"/>
              <w:jc w:val="right"/>
              <w:rPr>
                <w:rFonts w:ascii="Calibri" w:hAnsi="Calibri" w:cs="Calibri"/>
                <w:b/>
                <w:bCs/>
                <w:color w:val="000000"/>
                <w:sz w:val="16"/>
                <w:szCs w:val="16"/>
              </w:rPr>
            </w:pPr>
            <w:r w:rsidRPr="00A3162E">
              <w:rPr>
                <w:rFonts w:ascii="Calibri" w:hAnsi="Calibri" w:cs="Calibri"/>
                <w:b/>
                <w:bCs/>
                <w:color w:val="000000"/>
                <w:sz w:val="16"/>
                <w:szCs w:val="16"/>
              </w:rPr>
              <w:t>43.257.154</w:t>
            </w:r>
          </w:p>
        </w:tc>
      </w:tr>
    </w:tbl>
    <w:p w14:paraId="6FD60DE1" w14:textId="687FC32C" w:rsidR="008F5B96" w:rsidRPr="002E2B5B" w:rsidRDefault="003278F1" w:rsidP="00937ED9">
      <w:pPr>
        <w:spacing w:after="120"/>
        <w:jc w:val="both"/>
        <w:rPr>
          <w:rFonts w:ascii="Calibri" w:hAnsi="Calibri" w:cs="Calibri"/>
          <w:sz w:val="22"/>
          <w:szCs w:val="22"/>
        </w:rPr>
      </w:pPr>
      <w:r w:rsidRPr="002E2B5B">
        <w:rPr>
          <w:rFonts w:ascii="Calibri" w:hAnsi="Calibri" w:cs="Calibri"/>
          <w:sz w:val="22"/>
          <w:szCs w:val="22"/>
        </w:rPr>
        <w:t xml:space="preserve">Para fomentar o transporte ferroviário, a </w:t>
      </w:r>
      <w:r w:rsidR="00E11BEF">
        <w:rPr>
          <w:rFonts w:ascii="Calibri" w:hAnsi="Calibri" w:cs="Calibri"/>
          <w:sz w:val="22"/>
          <w:szCs w:val="22"/>
        </w:rPr>
        <w:t>Infra</w:t>
      </w:r>
      <w:r w:rsidR="00C766AD">
        <w:rPr>
          <w:rFonts w:ascii="Calibri" w:hAnsi="Calibri" w:cs="Calibri"/>
          <w:sz w:val="22"/>
          <w:szCs w:val="22"/>
        </w:rPr>
        <w:t xml:space="preserve"> S.A.</w:t>
      </w:r>
      <w:r w:rsidRPr="002E2B5B">
        <w:rPr>
          <w:rFonts w:ascii="Calibri" w:hAnsi="Calibri" w:cs="Calibri"/>
          <w:sz w:val="22"/>
          <w:szCs w:val="22"/>
        </w:rPr>
        <w:t xml:space="preserve"> outorga por meio de Contratos de Permissão de Uso, Pátios de Integração Multimodal, por prazo não inferior a 15 anos.  A</w:t>
      </w:r>
      <w:r w:rsidR="0046500A" w:rsidRPr="002E2B5B">
        <w:rPr>
          <w:rFonts w:ascii="Calibri" w:hAnsi="Calibri" w:cs="Calibri"/>
          <w:sz w:val="22"/>
          <w:szCs w:val="22"/>
        </w:rPr>
        <w:t>s</w:t>
      </w:r>
      <w:r w:rsidRPr="002E2B5B">
        <w:rPr>
          <w:rFonts w:ascii="Calibri" w:hAnsi="Calibri" w:cs="Calibri"/>
          <w:sz w:val="22"/>
          <w:szCs w:val="22"/>
        </w:rPr>
        <w:t xml:space="preserve"> receitas provindas dessas permissões são consideradas receitas operacionais diferidas pelo prazo </w:t>
      </w:r>
      <w:r w:rsidR="001A3D8C" w:rsidRPr="002E2B5B">
        <w:rPr>
          <w:rFonts w:ascii="Calibri" w:hAnsi="Calibri" w:cs="Calibri"/>
          <w:sz w:val="22"/>
          <w:szCs w:val="22"/>
        </w:rPr>
        <w:t>do contrato</w:t>
      </w:r>
      <w:r w:rsidRPr="002E2B5B">
        <w:rPr>
          <w:rFonts w:ascii="Calibri" w:hAnsi="Calibri" w:cs="Calibri"/>
          <w:sz w:val="22"/>
          <w:szCs w:val="22"/>
        </w:rPr>
        <w:t xml:space="preserve"> e o recebimento é parcelado conforme acordo contratual</w:t>
      </w:r>
      <w:r w:rsidR="0046500A" w:rsidRPr="002E2B5B">
        <w:rPr>
          <w:rFonts w:ascii="Calibri" w:hAnsi="Calibri" w:cs="Calibri"/>
          <w:sz w:val="22"/>
          <w:szCs w:val="22"/>
        </w:rPr>
        <w:t>. O</w:t>
      </w:r>
      <w:r w:rsidRPr="002E2B5B">
        <w:rPr>
          <w:rFonts w:ascii="Calibri" w:hAnsi="Calibri" w:cs="Calibri"/>
          <w:sz w:val="22"/>
          <w:szCs w:val="22"/>
        </w:rPr>
        <w:t>s saldos dos recursos a receber de curto e longo prazo referentes à Permissão para Uso de Pátios</w:t>
      </w:r>
      <w:r w:rsidR="001A3D8C" w:rsidRPr="002E2B5B">
        <w:rPr>
          <w:rFonts w:ascii="Calibri" w:hAnsi="Calibri" w:cs="Calibri"/>
          <w:sz w:val="22"/>
          <w:szCs w:val="22"/>
        </w:rPr>
        <w:t>,</w:t>
      </w:r>
      <w:r w:rsidRPr="002E2B5B">
        <w:rPr>
          <w:rFonts w:ascii="Calibri" w:hAnsi="Calibri" w:cs="Calibri"/>
          <w:sz w:val="22"/>
          <w:szCs w:val="22"/>
        </w:rPr>
        <w:t xml:space="preserve"> em </w:t>
      </w:r>
      <w:r w:rsidR="005B257C">
        <w:rPr>
          <w:rFonts w:ascii="Calibri" w:hAnsi="Calibri" w:cs="Calibri"/>
          <w:sz w:val="22"/>
          <w:szCs w:val="22"/>
        </w:rPr>
        <w:t>3</w:t>
      </w:r>
      <w:r w:rsidR="00374B12">
        <w:rPr>
          <w:rFonts w:ascii="Calibri" w:hAnsi="Calibri" w:cs="Calibri"/>
          <w:sz w:val="22"/>
          <w:szCs w:val="22"/>
        </w:rPr>
        <w:t>0</w:t>
      </w:r>
      <w:r w:rsidR="00A10351" w:rsidRPr="002E2B5B">
        <w:rPr>
          <w:rFonts w:ascii="Calibri" w:hAnsi="Calibri" w:cs="Calibri"/>
          <w:sz w:val="22"/>
          <w:szCs w:val="22"/>
        </w:rPr>
        <w:t xml:space="preserve"> de </w:t>
      </w:r>
      <w:r w:rsidR="00C766AD">
        <w:rPr>
          <w:rFonts w:ascii="Calibri" w:hAnsi="Calibri" w:cs="Calibri"/>
          <w:sz w:val="22"/>
          <w:szCs w:val="22"/>
        </w:rPr>
        <w:t>setembr</w:t>
      </w:r>
      <w:r w:rsidR="003544D3">
        <w:rPr>
          <w:rFonts w:ascii="Calibri" w:hAnsi="Calibri" w:cs="Calibri"/>
          <w:sz w:val="22"/>
          <w:szCs w:val="22"/>
        </w:rPr>
        <w:t>o</w:t>
      </w:r>
      <w:r w:rsidR="00A10351" w:rsidRPr="002E2B5B">
        <w:rPr>
          <w:rFonts w:ascii="Calibri" w:hAnsi="Calibri" w:cs="Calibri"/>
          <w:sz w:val="22"/>
          <w:szCs w:val="22"/>
        </w:rPr>
        <w:t xml:space="preserve"> de </w:t>
      </w:r>
      <w:r w:rsidRPr="002E2B5B">
        <w:rPr>
          <w:rFonts w:ascii="Calibri" w:hAnsi="Calibri" w:cs="Calibri"/>
          <w:sz w:val="22"/>
          <w:szCs w:val="22"/>
        </w:rPr>
        <w:t>20</w:t>
      </w:r>
      <w:r w:rsidR="004A592B" w:rsidRPr="002E2B5B">
        <w:rPr>
          <w:rFonts w:ascii="Calibri" w:hAnsi="Calibri" w:cs="Calibri"/>
          <w:sz w:val="22"/>
          <w:szCs w:val="22"/>
        </w:rPr>
        <w:t>2</w:t>
      </w:r>
      <w:r w:rsidR="003544D3">
        <w:rPr>
          <w:rFonts w:ascii="Calibri" w:hAnsi="Calibri" w:cs="Calibri"/>
          <w:sz w:val="22"/>
          <w:szCs w:val="22"/>
        </w:rPr>
        <w:t>2</w:t>
      </w:r>
      <w:r w:rsidR="001A3D8C" w:rsidRPr="002E2B5B">
        <w:rPr>
          <w:rFonts w:ascii="Calibri" w:hAnsi="Calibri" w:cs="Calibri"/>
          <w:sz w:val="22"/>
          <w:szCs w:val="22"/>
        </w:rPr>
        <w:t>,</w:t>
      </w:r>
      <w:r w:rsidRPr="002E2B5B">
        <w:rPr>
          <w:rFonts w:ascii="Calibri" w:hAnsi="Calibri" w:cs="Calibri"/>
          <w:sz w:val="22"/>
          <w:szCs w:val="22"/>
        </w:rPr>
        <w:t xml:space="preserve"> são:</w:t>
      </w:r>
    </w:p>
    <w:p w14:paraId="38553ABA" w14:textId="77777777" w:rsidR="00A3162E" w:rsidRDefault="00A3162E" w:rsidP="00A3162E">
      <w:pPr>
        <w:spacing w:after="120"/>
        <w:ind w:left="284"/>
        <w:rPr>
          <w:rFonts w:ascii="Calibri" w:hAnsi="Calibri" w:cs="Calibri"/>
          <w:b/>
          <w:sz w:val="22"/>
          <w:szCs w:val="22"/>
        </w:rPr>
      </w:pPr>
    </w:p>
    <w:p w14:paraId="7212EADE" w14:textId="532472CE" w:rsidR="00C34E8D" w:rsidRPr="00C34E8D" w:rsidRDefault="00660339" w:rsidP="00937ED9">
      <w:pPr>
        <w:numPr>
          <w:ilvl w:val="0"/>
          <w:numId w:val="11"/>
        </w:numPr>
        <w:spacing w:after="120"/>
        <w:ind w:left="284" w:hanging="284"/>
        <w:rPr>
          <w:rFonts w:ascii="Calibri" w:hAnsi="Calibri" w:cs="Calibri"/>
          <w:b/>
          <w:sz w:val="22"/>
          <w:szCs w:val="22"/>
        </w:rPr>
      </w:pPr>
      <w:r w:rsidRPr="002E2B5B">
        <w:rPr>
          <w:rFonts w:ascii="Calibri" w:hAnsi="Calibri" w:cs="Calibri"/>
          <w:b/>
          <w:sz w:val="22"/>
          <w:szCs w:val="22"/>
        </w:rPr>
        <w:t>Realizáveis a Curto Praz</w:t>
      </w:r>
      <w:r w:rsidR="00C34E8D">
        <w:rPr>
          <w:rFonts w:ascii="Calibri" w:hAnsi="Calibri" w:cs="Calibri"/>
          <w:b/>
          <w:sz w:val="22"/>
          <w:szCs w:val="22"/>
        </w:rPr>
        <w:t>o</w:t>
      </w:r>
    </w:p>
    <w:tbl>
      <w:tblPr>
        <w:tblW w:w="5000" w:type="pct"/>
        <w:tblCellMar>
          <w:left w:w="70" w:type="dxa"/>
          <w:right w:w="70" w:type="dxa"/>
        </w:tblCellMar>
        <w:tblLook w:val="04A0" w:firstRow="1" w:lastRow="0" w:firstColumn="1" w:lastColumn="0" w:noHBand="0" w:noVBand="1"/>
      </w:tblPr>
      <w:tblGrid>
        <w:gridCol w:w="5450"/>
        <w:gridCol w:w="735"/>
        <w:gridCol w:w="735"/>
        <w:gridCol w:w="1047"/>
        <w:gridCol w:w="1298"/>
        <w:gridCol w:w="1202"/>
      </w:tblGrid>
      <w:tr w:rsidR="00491BC0" w14:paraId="371057B5" w14:textId="77777777" w:rsidTr="00C34E8D">
        <w:trPr>
          <w:trHeight w:hRule="exact" w:val="227"/>
        </w:trPr>
        <w:tc>
          <w:tcPr>
            <w:tcW w:w="3305" w:type="pct"/>
            <w:gridSpan w:val="3"/>
            <w:tcBorders>
              <w:top w:val="nil"/>
              <w:left w:val="nil"/>
              <w:bottom w:val="single" w:sz="8" w:space="0" w:color="auto"/>
              <w:right w:val="nil"/>
            </w:tcBorders>
            <w:shd w:val="clear" w:color="auto" w:fill="auto"/>
            <w:noWrap/>
            <w:vAlign w:val="center"/>
            <w:hideMark/>
          </w:tcPr>
          <w:p w14:paraId="2E725A1C"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PERMISSÃO PARA USO DE PÁTIOS A RECEBER - CIRCULANTE</w:t>
            </w:r>
          </w:p>
        </w:tc>
        <w:tc>
          <w:tcPr>
            <w:tcW w:w="500" w:type="pct"/>
            <w:tcBorders>
              <w:top w:val="nil"/>
              <w:left w:val="nil"/>
              <w:bottom w:val="single" w:sz="8" w:space="0" w:color="auto"/>
              <w:right w:val="nil"/>
            </w:tcBorders>
            <w:shd w:val="clear" w:color="auto" w:fill="auto"/>
            <w:noWrap/>
            <w:vAlign w:val="center"/>
            <w:hideMark/>
          </w:tcPr>
          <w:p w14:paraId="73F7A5A8"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7E9B14CA" w14:textId="40E5C746"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374B12">
              <w:rPr>
                <w:rFonts w:ascii="Calibri" w:hAnsi="Calibri" w:cs="Calibri"/>
                <w:b/>
                <w:bCs/>
                <w:color w:val="000000"/>
                <w:sz w:val="16"/>
                <w:szCs w:val="16"/>
              </w:rPr>
              <w:t>0</w:t>
            </w:r>
            <w:r>
              <w:rPr>
                <w:rFonts w:ascii="Calibri" w:hAnsi="Calibri" w:cs="Calibri"/>
                <w:b/>
                <w:bCs/>
                <w:color w:val="000000"/>
                <w:sz w:val="16"/>
                <w:szCs w:val="16"/>
              </w:rPr>
              <w:t>/</w:t>
            </w:r>
            <w:r w:rsidR="007B08E9">
              <w:rPr>
                <w:rFonts w:ascii="Calibri" w:hAnsi="Calibri" w:cs="Calibri"/>
                <w:b/>
                <w:bCs/>
                <w:color w:val="000000"/>
                <w:sz w:val="16"/>
                <w:szCs w:val="16"/>
              </w:rPr>
              <w:t>0</w:t>
            </w:r>
            <w:r w:rsidR="00C766AD">
              <w:rPr>
                <w:rFonts w:ascii="Calibri" w:hAnsi="Calibri" w:cs="Calibri"/>
                <w:b/>
                <w:bCs/>
                <w:color w:val="000000"/>
                <w:sz w:val="16"/>
                <w:szCs w:val="16"/>
              </w:rPr>
              <w:t>9</w:t>
            </w:r>
            <w:r>
              <w:rPr>
                <w:rFonts w:ascii="Calibri" w:hAnsi="Calibri" w:cs="Calibri"/>
                <w:b/>
                <w:bCs/>
                <w:color w:val="000000"/>
                <w:sz w:val="16"/>
                <w:szCs w:val="16"/>
              </w:rPr>
              <w:t>/202</w:t>
            </w:r>
            <w:r w:rsidR="007B08E9">
              <w:rPr>
                <w:rFonts w:ascii="Calibri" w:hAnsi="Calibri" w:cs="Calibri"/>
                <w:b/>
                <w:bCs/>
                <w:color w:val="000000"/>
                <w:sz w:val="16"/>
                <w:szCs w:val="16"/>
              </w:rPr>
              <w:t>2</w:t>
            </w:r>
          </w:p>
        </w:tc>
        <w:tc>
          <w:tcPr>
            <w:tcW w:w="576" w:type="pct"/>
            <w:tcBorders>
              <w:top w:val="nil"/>
              <w:left w:val="nil"/>
              <w:bottom w:val="single" w:sz="8" w:space="0" w:color="auto"/>
              <w:right w:val="nil"/>
            </w:tcBorders>
            <w:shd w:val="clear" w:color="auto" w:fill="auto"/>
            <w:vAlign w:val="center"/>
            <w:hideMark/>
          </w:tcPr>
          <w:p w14:paraId="1E7985D7" w14:textId="779EA408"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3544D3">
              <w:rPr>
                <w:rFonts w:ascii="Calibri" w:hAnsi="Calibri" w:cs="Calibri"/>
                <w:b/>
                <w:bCs/>
                <w:color w:val="000000"/>
                <w:sz w:val="16"/>
                <w:szCs w:val="16"/>
              </w:rPr>
              <w:t>1</w:t>
            </w:r>
          </w:p>
        </w:tc>
      </w:tr>
      <w:tr w:rsidR="00491BC0" w14:paraId="26C21314" w14:textId="77777777" w:rsidTr="00C34E8D">
        <w:trPr>
          <w:trHeight w:hRule="exact" w:val="227"/>
        </w:trPr>
        <w:tc>
          <w:tcPr>
            <w:tcW w:w="3305" w:type="pct"/>
            <w:gridSpan w:val="3"/>
            <w:tcBorders>
              <w:top w:val="single" w:sz="8" w:space="0" w:color="auto"/>
              <w:left w:val="nil"/>
              <w:bottom w:val="nil"/>
              <w:right w:val="nil"/>
            </w:tcBorders>
            <w:shd w:val="clear" w:color="auto" w:fill="auto"/>
            <w:noWrap/>
            <w:vAlign w:val="center"/>
            <w:hideMark/>
          </w:tcPr>
          <w:p w14:paraId="090182FD"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Saldo do exercício anterior</w:t>
            </w:r>
          </w:p>
        </w:tc>
        <w:tc>
          <w:tcPr>
            <w:tcW w:w="500" w:type="pct"/>
            <w:tcBorders>
              <w:top w:val="nil"/>
              <w:left w:val="nil"/>
              <w:bottom w:val="nil"/>
              <w:right w:val="nil"/>
            </w:tcBorders>
            <w:shd w:val="clear" w:color="auto" w:fill="auto"/>
            <w:noWrap/>
            <w:vAlign w:val="center"/>
            <w:hideMark/>
          </w:tcPr>
          <w:p w14:paraId="1A0ADB49" w14:textId="77777777" w:rsidR="00491BC0" w:rsidRDefault="00491BC0" w:rsidP="00937ED9">
            <w:pPr>
              <w:spacing w:after="120"/>
              <w:rPr>
                <w:rFonts w:ascii="Calibri" w:hAnsi="Calibri" w:cs="Calibri"/>
                <w:color w:val="000000"/>
                <w:sz w:val="16"/>
                <w:szCs w:val="16"/>
              </w:rPr>
            </w:pPr>
          </w:p>
        </w:tc>
        <w:tc>
          <w:tcPr>
            <w:tcW w:w="620" w:type="pct"/>
            <w:tcBorders>
              <w:top w:val="nil"/>
              <w:left w:val="nil"/>
              <w:bottom w:val="nil"/>
              <w:right w:val="nil"/>
            </w:tcBorders>
            <w:shd w:val="clear" w:color="auto" w:fill="auto"/>
            <w:noWrap/>
            <w:vAlign w:val="center"/>
            <w:hideMark/>
          </w:tcPr>
          <w:p w14:paraId="2D8B3BEA" w14:textId="7B100FC4"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2.144.892</w:t>
            </w:r>
          </w:p>
        </w:tc>
        <w:tc>
          <w:tcPr>
            <w:tcW w:w="576" w:type="pct"/>
            <w:tcBorders>
              <w:top w:val="nil"/>
              <w:left w:val="nil"/>
              <w:bottom w:val="nil"/>
              <w:right w:val="nil"/>
            </w:tcBorders>
            <w:shd w:val="clear" w:color="auto" w:fill="auto"/>
            <w:vAlign w:val="center"/>
            <w:hideMark/>
          </w:tcPr>
          <w:p w14:paraId="518642EB" w14:textId="70ADA286"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1.487.338</w:t>
            </w:r>
          </w:p>
        </w:tc>
      </w:tr>
      <w:tr w:rsidR="00491BC0" w14:paraId="7B0B7124"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7E62BAB5"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Recebimentos</w:t>
            </w:r>
          </w:p>
        </w:tc>
        <w:tc>
          <w:tcPr>
            <w:tcW w:w="351" w:type="pct"/>
            <w:tcBorders>
              <w:top w:val="nil"/>
              <w:left w:val="nil"/>
              <w:bottom w:val="nil"/>
              <w:right w:val="nil"/>
            </w:tcBorders>
            <w:shd w:val="clear" w:color="auto" w:fill="auto"/>
            <w:noWrap/>
            <w:vAlign w:val="center"/>
            <w:hideMark/>
          </w:tcPr>
          <w:p w14:paraId="2CA1A6CB"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0888918"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21004546" w14:textId="61D685B0"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w:t>
            </w:r>
            <w:r w:rsidR="00C766AD">
              <w:rPr>
                <w:rFonts w:ascii="Calibri" w:hAnsi="Calibri" w:cs="Calibri"/>
                <w:color w:val="000000"/>
                <w:sz w:val="16"/>
                <w:szCs w:val="16"/>
              </w:rPr>
              <w:t>1.527.704</w:t>
            </w:r>
            <w:r>
              <w:rPr>
                <w:rFonts w:ascii="Calibri" w:hAnsi="Calibri" w:cs="Calibri"/>
                <w:color w:val="000000"/>
                <w:sz w:val="16"/>
                <w:szCs w:val="16"/>
              </w:rPr>
              <w:t>)</w:t>
            </w:r>
          </w:p>
        </w:tc>
        <w:tc>
          <w:tcPr>
            <w:tcW w:w="576" w:type="pct"/>
            <w:tcBorders>
              <w:top w:val="nil"/>
              <w:left w:val="nil"/>
              <w:bottom w:val="nil"/>
              <w:right w:val="nil"/>
            </w:tcBorders>
            <w:shd w:val="clear" w:color="auto" w:fill="auto"/>
            <w:noWrap/>
            <w:vAlign w:val="center"/>
            <w:hideMark/>
          </w:tcPr>
          <w:p w14:paraId="226E42F5" w14:textId="694E16E8"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(1.453.905)</w:t>
            </w:r>
          </w:p>
        </w:tc>
      </w:tr>
      <w:tr w:rsidR="00491BC0" w14:paraId="0923774B"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01005E81" w14:textId="0CAFCC02"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Transf</w:t>
            </w:r>
            <w:r w:rsidR="00196BF6">
              <w:rPr>
                <w:rFonts w:ascii="Calibri" w:hAnsi="Calibri" w:cs="Calibri"/>
                <w:color w:val="000000"/>
                <w:sz w:val="16"/>
                <w:szCs w:val="16"/>
              </w:rPr>
              <w:t>erência</w:t>
            </w:r>
            <w:r>
              <w:rPr>
                <w:rFonts w:ascii="Calibri" w:hAnsi="Calibri" w:cs="Calibri"/>
                <w:color w:val="000000"/>
                <w:sz w:val="16"/>
                <w:szCs w:val="16"/>
              </w:rPr>
              <w:t xml:space="preserve"> do não circulante para circulante</w:t>
            </w:r>
          </w:p>
        </w:tc>
        <w:tc>
          <w:tcPr>
            <w:tcW w:w="351" w:type="pct"/>
            <w:tcBorders>
              <w:top w:val="nil"/>
              <w:left w:val="nil"/>
              <w:bottom w:val="nil"/>
              <w:right w:val="nil"/>
            </w:tcBorders>
            <w:shd w:val="clear" w:color="auto" w:fill="auto"/>
            <w:noWrap/>
            <w:vAlign w:val="center"/>
            <w:hideMark/>
          </w:tcPr>
          <w:p w14:paraId="0636280D"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66AB1C24"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4D6376DD" w14:textId="03D90827" w:rsidR="00491BC0" w:rsidRDefault="00C766AD" w:rsidP="00937ED9">
            <w:pPr>
              <w:spacing w:after="120"/>
              <w:jc w:val="right"/>
              <w:rPr>
                <w:rFonts w:ascii="Calibri" w:hAnsi="Calibri" w:cs="Calibri"/>
                <w:color w:val="000000"/>
                <w:sz w:val="16"/>
                <w:szCs w:val="16"/>
              </w:rPr>
            </w:pPr>
            <w:r>
              <w:rPr>
                <w:rFonts w:ascii="Calibri" w:hAnsi="Calibri" w:cs="Calibri"/>
                <w:color w:val="000000"/>
                <w:sz w:val="16"/>
                <w:szCs w:val="16"/>
              </w:rPr>
              <w:t>1.527.704</w:t>
            </w:r>
          </w:p>
        </w:tc>
        <w:tc>
          <w:tcPr>
            <w:tcW w:w="576" w:type="pct"/>
            <w:tcBorders>
              <w:top w:val="nil"/>
              <w:left w:val="nil"/>
              <w:bottom w:val="nil"/>
              <w:right w:val="nil"/>
            </w:tcBorders>
            <w:shd w:val="clear" w:color="auto" w:fill="auto"/>
            <w:noWrap/>
            <w:vAlign w:val="center"/>
            <w:hideMark/>
          </w:tcPr>
          <w:p w14:paraId="7BD3D872" w14:textId="0907F7A8"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1.242.315</w:t>
            </w:r>
          </w:p>
        </w:tc>
      </w:tr>
      <w:tr w:rsidR="00491BC0" w14:paraId="70B0E88D" w14:textId="77777777" w:rsidTr="00C34E8D">
        <w:trPr>
          <w:trHeight w:hRule="exact" w:val="227"/>
        </w:trPr>
        <w:tc>
          <w:tcPr>
            <w:tcW w:w="2954" w:type="pct"/>
            <w:gridSpan w:val="2"/>
            <w:tcBorders>
              <w:top w:val="nil"/>
              <w:left w:val="nil"/>
              <w:bottom w:val="nil"/>
              <w:right w:val="nil"/>
            </w:tcBorders>
            <w:shd w:val="clear" w:color="auto" w:fill="auto"/>
            <w:noWrap/>
            <w:vAlign w:val="center"/>
            <w:hideMark/>
          </w:tcPr>
          <w:p w14:paraId="30A41EB0"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Atualização monetária do período</w:t>
            </w:r>
          </w:p>
        </w:tc>
        <w:tc>
          <w:tcPr>
            <w:tcW w:w="351" w:type="pct"/>
            <w:tcBorders>
              <w:top w:val="nil"/>
              <w:left w:val="nil"/>
              <w:bottom w:val="nil"/>
              <w:right w:val="nil"/>
            </w:tcBorders>
            <w:shd w:val="clear" w:color="auto" w:fill="auto"/>
            <w:noWrap/>
            <w:vAlign w:val="center"/>
            <w:hideMark/>
          </w:tcPr>
          <w:p w14:paraId="233A0062"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032D7D28"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03271AF0" w14:textId="5441A341" w:rsidR="00491BC0" w:rsidRDefault="00CB52CB" w:rsidP="00937ED9">
            <w:pPr>
              <w:spacing w:after="120"/>
              <w:jc w:val="right"/>
              <w:rPr>
                <w:rFonts w:ascii="Calibri" w:hAnsi="Calibri" w:cs="Calibri"/>
                <w:color w:val="000000"/>
                <w:sz w:val="16"/>
                <w:szCs w:val="16"/>
              </w:rPr>
            </w:pPr>
            <w:r>
              <w:rPr>
                <w:rFonts w:ascii="Calibri" w:hAnsi="Calibri" w:cs="Calibri"/>
                <w:color w:val="000000"/>
                <w:sz w:val="16"/>
                <w:szCs w:val="16"/>
              </w:rPr>
              <w:t>108.960</w:t>
            </w:r>
          </w:p>
        </w:tc>
        <w:tc>
          <w:tcPr>
            <w:tcW w:w="576" w:type="pct"/>
            <w:tcBorders>
              <w:top w:val="nil"/>
              <w:left w:val="nil"/>
              <w:bottom w:val="nil"/>
              <w:right w:val="nil"/>
            </w:tcBorders>
            <w:shd w:val="clear" w:color="auto" w:fill="auto"/>
            <w:noWrap/>
            <w:vAlign w:val="center"/>
            <w:hideMark/>
          </w:tcPr>
          <w:p w14:paraId="0E410D89" w14:textId="58D341B6"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(33.438)</w:t>
            </w:r>
          </w:p>
        </w:tc>
      </w:tr>
      <w:tr w:rsidR="00491BC0" w14:paraId="7D71B3FF" w14:textId="77777777" w:rsidTr="00C34E8D">
        <w:trPr>
          <w:trHeight w:hRule="exact" w:val="227"/>
        </w:trPr>
        <w:tc>
          <w:tcPr>
            <w:tcW w:w="2954" w:type="pct"/>
            <w:gridSpan w:val="2"/>
            <w:tcBorders>
              <w:top w:val="nil"/>
              <w:left w:val="nil"/>
              <w:bottom w:val="single" w:sz="8" w:space="0" w:color="auto"/>
              <w:right w:val="nil"/>
            </w:tcBorders>
            <w:shd w:val="clear" w:color="auto" w:fill="auto"/>
            <w:noWrap/>
            <w:vAlign w:val="center"/>
            <w:hideMark/>
          </w:tcPr>
          <w:p w14:paraId="4DD64CBF"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Novas permissões</w:t>
            </w:r>
          </w:p>
        </w:tc>
        <w:tc>
          <w:tcPr>
            <w:tcW w:w="351" w:type="pct"/>
            <w:tcBorders>
              <w:top w:val="nil"/>
              <w:left w:val="nil"/>
              <w:bottom w:val="single" w:sz="8" w:space="0" w:color="auto"/>
              <w:right w:val="nil"/>
            </w:tcBorders>
            <w:shd w:val="clear" w:color="auto" w:fill="auto"/>
            <w:noWrap/>
            <w:vAlign w:val="center"/>
            <w:hideMark/>
          </w:tcPr>
          <w:p w14:paraId="314B15D4"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289122B6"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single" w:sz="8" w:space="0" w:color="auto"/>
              <w:right w:val="nil"/>
            </w:tcBorders>
            <w:shd w:val="clear" w:color="auto" w:fill="auto"/>
            <w:vAlign w:val="center"/>
            <w:hideMark/>
          </w:tcPr>
          <w:p w14:paraId="62ED5889" w14:textId="0408A694" w:rsidR="00491BC0" w:rsidRDefault="00F47CFC" w:rsidP="00937ED9">
            <w:pPr>
              <w:spacing w:after="120"/>
              <w:jc w:val="right"/>
              <w:rPr>
                <w:rFonts w:ascii="Calibri" w:hAnsi="Calibri" w:cs="Calibri"/>
                <w:color w:val="000000"/>
                <w:sz w:val="16"/>
                <w:szCs w:val="16"/>
              </w:rPr>
            </w:pPr>
            <w:r>
              <w:rPr>
                <w:rFonts w:ascii="Calibri" w:hAnsi="Calibri" w:cs="Calibri"/>
                <w:color w:val="000000"/>
                <w:sz w:val="16"/>
                <w:szCs w:val="16"/>
              </w:rPr>
              <w:t>618.8</w:t>
            </w:r>
            <w:r w:rsidR="00CB52CB">
              <w:rPr>
                <w:rFonts w:ascii="Calibri" w:hAnsi="Calibri" w:cs="Calibri"/>
                <w:color w:val="000000"/>
                <w:sz w:val="16"/>
                <w:szCs w:val="16"/>
              </w:rPr>
              <w:t>50</w:t>
            </w:r>
            <w:r w:rsidR="00491BC0">
              <w:rPr>
                <w:rFonts w:ascii="Calibri" w:hAnsi="Calibri" w:cs="Calibri"/>
                <w:color w:val="000000"/>
                <w:sz w:val="16"/>
                <w:szCs w:val="16"/>
              </w:rPr>
              <w:t xml:space="preserve">   </w:t>
            </w:r>
          </w:p>
        </w:tc>
        <w:tc>
          <w:tcPr>
            <w:tcW w:w="576" w:type="pct"/>
            <w:tcBorders>
              <w:top w:val="nil"/>
              <w:left w:val="nil"/>
              <w:bottom w:val="single" w:sz="8" w:space="0" w:color="auto"/>
              <w:right w:val="nil"/>
            </w:tcBorders>
            <w:shd w:val="clear" w:color="auto" w:fill="auto"/>
            <w:noWrap/>
            <w:vAlign w:val="center"/>
            <w:hideMark/>
          </w:tcPr>
          <w:p w14:paraId="466A775B" w14:textId="4A89EE4D" w:rsidR="00491BC0" w:rsidRDefault="003544D3" w:rsidP="00937ED9">
            <w:pPr>
              <w:spacing w:after="120"/>
              <w:jc w:val="right"/>
              <w:rPr>
                <w:rFonts w:ascii="Calibri" w:hAnsi="Calibri" w:cs="Calibri"/>
                <w:color w:val="000000"/>
                <w:sz w:val="16"/>
                <w:szCs w:val="16"/>
              </w:rPr>
            </w:pPr>
            <w:r>
              <w:rPr>
                <w:rFonts w:ascii="Calibri" w:hAnsi="Calibri" w:cs="Calibri"/>
                <w:color w:val="000000"/>
                <w:sz w:val="16"/>
                <w:szCs w:val="16"/>
              </w:rPr>
              <w:t xml:space="preserve">902.582   </w:t>
            </w:r>
          </w:p>
        </w:tc>
      </w:tr>
      <w:tr w:rsidR="00491BC0" w14:paraId="56A1A315" w14:textId="77777777" w:rsidTr="00C34E8D">
        <w:trPr>
          <w:trHeight w:hRule="exact" w:val="227"/>
        </w:trPr>
        <w:tc>
          <w:tcPr>
            <w:tcW w:w="2604" w:type="pct"/>
            <w:tcBorders>
              <w:top w:val="nil"/>
              <w:left w:val="nil"/>
              <w:bottom w:val="single" w:sz="8" w:space="0" w:color="auto"/>
              <w:right w:val="nil"/>
            </w:tcBorders>
            <w:shd w:val="clear" w:color="auto" w:fill="auto"/>
            <w:noWrap/>
            <w:vAlign w:val="center"/>
            <w:hideMark/>
          </w:tcPr>
          <w:p w14:paraId="0E134AF4"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351" w:type="pct"/>
            <w:tcBorders>
              <w:top w:val="nil"/>
              <w:left w:val="nil"/>
              <w:bottom w:val="single" w:sz="8" w:space="0" w:color="auto"/>
              <w:right w:val="nil"/>
            </w:tcBorders>
            <w:shd w:val="clear" w:color="auto" w:fill="auto"/>
            <w:noWrap/>
            <w:vAlign w:val="center"/>
            <w:hideMark/>
          </w:tcPr>
          <w:p w14:paraId="152F3C4C"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351" w:type="pct"/>
            <w:tcBorders>
              <w:top w:val="nil"/>
              <w:left w:val="nil"/>
              <w:bottom w:val="single" w:sz="8" w:space="0" w:color="auto"/>
              <w:right w:val="nil"/>
            </w:tcBorders>
            <w:shd w:val="clear" w:color="auto" w:fill="auto"/>
            <w:noWrap/>
            <w:vAlign w:val="center"/>
            <w:hideMark/>
          </w:tcPr>
          <w:p w14:paraId="5028F84A"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500" w:type="pct"/>
            <w:tcBorders>
              <w:top w:val="nil"/>
              <w:left w:val="nil"/>
              <w:bottom w:val="single" w:sz="8" w:space="0" w:color="auto"/>
              <w:right w:val="nil"/>
            </w:tcBorders>
            <w:shd w:val="clear" w:color="auto" w:fill="auto"/>
            <w:vAlign w:val="center"/>
            <w:hideMark/>
          </w:tcPr>
          <w:p w14:paraId="4ECA1010"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38D72635" w14:textId="6032CF13" w:rsidR="00491BC0" w:rsidRDefault="00CB52CB" w:rsidP="00937ED9">
            <w:pPr>
              <w:spacing w:after="120"/>
              <w:jc w:val="right"/>
              <w:rPr>
                <w:rFonts w:ascii="Calibri" w:hAnsi="Calibri" w:cs="Calibri"/>
                <w:b/>
                <w:bCs/>
                <w:color w:val="000000"/>
                <w:sz w:val="16"/>
                <w:szCs w:val="16"/>
              </w:rPr>
            </w:pPr>
            <w:r>
              <w:rPr>
                <w:rFonts w:ascii="Calibri" w:hAnsi="Calibri" w:cs="Calibri"/>
                <w:b/>
                <w:bCs/>
                <w:color w:val="000000"/>
                <w:sz w:val="16"/>
                <w:szCs w:val="16"/>
              </w:rPr>
              <w:t>2.872.702</w:t>
            </w:r>
          </w:p>
        </w:tc>
        <w:tc>
          <w:tcPr>
            <w:tcW w:w="576" w:type="pct"/>
            <w:tcBorders>
              <w:top w:val="nil"/>
              <w:left w:val="nil"/>
              <w:bottom w:val="single" w:sz="8" w:space="0" w:color="auto"/>
              <w:right w:val="nil"/>
            </w:tcBorders>
            <w:shd w:val="clear" w:color="auto" w:fill="auto"/>
            <w:noWrap/>
            <w:vAlign w:val="center"/>
            <w:hideMark/>
          </w:tcPr>
          <w:p w14:paraId="30E1846A" w14:textId="167504D0" w:rsidR="00491BC0" w:rsidRDefault="003544D3"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2.144.892</w:t>
            </w:r>
          </w:p>
        </w:tc>
      </w:tr>
    </w:tbl>
    <w:p w14:paraId="32DD798F" w14:textId="77777777" w:rsidR="009E0535" w:rsidRDefault="009E0535" w:rsidP="009E0535">
      <w:pPr>
        <w:spacing w:before="240" w:after="120"/>
        <w:ind w:left="284"/>
        <w:rPr>
          <w:rFonts w:ascii="Calibri" w:hAnsi="Calibri" w:cs="Calibri"/>
          <w:b/>
          <w:sz w:val="22"/>
          <w:szCs w:val="22"/>
        </w:rPr>
      </w:pPr>
    </w:p>
    <w:p w14:paraId="2B2EA8AF" w14:textId="75C21CF2" w:rsidR="00596575" w:rsidRDefault="00580D61" w:rsidP="00937ED9">
      <w:pPr>
        <w:numPr>
          <w:ilvl w:val="0"/>
          <w:numId w:val="11"/>
        </w:numPr>
        <w:spacing w:before="240" w:after="120"/>
        <w:ind w:left="284" w:hanging="284"/>
        <w:rPr>
          <w:rFonts w:ascii="Calibri" w:hAnsi="Calibri" w:cs="Calibri"/>
          <w:b/>
          <w:sz w:val="22"/>
          <w:szCs w:val="22"/>
        </w:rPr>
      </w:pPr>
      <w:r w:rsidRPr="002E2B5B">
        <w:rPr>
          <w:rFonts w:ascii="Calibri" w:hAnsi="Calibri" w:cs="Calibri"/>
          <w:b/>
          <w:sz w:val="22"/>
          <w:szCs w:val="22"/>
        </w:rPr>
        <w:lastRenderedPageBreak/>
        <w:t>Realizável a Longo Prazo</w:t>
      </w:r>
    </w:p>
    <w:tbl>
      <w:tblPr>
        <w:tblW w:w="5000" w:type="pct"/>
        <w:tblCellMar>
          <w:left w:w="70" w:type="dxa"/>
          <w:right w:w="70" w:type="dxa"/>
        </w:tblCellMar>
        <w:tblLook w:val="04A0" w:firstRow="1" w:lastRow="0" w:firstColumn="1" w:lastColumn="0" w:noHBand="0" w:noVBand="1"/>
      </w:tblPr>
      <w:tblGrid>
        <w:gridCol w:w="5578"/>
        <w:gridCol w:w="293"/>
        <w:gridCol w:w="1047"/>
        <w:gridCol w:w="1047"/>
        <w:gridCol w:w="1298"/>
        <w:gridCol w:w="1204"/>
      </w:tblGrid>
      <w:tr w:rsidR="00491BC0" w14:paraId="7F783AD3" w14:textId="77777777" w:rsidTr="00910934">
        <w:trPr>
          <w:trHeight w:hRule="exact" w:val="227"/>
        </w:trPr>
        <w:tc>
          <w:tcPr>
            <w:tcW w:w="2805" w:type="pct"/>
            <w:gridSpan w:val="2"/>
            <w:tcBorders>
              <w:top w:val="nil"/>
              <w:left w:val="nil"/>
              <w:bottom w:val="single" w:sz="8" w:space="0" w:color="auto"/>
              <w:right w:val="nil"/>
            </w:tcBorders>
            <w:shd w:val="clear" w:color="auto" w:fill="auto"/>
            <w:noWrap/>
            <w:vAlign w:val="center"/>
            <w:hideMark/>
          </w:tcPr>
          <w:p w14:paraId="0A7434B2"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PERMISSÃO DE USO DE PÁTIOS A RECEBER – NÃO CIRCULANTE</w:t>
            </w:r>
          </w:p>
        </w:tc>
        <w:tc>
          <w:tcPr>
            <w:tcW w:w="1000" w:type="pct"/>
            <w:gridSpan w:val="2"/>
            <w:tcBorders>
              <w:top w:val="nil"/>
              <w:left w:val="nil"/>
              <w:bottom w:val="single" w:sz="8" w:space="0" w:color="auto"/>
              <w:right w:val="nil"/>
            </w:tcBorders>
            <w:shd w:val="clear" w:color="auto" w:fill="auto"/>
            <w:noWrap/>
            <w:vAlign w:val="center"/>
            <w:hideMark/>
          </w:tcPr>
          <w:p w14:paraId="2716421E"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BF34E3F" w14:textId="790F96E9"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196BF6">
              <w:rPr>
                <w:rFonts w:ascii="Calibri" w:hAnsi="Calibri" w:cs="Calibri"/>
                <w:b/>
                <w:bCs/>
                <w:color w:val="000000"/>
                <w:sz w:val="16"/>
                <w:szCs w:val="16"/>
              </w:rPr>
              <w:t>0</w:t>
            </w:r>
            <w:r>
              <w:rPr>
                <w:rFonts w:ascii="Calibri" w:hAnsi="Calibri" w:cs="Calibri"/>
                <w:b/>
                <w:bCs/>
                <w:color w:val="000000"/>
                <w:sz w:val="16"/>
                <w:szCs w:val="16"/>
              </w:rPr>
              <w:t>/</w:t>
            </w:r>
            <w:r w:rsidR="009F2530">
              <w:rPr>
                <w:rFonts w:ascii="Calibri" w:hAnsi="Calibri" w:cs="Calibri"/>
                <w:b/>
                <w:bCs/>
                <w:color w:val="000000"/>
                <w:sz w:val="16"/>
                <w:szCs w:val="16"/>
              </w:rPr>
              <w:t>0</w:t>
            </w:r>
            <w:r w:rsidR="00C766AD">
              <w:rPr>
                <w:rFonts w:ascii="Calibri" w:hAnsi="Calibri" w:cs="Calibri"/>
                <w:b/>
                <w:bCs/>
                <w:color w:val="000000"/>
                <w:sz w:val="16"/>
                <w:szCs w:val="16"/>
              </w:rPr>
              <w:t>9</w:t>
            </w:r>
            <w:r>
              <w:rPr>
                <w:rFonts w:ascii="Calibri" w:hAnsi="Calibri" w:cs="Calibri"/>
                <w:b/>
                <w:bCs/>
                <w:color w:val="000000"/>
                <w:sz w:val="16"/>
                <w:szCs w:val="16"/>
              </w:rPr>
              <w:t>/202</w:t>
            </w:r>
            <w:r w:rsidR="009F2530">
              <w:rPr>
                <w:rFonts w:ascii="Calibri" w:hAnsi="Calibri" w:cs="Calibri"/>
                <w:b/>
                <w:bCs/>
                <w:color w:val="000000"/>
                <w:sz w:val="16"/>
                <w:szCs w:val="16"/>
              </w:rPr>
              <w:t>2</w:t>
            </w:r>
          </w:p>
        </w:tc>
        <w:tc>
          <w:tcPr>
            <w:tcW w:w="575" w:type="pct"/>
            <w:tcBorders>
              <w:top w:val="nil"/>
              <w:left w:val="nil"/>
              <w:bottom w:val="single" w:sz="8" w:space="0" w:color="auto"/>
              <w:right w:val="nil"/>
            </w:tcBorders>
            <w:shd w:val="clear" w:color="auto" w:fill="auto"/>
            <w:noWrap/>
            <w:vAlign w:val="center"/>
            <w:hideMark/>
          </w:tcPr>
          <w:p w14:paraId="600D7617" w14:textId="7036D7F5"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9F2530">
              <w:rPr>
                <w:rFonts w:ascii="Calibri" w:hAnsi="Calibri" w:cs="Calibri"/>
                <w:b/>
                <w:bCs/>
                <w:color w:val="000000"/>
                <w:sz w:val="16"/>
                <w:szCs w:val="16"/>
              </w:rPr>
              <w:t>1</w:t>
            </w:r>
          </w:p>
        </w:tc>
      </w:tr>
      <w:tr w:rsidR="00491BC0" w14:paraId="4741C286" w14:textId="77777777" w:rsidTr="00910934">
        <w:trPr>
          <w:trHeight w:hRule="exact" w:val="227"/>
        </w:trPr>
        <w:tc>
          <w:tcPr>
            <w:tcW w:w="2805" w:type="pct"/>
            <w:gridSpan w:val="2"/>
            <w:tcBorders>
              <w:top w:val="single" w:sz="8" w:space="0" w:color="auto"/>
              <w:left w:val="nil"/>
              <w:bottom w:val="nil"/>
              <w:right w:val="nil"/>
            </w:tcBorders>
            <w:shd w:val="clear" w:color="auto" w:fill="auto"/>
            <w:noWrap/>
            <w:vAlign w:val="center"/>
            <w:hideMark/>
          </w:tcPr>
          <w:p w14:paraId="4275B520"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Saldo do exercício anterior</w:t>
            </w:r>
          </w:p>
        </w:tc>
        <w:tc>
          <w:tcPr>
            <w:tcW w:w="1000" w:type="pct"/>
            <w:gridSpan w:val="2"/>
            <w:tcBorders>
              <w:top w:val="single" w:sz="8" w:space="0" w:color="auto"/>
              <w:left w:val="nil"/>
              <w:bottom w:val="nil"/>
              <w:right w:val="nil"/>
            </w:tcBorders>
            <w:shd w:val="clear" w:color="auto" w:fill="auto"/>
            <w:noWrap/>
            <w:vAlign w:val="center"/>
            <w:hideMark/>
          </w:tcPr>
          <w:p w14:paraId="38B26BDC"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nil"/>
              <w:right w:val="nil"/>
            </w:tcBorders>
            <w:shd w:val="clear" w:color="auto" w:fill="auto"/>
            <w:noWrap/>
            <w:vAlign w:val="center"/>
            <w:hideMark/>
          </w:tcPr>
          <w:p w14:paraId="2FE0AB98" w14:textId="771D1434" w:rsidR="00491BC0" w:rsidRDefault="009F2530" w:rsidP="00937ED9">
            <w:pPr>
              <w:spacing w:after="120"/>
              <w:jc w:val="right"/>
              <w:rPr>
                <w:rFonts w:ascii="Calibri" w:hAnsi="Calibri" w:cs="Calibri"/>
                <w:color w:val="000000"/>
                <w:sz w:val="16"/>
                <w:szCs w:val="16"/>
              </w:rPr>
            </w:pPr>
            <w:r w:rsidRPr="009F2530">
              <w:rPr>
                <w:rFonts w:ascii="Calibri" w:hAnsi="Calibri" w:cs="Calibri"/>
                <w:color w:val="000000"/>
                <w:sz w:val="16"/>
                <w:szCs w:val="16"/>
              </w:rPr>
              <w:t>41.112.262</w:t>
            </w:r>
          </w:p>
        </w:tc>
        <w:tc>
          <w:tcPr>
            <w:tcW w:w="575" w:type="pct"/>
            <w:tcBorders>
              <w:top w:val="nil"/>
              <w:left w:val="nil"/>
              <w:bottom w:val="nil"/>
              <w:right w:val="nil"/>
            </w:tcBorders>
            <w:shd w:val="clear" w:color="auto" w:fill="auto"/>
            <w:noWrap/>
            <w:vAlign w:val="center"/>
            <w:hideMark/>
          </w:tcPr>
          <w:p w14:paraId="5923A36F" w14:textId="71A7E576"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25.488.517</w:t>
            </w:r>
          </w:p>
        </w:tc>
      </w:tr>
      <w:tr w:rsidR="00491BC0" w14:paraId="1F3F8717"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40D0696B"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xml:space="preserve">Recebimentos </w:t>
            </w:r>
          </w:p>
        </w:tc>
        <w:tc>
          <w:tcPr>
            <w:tcW w:w="500" w:type="pct"/>
            <w:tcBorders>
              <w:top w:val="nil"/>
              <w:left w:val="nil"/>
              <w:bottom w:val="nil"/>
              <w:right w:val="nil"/>
            </w:tcBorders>
            <w:shd w:val="clear" w:color="auto" w:fill="auto"/>
            <w:noWrap/>
            <w:vAlign w:val="center"/>
            <w:hideMark/>
          </w:tcPr>
          <w:p w14:paraId="16690670"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5628C4FD"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noWrap/>
            <w:vAlign w:val="center"/>
            <w:hideMark/>
          </w:tcPr>
          <w:p w14:paraId="7519F0A1" w14:textId="1DB3E74D"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w:t>
            </w:r>
            <w:r w:rsidR="00323EDD">
              <w:rPr>
                <w:rFonts w:ascii="Calibri" w:hAnsi="Calibri" w:cs="Calibri"/>
                <w:color w:val="000000"/>
                <w:sz w:val="16"/>
                <w:szCs w:val="16"/>
              </w:rPr>
              <w:t>787.486</w:t>
            </w:r>
            <w:r>
              <w:rPr>
                <w:rFonts w:ascii="Calibri" w:hAnsi="Calibri" w:cs="Calibri"/>
                <w:color w:val="000000"/>
                <w:sz w:val="16"/>
                <w:szCs w:val="16"/>
              </w:rPr>
              <w:t xml:space="preserve">) </w:t>
            </w:r>
          </w:p>
        </w:tc>
        <w:tc>
          <w:tcPr>
            <w:tcW w:w="575" w:type="pct"/>
            <w:tcBorders>
              <w:top w:val="nil"/>
              <w:left w:val="nil"/>
              <w:bottom w:val="nil"/>
              <w:right w:val="nil"/>
            </w:tcBorders>
            <w:shd w:val="clear" w:color="auto" w:fill="auto"/>
            <w:noWrap/>
            <w:vAlign w:val="center"/>
            <w:hideMark/>
          </w:tcPr>
          <w:p w14:paraId="7F313EB4" w14:textId="21FF9290"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(395.501)</w:t>
            </w:r>
          </w:p>
        </w:tc>
      </w:tr>
      <w:tr w:rsidR="00491BC0" w14:paraId="0571BA56"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632E2F08" w14:textId="4A7C3FD2"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Transf</w:t>
            </w:r>
            <w:r w:rsidR="00196BF6">
              <w:rPr>
                <w:rFonts w:ascii="Calibri" w:hAnsi="Calibri" w:cs="Calibri"/>
                <w:color w:val="000000"/>
                <w:sz w:val="16"/>
                <w:szCs w:val="16"/>
              </w:rPr>
              <w:t>erência</w:t>
            </w:r>
            <w:r>
              <w:rPr>
                <w:rFonts w:ascii="Calibri" w:hAnsi="Calibri" w:cs="Calibri"/>
                <w:color w:val="000000"/>
                <w:sz w:val="16"/>
                <w:szCs w:val="16"/>
              </w:rPr>
              <w:t xml:space="preserve"> do não circulante para circulante</w:t>
            </w:r>
          </w:p>
        </w:tc>
        <w:tc>
          <w:tcPr>
            <w:tcW w:w="500" w:type="pct"/>
            <w:tcBorders>
              <w:top w:val="nil"/>
              <w:left w:val="nil"/>
              <w:bottom w:val="nil"/>
              <w:right w:val="nil"/>
            </w:tcBorders>
            <w:shd w:val="clear" w:color="auto" w:fill="auto"/>
            <w:noWrap/>
            <w:vAlign w:val="center"/>
            <w:hideMark/>
          </w:tcPr>
          <w:p w14:paraId="7DCF3027" w14:textId="77777777" w:rsidR="00491BC0" w:rsidRDefault="00491BC0" w:rsidP="00937ED9">
            <w:pPr>
              <w:spacing w:after="120"/>
              <w:rPr>
                <w:rFonts w:ascii="Calibri" w:hAnsi="Calibri" w:cs="Calibri"/>
                <w:color w:val="000000"/>
                <w:sz w:val="16"/>
                <w:szCs w:val="16"/>
              </w:rPr>
            </w:pPr>
          </w:p>
        </w:tc>
        <w:tc>
          <w:tcPr>
            <w:tcW w:w="500" w:type="pct"/>
            <w:tcBorders>
              <w:top w:val="nil"/>
              <w:left w:val="nil"/>
              <w:bottom w:val="nil"/>
              <w:right w:val="nil"/>
            </w:tcBorders>
            <w:shd w:val="clear" w:color="auto" w:fill="auto"/>
            <w:noWrap/>
            <w:vAlign w:val="center"/>
            <w:hideMark/>
          </w:tcPr>
          <w:p w14:paraId="107737BD" w14:textId="77777777" w:rsidR="00491BC0" w:rsidRDefault="00491BC0" w:rsidP="00937ED9">
            <w:pPr>
              <w:spacing w:after="120"/>
              <w:rPr>
                <w:sz w:val="20"/>
                <w:szCs w:val="20"/>
              </w:rPr>
            </w:pPr>
          </w:p>
        </w:tc>
        <w:tc>
          <w:tcPr>
            <w:tcW w:w="620" w:type="pct"/>
            <w:tcBorders>
              <w:top w:val="nil"/>
              <w:left w:val="nil"/>
              <w:bottom w:val="nil"/>
              <w:right w:val="nil"/>
            </w:tcBorders>
            <w:shd w:val="clear" w:color="auto" w:fill="auto"/>
            <w:vAlign w:val="center"/>
            <w:hideMark/>
          </w:tcPr>
          <w:p w14:paraId="48A212F8" w14:textId="668B36DF"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w:t>
            </w:r>
            <w:r w:rsidR="00323EDD">
              <w:rPr>
                <w:rFonts w:ascii="Calibri" w:hAnsi="Calibri" w:cs="Calibri"/>
                <w:color w:val="000000"/>
                <w:sz w:val="16"/>
                <w:szCs w:val="16"/>
              </w:rPr>
              <w:t>1.527.704</w:t>
            </w:r>
            <w:r>
              <w:rPr>
                <w:rFonts w:ascii="Calibri" w:hAnsi="Calibri" w:cs="Calibri"/>
                <w:color w:val="000000"/>
                <w:sz w:val="16"/>
                <w:szCs w:val="16"/>
              </w:rPr>
              <w:t>)</w:t>
            </w:r>
          </w:p>
        </w:tc>
        <w:tc>
          <w:tcPr>
            <w:tcW w:w="575" w:type="pct"/>
            <w:tcBorders>
              <w:top w:val="nil"/>
              <w:left w:val="nil"/>
              <w:bottom w:val="nil"/>
              <w:right w:val="nil"/>
            </w:tcBorders>
            <w:shd w:val="clear" w:color="auto" w:fill="auto"/>
            <w:noWrap/>
            <w:vAlign w:val="center"/>
            <w:hideMark/>
          </w:tcPr>
          <w:p w14:paraId="0CBE8E9C" w14:textId="615B9AE1"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(1.242.315)</w:t>
            </w:r>
          </w:p>
        </w:tc>
      </w:tr>
      <w:tr w:rsidR="00491BC0" w14:paraId="30ED3FDE" w14:textId="77777777" w:rsidTr="00910934">
        <w:trPr>
          <w:trHeight w:hRule="exact" w:val="227"/>
        </w:trPr>
        <w:tc>
          <w:tcPr>
            <w:tcW w:w="2805" w:type="pct"/>
            <w:gridSpan w:val="2"/>
            <w:tcBorders>
              <w:top w:val="nil"/>
              <w:left w:val="nil"/>
              <w:bottom w:val="nil"/>
              <w:right w:val="nil"/>
            </w:tcBorders>
            <w:shd w:val="clear" w:color="auto" w:fill="auto"/>
            <w:noWrap/>
            <w:vAlign w:val="center"/>
            <w:hideMark/>
          </w:tcPr>
          <w:p w14:paraId="7706298A"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Atualização monetária do período</w:t>
            </w:r>
          </w:p>
        </w:tc>
        <w:tc>
          <w:tcPr>
            <w:tcW w:w="1000" w:type="pct"/>
            <w:gridSpan w:val="2"/>
            <w:tcBorders>
              <w:top w:val="nil"/>
              <w:left w:val="nil"/>
              <w:bottom w:val="nil"/>
              <w:right w:val="nil"/>
            </w:tcBorders>
            <w:shd w:val="clear" w:color="auto" w:fill="auto"/>
            <w:noWrap/>
            <w:vAlign w:val="center"/>
            <w:hideMark/>
          </w:tcPr>
          <w:p w14:paraId="42748B18" w14:textId="77777777" w:rsidR="00491BC0" w:rsidRDefault="00491BC0" w:rsidP="00937ED9">
            <w:pPr>
              <w:spacing w:after="120"/>
              <w:rPr>
                <w:rFonts w:ascii="Calibri" w:hAnsi="Calibri" w:cs="Calibri"/>
                <w:color w:val="000000"/>
                <w:sz w:val="16"/>
                <w:szCs w:val="16"/>
              </w:rPr>
            </w:pPr>
          </w:p>
        </w:tc>
        <w:tc>
          <w:tcPr>
            <w:tcW w:w="620" w:type="pct"/>
            <w:tcBorders>
              <w:top w:val="nil"/>
              <w:left w:val="nil"/>
              <w:bottom w:val="nil"/>
              <w:right w:val="nil"/>
            </w:tcBorders>
            <w:shd w:val="clear" w:color="auto" w:fill="auto"/>
            <w:noWrap/>
            <w:vAlign w:val="center"/>
            <w:hideMark/>
          </w:tcPr>
          <w:p w14:paraId="0C08EA38" w14:textId="77AA1F2C" w:rsidR="00491BC0" w:rsidRDefault="00196BF6" w:rsidP="00937ED9">
            <w:pPr>
              <w:spacing w:after="120"/>
              <w:jc w:val="right"/>
              <w:rPr>
                <w:rFonts w:ascii="Calibri" w:hAnsi="Calibri" w:cs="Calibri"/>
                <w:color w:val="000000"/>
                <w:sz w:val="16"/>
                <w:szCs w:val="16"/>
              </w:rPr>
            </w:pPr>
            <w:r>
              <w:rPr>
                <w:rFonts w:ascii="Calibri" w:hAnsi="Calibri" w:cs="Calibri"/>
                <w:color w:val="000000"/>
                <w:sz w:val="16"/>
                <w:szCs w:val="16"/>
              </w:rPr>
              <w:t>3.</w:t>
            </w:r>
            <w:r w:rsidR="00323EDD">
              <w:rPr>
                <w:rFonts w:ascii="Calibri" w:hAnsi="Calibri" w:cs="Calibri"/>
                <w:color w:val="000000"/>
                <w:sz w:val="16"/>
                <w:szCs w:val="16"/>
              </w:rPr>
              <w:t>427.661</w:t>
            </w:r>
          </w:p>
        </w:tc>
        <w:tc>
          <w:tcPr>
            <w:tcW w:w="575" w:type="pct"/>
            <w:tcBorders>
              <w:top w:val="nil"/>
              <w:left w:val="nil"/>
              <w:bottom w:val="nil"/>
              <w:right w:val="nil"/>
            </w:tcBorders>
            <w:shd w:val="clear" w:color="auto" w:fill="auto"/>
            <w:noWrap/>
            <w:vAlign w:val="center"/>
            <w:hideMark/>
          </w:tcPr>
          <w:p w14:paraId="4D0E194B" w14:textId="3D3D93AB"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4.754.140</w:t>
            </w:r>
          </w:p>
        </w:tc>
      </w:tr>
      <w:tr w:rsidR="00491BC0" w14:paraId="03A25F53" w14:textId="77777777" w:rsidTr="00910934">
        <w:trPr>
          <w:trHeight w:hRule="exact" w:val="227"/>
        </w:trPr>
        <w:tc>
          <w:tcPr>
            <w:tcW w:w="2805" w:type="pct"/>
            <w:gridSpan w:val="2"/>
            <w:tcBorders>
              <w:top w:val="nil"/>
              <w:left w:val="nil"/>
              <w:bottom w:val="single" w:sz="8" w:space="0" w:color="auto"/>
              <w:right w:val="nil"/>
            </w:tcBorders>
            <w:shd w:val="clear" w:color="auto" w:fill="auto"/>
            <w:noWrap/>
            <w:vAlign w:val="center"/>
            <w:hideMark/>
          </w:tcPr>
          <w:p w14:paraId="18B7F786"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Novas permissões</w:t>
            </w:r>
          </w:p>
        </w:tc>
        <w:tc>
          <w:tcPr>
            <w:tcW w:w="500" w:type="pct"/>
            <w:tcBorders>
              <w:top w:val="nil"/>
              <w:left w:val="nil"/>
              <w:bottom w:val="single" w:sz="8" w:space="0" w:color="auto"/>
              <w:right w:val="nil"/>
            </w:tcBorders>
            <w:shd w:val="clear" w:color="auto" w:fill="auto"/>
            <w:noWrap/>
            <w:vAlign w:val="center"/>
            <w:hideMark/>
          </w:tcPr>
          <w:p w14:paraId="649F9B48"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5A14FD8F" w14:textId="77777777" w:rsidR="00491BC0" w:rsidRDefault="00491BC0"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72504012" w14:textId="5916CDA2" w:rsidR="00491BC0" w:rsidRDefault="00F47CFC" w:rsidP="00937ED9">
            <w:pPr>
              <w:spacing w:after="120"/>
              <w:jc w:val="right"/>
              <w:rPr>
                <w:rFonts w:ascii="Calibri" w:hAnsi="Calibri" w:cs="Calibri"/>
                <w:color w:val="000000"/>
                <w:sz w:val="16"/>
                <w:szCs w:val="16"/>
              </w:rPr>
            </w:pPr>
            <w:r>
              <w:rPr>
                <w:rFonts w:ascii="Calibri" w:hAnsi="Calibri" w:cs="Calibri"/>
                <w:color w:val="000000"/>
                <w:sz w:val="16"/>
                <w:szCs w:val="16"/>
              </w:rPr>
              <w:t>8.329.701</w:t>
            </w:r>
          </w:p>
        </w:tc>
        <w:tc>
          <w:tcPr>
            <w:tcW w:w="575" w:type="pct"/>
            <w:tcBorders>
              <w:top w:val="nil"/>
              <w:left w:val="nil"/>
              <w:bottom w:val="single" w:sz="8" w:space="0" w:color="auto"/>
              <w:right w:val="nil"/>
            </w:tcBorders>
            <w:shd w:val="clear" w:color="auto" w:fill="auto"/>
            <w:noWrap/>
            <w:vAlign w:val="center"/>
            <w:hideMark/>
          </w:tcPr>
          <w:p w14:paraId="0BB6ECAD" w14:textId="1D4398BD" w:rsidR="00491BC0" w:rsidRDefault="009F2530" w:rsidP="00937ED9">
            <w:pPr>
              <w:spacing w:after="120"/>
              <w:jc w:val="right"/>
              <w:rPr>
                <w:rFonts w:ascii="Calibri" w:hAnsi="Calibri" w:cs="Calibri"/>
                <w:color w:val="000000"/>
                <w:sz w:val="16"/>
                <w:szCs w:val="16"/>
              </w:rPr>
            </w:pPr>
            <w:r>
              <w:rPr>
                <w:rFonts w:ascii="Calibri" w:hAnsi="Calibri" w:cs="Calibri"/>
                <w:color w:val="000000"/>
                <w:sz w:val="16"/>
                <w:szCs w:val="16"/>
              </w:rPr>
              <w:t>12.507.421</w:t>
            </w:r>
          </w:p>
        </w:tc>
      </w:tr>
      <w:tr w:rsidR="00491BC0" w14:paraId="6FB821E1" w14:textId="77777777" w:rsidTr="00910934">
        <w:trPr>
          <w:trHeight w:hRule="exact" w:val="227"/>
        </w:trPr>
        <w:tc>
          <w:tcPr>
            <w:tcW w:w="2665" w:type="pct"/>
            <w:tcBorders>
              <w:top w:val="nil"/>
              <w:left w:val="nil"/>
              <w:bottom w:val="single" w:sz="8" w:space="0" w:color="auto"/>
              <w:right w:val="nil"/>
            </w:tcBorders>
            <w:shd w:val="clear" w:color="auto" w:fill="auto"/>
            <w:noWrap/>
            <w:vAlign w:val="center"/>
            <w:hideMark/>
          </w:tcPr>
          <w:p w14:paraId="072FA8A8" w14:textId="77777777" w:rsidR="00491BC0" w:rsidRDefault="00491BC0"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40" w:type="pct"/>
            <w:tcBorders>
              <w:top w:val="nil"/>
              <w:left w:val="nil"/>
              <w:bottom w:val="single" w:sz="8" w:space="0" w:color="auto"/>
              <w:right w:val="nil"/>
            </w:tcBorders>
            <w:shd w:val="clear" w:color="auto" w:fill="auto"/>
            <w:noWrap/>
            <w:vAlign w:val="center"/>
            <w:hideMark/>
          </w:tcPr>
          <w:p w14:paraId="4A65DCAB"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40CF6955" w14:textId="77777777" w:rsidR="00491BC0" w:rsidRDefault="00491BC0" w:rsidP="00937ED9">
            <w:pPr>
              <w:spacing w:after="120"/>
              <w:rPr>
                <w:rFonts w:ascii="Calibri" w:hAnsi="Calibri" w:cs="Calibri"/>
                <w:color w:val="000000"/>
                <w:sz w:val="16"/>
                <w:szCs w:val="16"/>
              </w:rPr>
            </w:pPr>
            <w:r>
              <w:rPr>
                <w:rFonts w:ascii="Calibri" w:hAnsi="Calibri" w:cs="Calibri"/>
                <w:color w:val="000000"/>
                <w:sz w:val="16"/>
                <w:szCs w:val="16"/>
              </w:rPr>
              <w:t> </w:t>
            </w:r>
          </w:p>
        </w:tc>
        <w:tc>
          <w:tcPr>
            <w:tcW w:w="500" w:type="pct"/>
            <w:tcBorders>
              <w:top w:val="nil"/>
              <w:left w:val="nil"/>
              <w:bottom w:val="single" w:sz="8" w:space="0" w:color="auto"/>
              <w:right w:val="nil"/>
            </w:tcBorders>
            <w:shd w:val="clear" w:color="auto" w:fill="auto"/>
            <w:noWrap/>
            <w:vAlign w:val="center"/>
            <w:hideMark/>
          </w:tcPr>
          <w:p w14:paraId="7008BA37" w14:textId="77777777" w:rsidR="00491BC0" w:rsidRDefault="00491BC0"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620" w:type="pct"/>
            <w:tcBorders>
              <w:top w:val="nil"/>
              <w:left w:val="nil"/>
              <w:bottom w:val="single" w:sz="8" w:space="0" w:color="auto"/>
              <w:right w:val="nil"/>
            </w:tcBorders>
            <w:shd w:val="clear" w:color="auto" w:fill="auto"/>
            <w:noWrap/>
            <w:vAlign w:val="center"/>
            <w:hideMark/>
          </w:tcPr>
          <w:p w14:paraId="19DCD61B" w14:textId="1A878A9C" w:rsidR="00491BC0" w:rsidRDefault="00323EDD" w:rsidP="00937ED9">
            <w:pPr>
              <w:spacing w:after="120"/>
              <w:jc w:val="right"/>
              <w:rPr>
                <w:rFonts w:ascii="Calibri" w:hAnsi="Calibri" w:cs="Calibri"/>
                <w:b/>
                <w:bCs/>
                <w:color w:val="000000"/>
                <w:sz w:val="16"/>
                <w:szCs w:val="16"/>
              </w:rPr>
            </w:pPr>
            <w:r>
              <w:rPr>
                <w:rFonts w:ascii="Calibri" w:hAnsi="Calibri" w:cs="Calibri"/>
                <w:b/>
                <w:bCs/>
                <w:color w:val="000000"/>
                <w:sz w:val="16"/>
                <w:szCs w:val="16"/>
              </w:rPr>
              <w:t>50.554.434</w:t>
            </w:r>
          </w:p>
        </w:tc>
        <w:tc>
          <w:tcPr>
            <w:tcW w:w="575" w:type="pct"/>
            <w:tcBorders>
              <w:top w:val="nil"/>
              <w:left w:val="nil"/>
              <w:bottom w:val="single" w:sz="8" w:space="0" w:color="auto"/>
              <w:right w:val="nil"/>
            </w:tcBorders>
            <w:shd w:val="clear" w:color="auto" w:fill="auto"/>
            <w:noWrap/>
            <w:vAlign w:val="center"/>
            <w:hideMark/>
          </w:tcPr>
          <w:p w14:paraId="480E82AE" w14:textId="02F2167E" w:rsidR="00491BC0" w:rsidRDefault="009F2530" w:rsidP="00937ED9">
            <w:pPr>
              <w:spacing w:after="120"/>
              <w:jc w:val="right"/>
              <w:rPr>
                <w:rFonts w:ascii="Calibri" w:hAnsi="Calibri" w:cs="Calibri"/>
                <w:b/>
                <w:bCs/>
                <w:color w:val="000000"/>
                <w:sz w:val="16"/>
                <w:szCs w:val="16"/>
              </w:rPr>
            </w:pPr>
            <w:r>
              <w:rPr>
                <w:rFonts w:ascii="Calibri" w:hAnsi="Calibri" w:cs="Calibri"/>
                <w:b/>
                <w:bCs/>
                <w:color w:val="000000"/>
                <w:sz w:val="16"/>
                <w:szCs w:val="16"/>
              </w:rPr>
              <w:t>41.112.262</w:t>
            </w:r>
          </w:p>
        </w:tc>
      </w:tr>
    </w:tbl>
    <w:p w14:paraId="3CD9C0A2" w14:textId="0D7CD886" w:rsidR="005407E6" w:rsidRPr="002E2B5B" w:rsidRDefault="00D22F5E" w:rsidP="00042306">
      <w:pPr>
        <w:spacing w:before="240" w:after="120"/>
        <w:rPr>
          <w:rFonts w:ascii="Calibri" w:hAnsi="Calibri" w:cs="Calibri"/>
          <w:b/>
          <w:sz w:val="22"/>
          <w:szCs w:val="22"/>
        </w:rPr>
      </w:pPr>
      <w:r w:rsidRPr="002E2B5B">
        <w:rPr>
          <w:rFonts w:ascii="Calibri" w:hAnsi="Calibri" w:cs="Calibri"/>
          <w:b/>
          <w:sz w:val="22"/>
          <w:szCs w:val="22"/>
        </w:rPr>
        <w:t xml:space="preserve">NOTA </w:t>
      </w:r>
      <w:r w:rsidR="00721416">
        <w:rPr>
          <w:rFonts w:ascii="Calibri" w:hAnsi="Calibri" w:cs="Calibri"/>
          <w:b/>
          <w:sz w:val="22"/>
          <w:szCs w:val="22"/>
        </w:rPr>
        <w:t>8</w:t>
      </w:r>
      <w:r w:rsidRPr="002E2B5B">
        <w:rPr>
          <w:rFonts w:ascii="Calibri" w:hAnsi="Calibri" w:cs="Calibri"/>
          <w:b/>
          <w:sz w:val="22"/>
          <w:szCs w:val="22"/>
        </w:rPr>
        <w:t xml:space="preserve"> </w:t>
      </w:r>
      <w:r w:rsidR="005407E6" w:rsidRPr="002E2B5B">
        <w:rPr>
          <w:rFonts w:ascii="Calibri" w:hAnsi="Calibri" w:cs="Calibri"/>
          <w:b/>
          <w:sz w:val="22"/>
          <w:szCs w:val="22"/>
        </w:rPr>
        <w:t xml:space="preserve">– </w:t>
      </w:r>
      <w:r w:rsidR="00FE7C5D" w:rsidRPr="002E2B5B">
        <w:rPr>
          <w:rFonts w:ascii="Calibri" w:hAnsi="Calibri" w:cs="Calibri"/>
          <w:b/>
          <w:sz w:val="22"/>
          <w:szCs w:val="22"/>
        </w:rPr>
        <w:t>INVESTIMENTO</w:t>
      </w:r>
    </w:p>
    <w:tbl>
      <w:tblPr>
        <w:tblW w:w="5041" w:type="pct"/>
        <w:jc w:val="center"/>
        <w:tblLook w:val="04A0" w:firstRow="1" w:lastRow="0" w:firstColumn="1" w:lastColumn="0" w:noHBand="0" w:noVBand="1"/>
      </w:tblPr>
      <w:tblGrid>
        <w:gridCol w:w="1386"/>
        <w:gridCol w:w="163"/>
        <w:gridCol w:w="1182"/>
        <w:gridCol w:w="156"/>
        <w:gridCol w:w="981"/>
        <w:gridCol w:w="154"/>
        <w:gridCol w:w="665"/>
        <w:gridCol w:w="154"/>
        <w:gridCol w:w="967"/>
        <w:gridCol w:w="154"/>
        <w:gridCol w:w="874"/>
        <w:gridCol w:w="154"/>
        <w:gridCol w:w="561"/>
        <w:gridCol w:w="154"/>
        <w:gridCol w:w="785"/>
        <w:gridCol w:w="154"/>
        <w:gridCol w:w="561"/>
        <w:gridCol w:w="154"/>
        <w:gridCol w:w="87"/>
        <w:gridCol w:w="154"/>
        <w:gridCol w:w="564"/>
        <w:gridCol w:w="154"/>
        <w:gridCol w:w="87"/>
        <w:gridCol w:w="148"/>
      </w:tblGrid>
      <w:tr w:rsidR="00A80A95" w:rsidRPr="002E2B5B" w14:paraId="0A9E4C27" w14:textId="77777777" w:rsidTr="00910934">
        <w:trPr>
          <w:gridAfter w:val="1"/>
          <w:wAfter w:w="70" w:type="pct"/>
          <w:trHeight w:hRule="exact" w:val="536"/>
          <w:jc w:val="center"/>
        </w:trPr>
        <w:tc>
          <w:tcPr>
            <w:tcW w:w="657" w:type="pct"/>
            <w:tcBorders>
              <w:bottom w:val="single" w:sz="4" w:space="0" w:color="auto"/>
            </w:tcBorders>
            <w:noWrap/>
            <w:vAlign w:val="center"/>
            <w:hideMark/>
          </w:tcPr>
          <w:p w14:paraId="08BFD5AE"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INVESTIDAS</w:t>
            </w:r>
          </w:p>
        </w:tc>
        <w:tc>
          <w:tcPr>
            <w:tcW w:w="637" w:type="pct"/>
            <w:gridSpan w:val="2"/>
            <w:tcBorders>
              <w:bottom w:val="single" w:sz="4" w:space="0" w:color="auto"/>
            </w:tcBorders>
            <w:vAlign w:val="center"/>
            <w:hideMark/>
          </w:tcPr>
          <w:p w14:paraId="42752AFC" w14:textId="299F9B49"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SALDO EM 31/12/20</w:t>
            </w:r>
            <w:r w:rsidR="00317348">
              <w:rPr>
                <w:rFonts w:ascii="Calibri" w:hAnsi="Calibri" w:cs="Calibri"/>
                <w:b/>
                <w:bCs/>
                <w:sz w:val="16"/>
                <w:szCs w:val="16"/>
              </w:rPr>
              <w:t>2</w:t>
            </w:r>
            <w:r w:rsidR="00BD67AF">
              <w:rPr>
                <w:rFonts w:ascii="Calibri" w:hAnsi="Calibri" w:cs="Calibri"/>
                <w:b/>
                <w:bCs/>
                <w:sz w:val="16"/>
                <w:szCs w:val="16"/>
              </w:rPr>
              <w:t>1</w:t>
            </w:r>
          </w:p>
        </w:tc>
        <w:tc>
          <w:tcPr>
            <w:tcW w:w="539" w:type="pct"/>
            <w:gridSpan w:val="2"/>
            <w:tcBorders>
              <w:bottom w:val="single" w:sz="4" w:space="0" w:color="auto"/>
            </w:tcBorders>
            <w:vAlign w:val="center"/>
            <w:hideMark/>
          </w:tcPr>
          <w:p w14:paraId="23FED6EC"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RESULT. MEP</w:t>
            </w:r>
          </w:p>
        </w:tc>
        <w:tc>
          <w:tcPr>
            <w:tcW w:w="388" w:type="pct"/>
            <w:gridSpan w:val="2"/>
            <w:tcBorders>
              <w:bottom w:val="single" w:sz="4" w:space="0" w:color="auto"/>
            </w:tcBorders>
            <w:vAlign w:val="center"/>
            <w:hideMark/>
          </w:tcPr>
          <w:p w14:paraId="0287D941"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APORTE</w:t>
            </w:r>
          </w:p>
        </w:tc>
        <w:tc>
          <w:tcPr>
            <w:tcW w:w="531" w:type="pct"/>
            <w:gridSpan w:val="2"/>
            <w:tcBorders>
              <w:bottom w:val="single" w:sz="4" w:space="0" w:color="auto"/>
            </w:tcBorders>
            <w:vAlign w:val="center"/>
            <w:hideMark/>
          </w:tcPr>
          <w:p w14:paraId="30A64AF6" w14:textId="6A4291B5"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 xml:space="preserve">SALDO EM </w:t>
            </w:r>
            <w:r w:rsidR="000E5694">
              <w:rPr>
                <w:rFonts w:ascii="Calibri" w:hAnsi="Calibri" w:cs="Calibri"/>
                <w:b/>
                <w:bCs/>
                <w:sz w:val="16"/>
                <w:szCs w:val="16"/>
              </w:rPr>
              <w:t>3</w:t>
            </w:r>
            <w:r w:rsidR="00CE548A">
              <w:rPr>
                <w:rFonts w:ascii="Calibri" w:hAnsi="Calibri" w:cs="Calibri"/>
                <w:b/>
                <w:bCs/>
                <w:sz w:val="16"/>
                <w:szCs w:val="16"/>
              </w:rPr>
              <w:t>0</w:t>
            </w:r>
            <w:r w:rsidR="000E5694">
              <w:rPr>
                <w:rFonts w:ascii="Calibri" w:hAnsi="Calibri" w:cs="Calibri"/>
                <w:b/>
                <w:bCs/>
                <w:sz w:val="16"/>
                <w:szCs w:val="16"/>
              </w:rPr>
              <w:t>/</w:t>
            </w:r>
            <w:r w:rsidR="00BD67AF">
              <w:rPr>
                <w:rFonts w:ascii="Calibri" w:hAnsi="Calibri" w:cs="Calibri"/>
                <w:b/>
                <w:bCs/>
                <w:sz w:val="16"/>
                <w:szCs w:val="16"/>
              </w:rPr>
              <w:t>0</w:t>
            </w:r>
            <w:r w:rsidR="00E0514E">
              <w:rPr>
                <w:rFonts w:ascii="Calibri" w:hAnsi="Calibri" w:cs="Calibri"/>
                <w:b/>
                <w:bCs/>
                <w:sz w:val="16"/>
                <w:szCs w:val="16"/>
              </w:rPr>
              <w:t>9</w:t>
            </w:r>
            <w:r w:rsidRPr="002E2B5B">
              <w:rPr>
                <w:rFonts w:ascii="Calibri" w:hAnsi="Calibri" w:cs="Calibri"/>
                <w:b/>
                <w:bCs/>
                <w:sz w:val="16"/>
                <w:szCs w:val="16"/>
              </w:rPr>
              <w:t>/20</w:t>
            </w:r>
            <w:r w:rsidR="007E07A3" w:rsidRPr="002E2B5B">
              <w:rPr>
                <w:rFonts w:ascii="Calibri" w:hAnsi="Calibri" w:cs="Calibri"/>
                <w:b/>
                <w:bCs/>
                <w:sz w:val="16"/>
                <w:szCs w:val="16"/>
              </w:rPr>
              <w:t>2</w:t>
            </w:r>
            <w:r w:rsidR="00BD67AF">
              <w:rPr>
                <w:rFonts w:ascii="Calibri" w:hAnsi="Calibri" w:cs="Calibri"/>
                <w:b/>
                <w:bCs/>
                <w:sz w:val="16"/>
                <w:szCs w:val="16"/>
              </w:rPr>
              <w:t>2</w:t>
            </w:r>
          </w:p>
        </w:tc>
        <w:tc>
          <w:tcPr>
            <w:tcW w:w="487" w:type="pct"/>
            <w:gridSpan w:val="2"/>
            <w:tcBorders>
              <w:bottom w:val="single" w:sz="4" w:space="0" w:color="auto"/>
            </w:tcBorders>
            <w:vAlign w:val="center"/>
            <w:hideMark/>
          </w:tcPr>
          <w:p w14:paraId="7696899F"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QTD DE AÇÕES PN</w:t>
            </w:r>
          </w:p>
        </w:tc>
        <w:tc>
          <w:tcPr>
            <w:tcW w:w="339" w:type="pct"/>
            <w:gridSpan w:val="2"/>
            <w:tcBorders>
              <w:bottom w:val="single" w:sz="4" w:space="0" w:color="auto"/>
            </w:tcBorders>
            <w:vAlign w:val="center"/>
            <w:hideMark/>
          </w:tcPr>
          <w:p w14:paraId="082A89D5"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AÇÕES PN (%)</w:t>
            </w:r>
          </w:p>
        </w:tc>
        <w:tc>
          <w:tcPr>
            <w:tcW w:w="445" w:type="pct"/>
            <w:gridSpan w:val="2"/>
            <w:tcBorders>
              <w:bottom w:val="single" w:sz="4" w:space="0" w:color="auto"/>
            </w:tcBorders>
            <w:vAlign w:val="center"/>
            <w:hideMark/>
          </w:tcPr>
          <w:p w14:paraId="62F66799"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QTD DE AÇÕES ON</w:t>
            </w:r>
          </w:p>
        </w:tc>
        <w:tc>
          <w:tcPr>
            <w:tcW w:w="339" w:type="pct"/>
            <w:gridSpan w:val="2"/>
            <w:tcBorders>
              <w:bottom w:val="single" w:sz="4" w:space="0" w:color="auto"/>
            </w:tcBorders>
            <w:vAlign w:val="center"/>
            <w:hideMark/>
          </w:tcPr>
          <w:p w14:paraId="21F153C4"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AÇÕES ON (%)</w:t>
            </w:r>
          </w:p>
        </w:tc>
        <w:tc>
          <w:tcPr>
            <w:tcW w:w="114" w:type="pct"/>
            <w:gridSpan w:val="2"/>
            <w:tcBorders>
              <w:bottom w:val="single" w:sz="4" w:space="0" w:color="auto"/>
            </w:tcBorders>
            <w:vAlign w:val="center"/>
          </w:tcPr>
          <w:p w14:paraId="4227515B" w14:textId="77777777" w:rsidR="001A123C" w:rsidRPr="002E2B5B" w:rsidRDefault="001A123C" w:rsidP="00937ED9">
            <w:pPr>
              <w:spacing w:after="120"/>
              <w:jc w:val="right"/>
              <w:rPr>
                <w:rFonts w:ascii="Calibri" w:hAnsi="Calibri" w:cs="Calibri"/>
                <w:b/>
                <w:bCs/>
                <w:sz w:val="16"/>
                <w:szCs w:val="16"/>
              </w:rPr>
            </w:pPr>
          </w:p>
        </w:tc>
        <w:tc>
          <w:tcPr>
            <w:tcW w:w="340" w:type="pct"/>
            <w:gridSpan w:val="2"/>
            <w:tcBorders>
              <w:bottom w:val="single" w:sz="4" w:space="0" w:color="auto"/>
            </w:tcBorders>
            <w:vAlign w:val="center"/>
          </w:tcPr>
          <w:p w14:paraId="7968F103"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AÇÕES TOTAL (%)</w:t>
            </w:r>
          </w:p>
        </w:tc>
        <w:tc>
          <w:tcPr>
            <w:tcW w:w="114" w:type="pct"/>
            <w:gridSpan w:val="2"/>
            <w:tcBorders>
              <w:bottom w:val="single" w:sz="4" w:space="0" w:color="auto"/>
            </w:tcBorders>
            <w:vAlign w:val="center"/>
          </w:tcPr>
          <w:p w14:paraId="49F301F1" w14:textId="77777777" w:rsidR="001A123C" w:rsidRPr="002E2B5B" w:rsidRDefault="001A123C" w:rsidP="00937ED9">
            <w:pPr>
              <w:spacing w:after="120"/>
              <w:jc w:val="right"/>
              <w:rPr>
                <w:rFonts w:ascii="Calibri" w:hAnsi="Calibri" w:cs="Calibri"/>
                <w:b/>
                <w:bCs/>
                <w:sz w:val="16"/>
                <w:szCs w:val="16"/>
              </w:rPr>
            </w:pPr>
          </w:p>
        </w:tc>
      </w:tr>
      <w:tr w:rsidR="00A80A95" w:rsidRPr="002E2B5B" w14:paraId="7D036C04" w14:textId="77777777" w:rsidTr="00C34E8D">
        <w:trPr>
          <w:trHeight w:hRule="exact" w:val="227"/>
          <w:jc w:val="center"/>
        </w:trPr>
        <w:tc>
          <w:tcPr>
            <w:tcW w:w="734" w:type="pct"/>
            <w:gridSpan w:val="2"/>
            <w:tcBorders>
              <w:top w:val="single" w:sz="4" w:space="0" w:color="auto"/>
            </w:tcBorders>
            <w:vAlign w:val="center"/>
            <w:hideMark/>
          </w:tcPr>
          <w:p w14:paraId="75DC2039"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Estrada de Ferro Paraná Oeste S/A</w:t>
            </w:r>
          </w:p>
        </w:tc>
        <w:tc>
          <w:tcPr>
            <w:tcW w:w="634" w:type="pct"/>
            <w:gridSpan w:val="2"/>
            <w:tcBorders>
              <w:top w:val="single" w:sz="4" w:space="0" w:color="auto"/>
            </w:tcBorders>
            <w:noWrap/>
            <w:vAlign w:val="center"/>
            <w:hideMark/>
          </w:tcPr>
          <w:p w14:paraId="18CD236B"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26.278</w:t>
            </w:r>
          </w:p>
        </w:tc>
        <w:tc>
          <w:tcPr>
            <w:tcW w:w="538" w:type="pct"/>
            <w:gridSpan w:val="2"/>
            <w:tcBorders>
              <w:top w:val="single" w:sz="4" w:space="0" w:color="auto"/>
            </w:tcBorders>
            <w:noWrap/>
            <w:vAlign w:val="center"/>
            <w:hideMark/>
          </w:tcPr>
          <w:p w14:paraId="10D48B54" w14:textId="77777777" w:rsidR="001A123C" w:rsidRPr="002E2B5B" w:rsidRDefault="00965911" w:rsidP="00937ED9">
            <w:pPr>
              <w:spacing w:after="120"/>
              <w:jc w:val="right"/>
              <w:rPr>
                <w:rFonts w:ascii="Calibri" w:hAnsi="Calibri" w:cs="Calibri"/>
                <w:sz w:val="16"/>
                <w:szCs w:val="16"/>
              </w:rPr>
            </w:pPr>
            <w:r w:rsidRPr="002E2B5B">
              <w:rPr>
                <w:rFonts w:ascii="Calibri" w:hAnsi="Calibri" w:cs="Calibri"/>
                <w:sz w:val="16"/>
                <w:szCs w:val="16"/>
              </w:rPr>
              <w:t>-</w:t>
            </w:r>
          </w:p>
        </w:tc>
        <w:tc>
          <w:tcPr>
            <w:tcW w:w="388" w:type="pct"/>
            <w:gridSpan w:val="2"/>
            <w:tcBorders>
              <w:top w:val="single" w:sz="4" w:space="0" w:color="auto"/>
            </w:tcBorders>
            <w:noWrap/>
            <w:vAlign w:val="center"/>
            <w:hideMark/>
          </w:tcPr>
          <w:p w14:paraId="44F1C59F"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531" w:type="pct"/>
            <w:gridSpan w:val="2"/>
            <w:tcBorders>
              <w:top w:val="single" w:sz="4" w:space="0" w:color="auto"/>
            </w:tcBorders>
            <w:noWrap/>
            <w:vAlign w:val="center"/>
            <w:hideMark/>
          </w:tcPr>
          <w:p w14:paraId="0A372FC5" w14:textId="7CECFF46" w:rsidR="001A123C" w:rsidRPr="002E2B5B" w:rsidRDefault="00910934" w:rsidP="00937ED9">
            <w:pPr>
              <w:spacing w:after="120"/>
              <w:jc w:val="right"/>
              <w:rPr>
                <w:rFonts w:ascii="Calibri" w:hAnsi="Calibri" w:cs="Calibri"/>
                <w:sz w:val="16"/>
                <w:szCs w:val="16"/>
              </w:rPr>
            </w:pPr>
            <w:r>
              <w:rPr>
                <w:rFonts w:ascii="Calibri" w:hAnsi="Calibri" w:cs="Calibri"/>
                <w:sz w:val="16"/>
                <w:szCs w:val="16"/>
              </w:rPr>
              <w:t>26.278</w:t>
            </w:r>
          </w:p>
          <w:p w14:paraId="0230453A"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26.278</w:t>
            </w:r>
          </w:p>
        </w:tc>
        <w:tc>
          <w:tcPr>
            <w:tcW w:w="487" w:type="pct"/>
            <w:gridSpan w:val="2"/>
            <w:tcBorders>
              <w:top w:val="single" w:sz="4" w:space="0" w:color="auto"/>
            </w:tcBorders>
            <w:noWrap/>
            <w:vAlign w:val="center"/>
            <w:hideMark/>
          </w:tcPr>
          <w:p w14:paraId="10DC7F71"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339" w:type="pct"/>
            <w:gridSpan w:val="2"/>
            <w:tcBorders>
              <w:top w:val="single" w:sz="4" w:space="0" w:color="auto"/>
            </w:tcBorders>
            <w:noWrap/>
            <w:vAlign w:val="center"/>
            <w:hideMark/>
          </w:tcPr>
          <w:p w14:paraId="7611BC76"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445" w:type="pct"/>
            <w:gridSpan w:val="2"/>
            <w:tcBorders>
              <w:top w:val="single" w:sz="4" w:space="0" w:color="auto"/>
            </w:tcBorders>
            <w:noWrap/>
            <w:vAlign w:val="center"/>
            <w:hideMark/>
          </w:tcPr>
          <w:p w14:paraId="2177E45E"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1.875.000</w:t>
            </w:r>
          </w:p>
        </w:tc>
        <w:tc>
          <w:tcPr>
            <w:tcW w:w="339" w:type="pct"/>
            <w:gridSpan w:val="2"/>
            <w:tcBorders>
              <w:top w:val="single" w:sz="4" w:space="0" w:color="auto"/>
            </w:tcBorders>
            <w:noWrap/>
            <w:vAlign w:val="center"/>
            <w:hideMark/>
          </w:tcPr>
          <w:p w14:paraId="0F80BA66"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0,008</w:t>
            </w:r>
          </w:p>
        </w:tc>
        <w:tc>
          <w:tcPr>
            <w:tcW w:w="114" w:type="pct"/>
            <w:gridSpan w:val="2"/>
            <w:tcBorders>
              <w:top w:val="single" w:sz="4" w:space="0" w:color="auto"/>
            </w:tcBorders>
            <w:vAlign w:val="center"/>
          </w:tcPr>
          <w:p w14:paraId="587BA322" w14:textId="77777777" w:rsidR="001A123C" w:rsidRPr="002E2B5B" w:rsidRDefault="001A123C" w:rsidP="00937ED9">
            <w:pPr>
              <w:spacing w:after="120"/>
              <w:jc w:val="right"/>
              <w:rPr>
                <w:rFonts w:ascii="Calibri" w:hAnsi="Calibri" w:cs="Calibri"/>
                <w:sz w:val="16"/>
                <w:szCs w:val="16"/>
              </w:rPr>
            </w:pPr>
          </w:p>
        </w:tc>
        <w:tc>
          <w:tcPr>
            <w:tcW w:w="340" w:type="pct"/>
            <w:gridSpan w:val="2"/>
            <w:tcBorders>
              <w:top w:val="single" w:sz="4" w:space="0" w:color="auto"/>
            </w:tcBorders>
            <w:vAlign w:val="center"/>
          </w:tcPr>
          <w:p w14:paraId="1A2E4584"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0,0027</w:t>
            </w:r>
          </w:p>
        </w:tc>
        <w:tc>
          <w:tcPr>
            <w:tcW w:w="111" w:type="pct"/>
            <w:gridSpan w:val="2"/>
            <w:tcBorders>
              <w:top w:val="single" w:sz="4" w:space="0" w:color="auto"/>
            </w:tcBorders>
            <w:vAlign w:val="center"/>
          </w:tcPr>
          <w:p w14:paraId="7C2D9D96" w14:textId="77777777" w:rsidR="001A123C" w:rsidRPr="002E2B5B" w:rsidRDefault="001A123C" w:rsidP="00937ED9">
            <w:pPr>
              <w:spacing w:after="120"/>
              <w:jc w:val="both"/>
              <w:rPr>
                <w:rFonts w:ascii="Calibri" w:hAnsi="Calibri" w:cs="Calibri"/>
                <w:sz w:val="16"/>
                <w:szCs w:val="16"/>
              </w:rPr>
            </w:pPr>
          </w:p>
        </w:tc>
      </w:tr>
      <w:tr w:rsidR="00A80A95" w:rsidRPr="002E2B5B" w14:paraId="3F6438B1" w14:textId="77777777" w:rsidTr="00C34E8D">
        <w:trPr>
          <w:trHeight w:hRule="exact" w:val="227"/>
          <w:jc w:val="center"/>
        </w:trPr>
        <w:tc>
          <w:tcPr>
            <w:tcW w:w="734" w:type="pct"/>
            <w:gridSpan w:val="2"/>
            <w:tcBorders>
              <w:bottom w:val="single" w:sz="4" w:space="0" w:color="auto"/>
            </w:tcBorders>
            <w:vAlign w:val="center"/>
          </w:tcPr>
          <w:p w14:paraId="0753BE48"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Transnordestina Logística S/A</w:t>
            </w:r>
          </w:p>
        </w:tc>
        <w:tc>
          <w:tcPr>
            <w:tcW w:w="634" w:type="pct"/>
            <w:gridSpan w:val="2"/>
            <w:tcBorders>
              <w:bottom w:val="single" w:sz="4" w:space="0" w:color="auto"/>
            </w:tcBorders>
            <w:noWrap/>
            <w:vAlign w:val="center"/>
          </w:tcPr>
          <w:p w14:paraId="32B78821" w14:textId="09B3A5A3" w:rsidR="001A123C" w:rsidRPr="002E2B5B" w:rsidRDefault="00BD67AF" w:rsidP="00937ED9">
            <w:pPr>
              <w:spacing w:after="120"/>
              <w:jc w:val="right"/>
              <w:rPr>
                <w:rFonts w:ascii="Calibri" w:hAnsi="Calibri" w:cs="Calibri"/>
                <w:sz w:val="16"/>
                <w:szCs w:val="16"/>
              </w:rPr>
            </w:pPr>
            <w:r w:rsidRPr="00411555">
              <w:rPr>
                <w:rFonts w:ascii="Calibri" w:hAnsi="Calibri" w:cs="Calibri"/>
                <w:sz w:val="16"/>
                <w:szCs w:val="16"/>
              </w:rPr>
              <w:t>921.825.119</w:t>
            </w:r>
          </w:p>
        </w:tc>
        <w:tc>
          <w:tcPr>
            <w:tcW w:w="538" w:type="pct"/>
            <w:gridSpan w:val="2"/>
            <w:tcBorders>
              <w:bottom w:val="single" w:sz="4" w:space="0" w:color="auto"/>
            </w:tcBorders>
            <w:noWrap/>
            <w:vAlign w:val="center"/>
          </w:tcPr>
          <w:p w14:paraId="45EE27C4" w14:textId="37B587B8" w:rsidR="001A123C" w:rsidRPr="002E2B5B" w:rsidRDefault="003B05E9" w:rsidP="00937ED9">
            <w:pPr>
              <w:spacing w:after="120"/>
              <w:jc w:val="right"/>
              <w:rPr>
                <w:rFonts w:ascii="Calibri" w:hAnsi="Calibri" w:cs="Calibri"/>
                <w:sz w:val="16"/>
                <w:szCs w:val="16"/>
              </w:rPr>
            </w:pPr>
            <w:r>
              <w:rPr>
                <w:rFonts w:ascii="Calibri" w:hAnsi="Calibri" w:cs="Calibri"/>
                <w:sz w:val="16"/>
                <w:szCs w:val="16"/>
              </w:rPr>
              <w:t>(</w:t>
            </w:r>
            <w:r w:rsidR="00A80A95">
              <w:rPr>
                <w:rFonts w:ascii="Calibri" w:hAnsi="Calibri" w:cs="Calibri"/>
                <w:sz w:val="16"/>
                <w:szCs w:val="16"/>
              </w:rPr>
              <w:t>19.303.670</w:t>
            </w:r>
            <w:r>
              <w:rPr>
                <w:rFonts w:ascii="Calibri" w:hAnsi="Calibri" w:cs="Calibri"/>
                <w:sz w:val="16"/>
                <w:szCs w:val="16"/>
              </w:rPr>
              <w:t>)</w:t>
            </w:r>
          </w:p>
        </w:tc>
        <w:tc>
          <w:tcPr>
            <w:tcW w:w="388" w:type="pct"/>
            <w:gridSpan w:val="2"/>
            <w:tcBorders>
              <w:bottom w:val="single" w:sz="4" w:space="0" w:color="auto"/>
            </w:tcBorders>
            <w:noWrap/>
            <w:vAlign w:val="center"/>
          </w:tcPr>
          <w:p w14:paraId="5C785282"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0</w:t>
            </w:r>
          </w:p>
        </w:tc>
        <w:tc>
          <w:tcPr>
            <w:tcW w:w="531" w:type="pct"/>
            <w:gridSpan w:val="2"/>
            <w:tcBorders>
              <w:bottom w:val="single" w:sz="4" w:space="0" w:color="auto"/>
            </w:tcBorders>
            <w:noWrap/>
            <w:vAlign w:val="center"/>
          </w:tcPr>
          <w:p w14:paraId="0F0229EF" w14:textId="21207C2D" w:rsidR="001A123C" w:rsidRPr="00411555" w:rsidRDefault="00E0514E" w:rsidP="00937ED9">
            <w:pPr>
              <w:spacing w:after="120"/>
              <w:jc w:val="right"/>
              <w:rPr>
                <w:rFonts w:ascii="Calibri" w:hAnsi="Calibri" w:cs="Calibri"/>
                <w:sz w:val="16"/>
                <w:szCs w:val="16"/>
              </w:rPr>
            </w:pPr>
            <w:r>
              <w:rPr>
                <w:rFonts w:ascii="Calibri" w:hAnsi="Calibri" w:cs="Calibri"/>
                <w:sz w:val="16"/>
                <w:szCs w:val="16"/>
              </w:rPr>
              <w:t>902.521.449</w:t>
            </w:r>
          </w:p>
        </w:tc>
        <w:tc>
          <w:tcPr>
            <w:tcW w:w="487" w:type="pct"/>
            <w:gridSpan w:val="2"/>
            <w:tcBorders>
              <w:bottom w:val="single" w:sz="4" w:space="0" w:color="auto"/>
            </w:tcBorders>
            <w:noWrap/>
            <w:vAlign w:val="center"/>
          </w:tcPr>
          <w:p w14:paraId="610F6E18"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18.686.075</w:t>
            </w:r>
          </w:p>
        </w:tc>
        <w:tc>
          <w:tcPr>
            <w:tcW w:w="339" w:type="pct"/>
            <w:gridSpan w:val="2"/>
            <w:tcBorders>
              <w:bottom w:val="single" w:sz="4" w:space="0" w:color="auto"/>
            </w:tcBorders>
            <w:noWrap/>
            <w:vAlign w:val="center"/>
          </w:tcPr>
          <w:p w14:paraId="27FF785F"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71,59</w:t>
            </w:r>
          </w:p>
        </w:tc>
        <w:tc>
          <w:tcPr>
            <w:tcW w:w="445" w:type="pct"/>
            <w:gridSpan w:val="2"/>
            <w:tcBorders>
              <w:bottom w:val="single" w:sz="4" w:space="0" w:color="auto"/>
            </w:tcBorders>
            <w:noWrap/>
            <w:vAlign w:val="center"/>
          </w:tcPr>
          <w:p w14:paraId="0EB98C56"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1.722.716</w:t>
            </w:r>
          </w:p>
        </w:tc>
        <w:tc>
          <w:tcPr>
            <w:tcW w:w="339" w:type="pct"/>
            <w:gridSpan w:val="2"/>
            <w:tcBorders>
              <w:bottom w:val="single" w:sz="4" w:space="0" w:color="auto"/>
            </w:tcBorders>
            <w:noWrap/>
            <w:vAlign w:val="center"/>
          </w:tcPr>
          <w:p w14:paraId="7F497F14"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6,60</w:t>
            </w:r>
          </w:p>
        </w:tc>
        <w:tc>
          <w:tcPr>
            <w:tcW w:w="114" w:type="pct"/>
            <w:gridSpan w:val="2"/>
            <w:tcBorders>
              <w:bottom w:val="single" w:sz="4" w:space="0" w:color="auto"/>
            </w:tcBorders>
            <w:vAlign w:val="center"/>
          </w:tcPr>
          <w:p w14:paraId="419D192D" w14:textId="77777777" w:rsidR="001A123C" w:rsidRPr="002E2B5B" w:rsidRDefault="001A123C" w:rsidP="00937ED9">
            <w:pPr>
              <w:spacing w:after="120"/>
              <w:jc w:val="right"/>
              <w:rPr>
                <w:rFonts w:ascii="Calibri" w:hAnsi="Calibri" w:cs="Calibri"/>
                <w:sz w:val="16"/>
                <w:szCs w:val="16"/>
              </w:rPr>
            </w:pPr>
          </w:p>
        </w:tc>
        <w:tc>
          <w:tcPr>
            <w:tcW w:w="340" w:type="pct"/>
            <w:gridSpan w:val="2"/>
            <w:tcBorders>
              <w:bottom w:val="single" w:sz="4" w:space="0" w:color="auto"/>
            </w:tcBorders>
            <w:vAlign w:val="center"/>
          </w:tcPr>
          <w:p w14:paraId="42DBB761" w14:textId="77777777" w:rsidR="001A123C" w:rsidRPr="002E2B5B" w:rsidRDefault="001A123C" w:rsidP="00937ED9">
            <w:pPr>
              <w:spacing w:after="120"/>
              <w:jc w:val="right"/>
              <w:rPr>
                <w:rFonts w:ascii="Calibri" w:hAnsi="Calibri" w:cs="Calibri"/>
                <w:sz w:val="16"/>
                <w:szCs w:val="16"/>
              </w:rPr>
            </w:pPr>
            <w:r w:rsidRPr="002E2B5B">
              <w:rPr>
                <w:rFonts w:ascii="Calibri" w:hAnsi="Calibri" w:cs="Calibri"/>
                <w:sz w:val="16"/>
                <w:szCs w:val="16"/>
              </w:rPr>
              <w:t>39,10</w:t>
            </w:r>
          </w:p>
        </w:tc>
        <w:tc>
          <w:tcPr>
            <w:tcW w:w="111" w:type="pct"/>
            <w:gridSpan w:val="2"/>
            <w:tcBorders>
              <w:bottom w:val="single" w:sz="4" w:space="0" w:color="auto"/>
            </w:tcBorders>
            <w:vAlign w:val="center"/>
          </w:tcPr>
          <w:p w14:paraId="0216CA86" w14:textId="77777777" w:rsidR="001A123C" w:rsidRPr="002E2B5B" w:rsidRDefault="001A123C" w:rsidP="00937ED9">
            <w:pPr>
              <w:spacing w:after="120"/>
              <w:jc w:val="both"/>
              <w:rPr>
                <w:rFonts w:ascii="Calibri" w:hAnsi="Calibri" w:cs="Calibri"/>
                <w:sz w:val="16"/>
                <w:szCs w:val="16"/>
              </w:rPr>
            </w:pPr>
          </w:p>
        </w:tc>
      </w:tr>
      <w:tr w:rsidR="00A80A95" w:rsidRPr="002E2B5B" w14:paraId="0C3D1570" w14:textId="77777777" w:rsidTr="00C34E8D">
        <w:trPr>
          <w:trHeight w:hRule="exact" w:val="227"/>
          <w:jc w:val="center"/>
        </w:trPr>
        <w:tc>
          <w:tcPr>
            <w:tcW w:w="734" w:type="pct"/>
            <w:gridSpan w:val="2"/>
            <w:tcBorders>
              <w:top w:val="single" w:sz="4" w:space="0" w:color="auto"/>
              <w:bottom w:val="single" w:sz="4" w:space="0" w:color="auto"/>
            </w:tcBorders>
            <w:noWrap/>
            <w:vAlign w:val="center"/>
            <w:hideMark/>
          </w:tcPr>
          <w:p w14:paraId="02DFB91F"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TOTAL</w:t>
            </w:r>
          </w:p>
        </w:tc>
        <w:tc>
          <w:tcPr>
            <w:tcW w:w="634" w:type="pct"/>
            <w:gridSpan w:val="2"/>
            <w:tcBorders>
              <w:top w:val="single" w:sz="4" w:space="0" w:color="auto"/>
              <w:bottom w:val="single" w:sz="4" w:space="0" w:color="auto"/>
            </w:tcBorders>
            <w:noWrap/>
            <w:vAlign w:val="center"/>
            <w:hideMark/>
          </w:tcPr>
          <w:p w14:paraId="5BCD8412" w14:textId="7CC6AC4B" w:rsidR="001A123C" w:rsidRPr="002E2B5B" w:rsidRDefault="00BD67AF" w:rsidP="00937ED9">
            <w:pPr>
              <w:spacing w:after="120"/>
              <w:jc w:val="right"/>
              <w:rPr>
                <w:rFonts w:ascii="Calibri" w:hAnsi="Calibri" w:cs="Calibri"/>
                <w:b/>
                <w:bCs/>
                <w:sz w:val="16"/>
                <w:szCs w:val="16"/>
              </w:rPr>
            </w:pPr>
            <w:r w:rsidRPr="00411555">
              <w:rPr>
                <w:rFonts w:ascii="Calibri" w:hAnsi="Calibri" w:cs="Calibri"/>
                <w:b/>
                <w:bCs/>
                <w:sz w:val="16"/>
                <w:szCs w:val="16"/>
              </w:rPr>
              <w:t>921.851.397</w:t>
            </w:r>
          </w:p>
        </w:tc>
        <w:tc>
          <w:tcPr>
            <w:tcW w:w="538" w:type="pct"/>
            <w:gridSpan w:val="2"/>
            <w:tcBorders>
              <w:top w:val="single" w:sz="4" w:space="0" w:color="auto"/>
              <w:bottom w:val="single" w:sz="4" w:space="0" w:color="auto"/>
            </w:tcBorders>
            <w:noWrap/>
            <w:vAlign w:val="center"/>
            <w:hideMark/>
          </w:tcPr>
          <w:p w14:paraId="76508E04" w14:textId="4597C5CB" w:rsidR="001A123C" w:rsidRPr="002E2B5B" w:rsidRDefault="003B05E9" w:rsidP="00937ED9">
            <w:pPr>
              <w:spacing w:after="120"/>
              <w:jc w:val="right"/>
              <w:rPr>
                <w:rFonts w:ascii="Calibri" w:hAnsi="Calibri" w:cs="Calibri"/>
                <w:b/>
                <w:bCs/>
                <w:sz w:val="16"/>
                <w:szCs w:val="16"/>
              </w:rPr>
            </w:pPr>
            <w:r>
              <w:rPr>
                <w:rFonts w:ascii="Calibri" w:hAnsi="Calibri" w:cs="Calibri"/>
                <w:b/>
                <w:bCs/>
                <w:sz w:val="16"/>
                <w:szCs w:val="16"/>
              </w:rPr>
              <w:t>(</w:t>
            </w:r>
            <w:r w:rsidR="00A80A95">
              <w:rPr>
                <w:rFonts w:ascii="Calibri" w:hAnsi="Calibri" w:cs="Calibri"/>
                <w:b/>
                <w:bCs/>
                <w:sz w:val="16"/>
                <w:szCs w:val="16"/>
              </w:rPr>
              <w:t>19.303.670</w:t>
            </w:r>
            <w:r>
              <w:rPr>
                <w:rFonts w:ascii="Calibri" w:hAnsi="Calibri" w:cs="Calibri"/>
                <w:b/>
                <w:bCs/>
                <w:sz w:val="16"/>
                <w:szCs w:val="16"/>
              </w:rPr>
              <w:t>)</w:t>
            </w:r>
          </w:p>
        </w:tc>
        <w:tc>
          <w:tcPr>
            <w:tcW w:w="388" w:type="pct"/>
            <w:gridSpan w:val="2"/>
            <w:tcBorders>
              <w:top w:val="single" w:sz="4" w:space="0" w:color="auto"/>
              <w:bottom w:val="single" w:sz="4" w:space="0" w:color="auto"/>
            </w:tcBorders>
            <w:noWrap/>
            <w:vAlign w:val="center"/>
            <w:hideMark/>
          </w:tcPr>
          <w:p w14:paraId="0B651A61" w14:textId="77777777" w:rsidR="001A123C" w:rsidRPr="002E2B5B" w:rsidRDefault="001A123C" w:rsidP="00937ED9">
            <w:pPr>
              <w:spacing w:after="120"/>
              <w:jc w:val="right"/>
              <w:rPr>
                <w:rFonts w:ascii="Calibri" w:hAnsi="Calibri" w:cs="Calibri"/>
                <w:b/>
                <w:bCs/>
                <w:sz w:val="16"/>
                <w:szCs w:val="16"/>
              </w:rPr>
            </w:pPr>
            <w:r w:rsidRPr="002E2B5B">
              <w:rPr>
                <w:rFonts w:ascii="Calibri" w:hAnsi="Calibri" w:cs="Calibri"/>
                <w:b/>
                <w:bCs/>
                <w:sz w:val="16"/>
                <w:szCs w:val="16"/>
              </w:rPr>
              <w:t>0</w:t>
            </w:r>
          </w:p>
        </w:tc>
        <w:tc>
          <w:tcPr>
            <w:tcW w:w="531" w:type="pct"/>
            <w:gridSpan w:val="2"/>
            <w:tcBorders>
              <w:top w:val="single" w:sz="4" w:space="0" w:color="auto"/>
              <w:bottom w:val="single" w:sz="4" w:space="0" w:color="auto"/>
            </w:tcBorders>
            <w:noWrap/>
            <w:vAlign w:val="center"/>
            <w:hideMark/>
          </w:tcPr>
          <w:p w14:paraId="40B1B682" w14:textId="414F25B7" w:rsidR="001A123C" w:rsidRPr="00411555" w:rsidRDefault="00A80A95" w:rsidP="00937ED9">
            <w:pPr>
              <w:spacing w:after="120"/>
              <w:jc w:val="right"/>
              <w:rPr>
                <w:rFonts w:ascii="Calibri" w:hAnsi="Calibri" w:cs="Calibri"/>
                <w:b/>
                <w:bCs/>
                <w:sz w:val="16"/>
                <w:szCs w:val="16"/>
              </w:rPr>
            </w:pPr>
            <w:r>
              <w:rPr>
                <w:rFonts w:ascii="Calibri" w:hAnsi="Calibri" w:cs="Calibri"/>
                <w:b/>
                <w:bCs/>
                <w:sz w:val="16"/>
                <w:szCs w:val="16"/>
              </w:rPr>
              <w:t>902.547.727</w:t>
            </w:r>
          </w:p>
        </w:tc>
        <w:tc>
          <w:tcPr>
            <w:tcW w:w="487" w:type="pct"/>
            <w:gridSpan w:val="2"/>
            <w:tcBorders>
              <w:top w:val="single" w:sz="4" w:space="0" w:color="auto"/>
              <w:bottom w:val="single" w:sz="4" w:space="0" w:color="auto"/>
            </w:tcBorders>
            <w:noWrap/>
            <w:vAlign w:val="center"/>
            <w:hideMark/>
          </w:tcPr>
          <w:p w14:paraId="7CB366B3" w14:textId="77777777" w:rsidR="001A123C" w:rsidRPr="002E2B5B" w:rsidRDefault="001A123C" w:rsidP="00937ED9">
            <w:pPr>
              <w:spacing w:after="120"/>
              <w:jc w:val="right"/>
              <w:rPr>
                <w:rFonts w:ascii="Calibri" w:hAnsi="Calibri" w:cs="Calibri"/>
                <w:b/>
                <w:bCs/>
                <w:sz w:val="16"/>
                <w:szCs w:val="16"/>
              </w:rPr>
            </w:pPr>
          </w:p>
        </w:tc>
        <w:tc>
          <w:tcPr>
            <w:tcW w:w="339" w:type="pct"/>
            <w:gridSpan w:val="2"/>
            <w:tcBorders>
              <w:top w:val="single" w:sz="4" w:space="0" w:color="auto"/>
              <w:bottom w:val="single" w:sz="4" w:space="0" w:color="auto"/>
            </w:tcBorders>
            <w:noWrap/>
            <w:vAlign w:val="center"/>
            <w:hideMark/>
          </w:tcPr>
          <w:p w14:paraId="0977DA31" w14:textId="77777777" w:rsidR="001A123C" w:rsidRPr="002E2B5B" w:rsidRDefault="001A123C" w:rsidP="00937ED9">
            <w:pPr>
              <w:spacing w:after="120"/>
              <w:jc w:val="right"/>
              <w:rPr>
                <w:rFonts w:ascii="Calibri" w:hAnsi="Calibri" w:cs="Calibri"/>
                <w:sz w:val="16"/>
                <w:szCs w:val="16"/>
              </w:rPr>
            </w:pPr>
          </w:p>
        </w:tc>
        <w:tc>
          <w:tcPr>
            <w:tcW w:w="445" w:type="pct"/>
            <w:gridSpan w:val="2"/>
            <w:tcBorders>
              <w:top w:val="single" w:sz="4" w:space="0" w:color="auto"/>
              <w:bottom w:val="single" w:sz="4" w:space="0" w:color="auto"/>
            </w:tcBorders>
            <w:noWrap/>
            <w:vAlign w:val="center"/>
            <w:hideMark/>
          </w:tcPr>
          <w:p w14:paraId="55FA3256" w14:textId="77777777" w:rsidR="001A123C" w:rsidRPr="002E2B5B" w:rsidRDefault="001A123C" w:rsidP="00937ED9">
            <w:pPr>
              <w:spacing w:after="120"/>
              <w:jc w:val="right"/>
              <w:rPr>
                <w:rFonts w:ascii="Calibri" w:hAnsi="Calibri" w:cs="Calibri"/>
                <w:sz w:val="16"/>
                <w:szCs w:val="16"/>
              </w:rPr>
            </w:pPr>
          </w:p>
        </w:tc>
        <w:tc>
          <w:tcPr>
            <w:tcW w:w="339" w:type="pct"/>
            <w:gridSpan w:val="2"/>
            <w:tcBorders>
              <w:top w:val="single" w:sz="4" w:space="0" w:color="auto"/>
              <w:bottom w:val="single" w:sz="4" w:space="0" w:color="auto"/>
            </w:tcBorders>
            <w:noWrap/>
            <w:vAlign w:val="center"/>
            <w:hideMark/>
          </w:tcPr>
          <w:p w14:paraId="7A69F158" w14:textId="77777777" w:rsidR="001A123C" w:rsidRPr="002E2B5B" w:rsidRDefault="001A123C" w:rsidP="00937ED9">
            <w:pPr>
              <w:spacing w:after="120"/>
              <w:jc w:val="right"/>
              <w:rPr>
                <w:rFonts w:ascii="Calibri" w:hAnsi="Calibri" w:cs="Calibri"/>
                <w:sz w:val="16"/>
                <w:szCs w:val="16"/>
              </w:rPr>
            </w:pPr>
          </w:p>
        </w:tc>
        <w:tc>
          <w:tcPr>
            <w:tcW w:w="114" w:type="pct"/>
            <w:gridSpan w:val="2"/>
            <w:tcBorders>
              <w:top w:val="single" w:sz="4" w:space="0" w:color="auto"/>
              <w:bottom w:val="single" w:sz="4" w:space="0" w:color="auto"/>
            </w:tcBorders>
            <w:vAlign w:val="center"/>
          </w:tcPr>
          <w:p w14:paraId="4D5CB095" w14:textId="77777777" w:rsidR="001A123C" w:rsidRPr="002E2B5B" w:rsidRDefault="001A123C" w:rsidP="00937ED9">
            <w:pPr>
              <w:spacing w:after="120"/>
              <w:jc w:val="right"/>
              <w:rPr>
                <w:rFonts w:ascii="Calibri" w:hAnsi="Calibri" w:cs="Calibri"/>
                <w:sz w:val="16"/>
                <w:szCs w:val="16"/>
              </w:rPr>
            </w:pPr>
          </w:p>
        </w:tc>
        <w:tc>
          <w:tcPr>
            <w:tcW w:w="340" w:type="pct"/>
            <w:gridSpan w:val="2"/>
            <w:tcBorders>
              <w:top w:val="single" w:sz="4" w:space="0" w:color="auto"/>
              <w:bottom w:val="single" w:sz="4" w:space="0" w:color="auto"/>
            </w:tcBorders>
            <w:vAlign w:val="center"/>
          </w:tcPr>
          <w:p w14:paraId="77EF2874" w14:textId="77777777" w:rsidR="001A123C" w:rsidRPr="002E2B5B" w:rsidRDefault="001A123C" w:rsidP="00937ED9">
            <w:pPr>
              <w:spacing w:after="120"/>
              <w:jc w:val="right"/>
              <w:rPr>
                <w:rFonts w:ascii="Calibri" w:hAnsi="Calibri" w:cs="Calibri"/>
                <w:sz w:val="16"/>
                <w:szCs w:val="16"/>
              </w:rPr>
            </w:pPr>
          </w:p>
        </w:tc>
        <w:tc>
          <w:tcPr>
            <w:tcW w:w="111" w:type="pct"/>
            <w:gridSpan w:val="2"/>
            <w:tcBorders>
              <w:top w:val="single" w:sz="4" w:space="0" w:color="auto"/>
              <w:bottom w:val="single" w:sz="4" w:space="0" w:color="auto"/>
            </w:tcBorders>
            <w:vAlign w:val="center"/>
          </w:tcPr>
          <w:p w14:paraId="2CEFF2A9" w14:textId="77777777" w:rsidR="001A123C" w:rsidRPr="002E2B5B" w:rsidRDefault="001A123C" w:rsidP="00937ED9">
            <w:pPr>
              <w:spacing w:after="120"/>
              <w:jc w:val="both"/>
              <w:rPr>
                <w:rFonts w:ascii="Calibri" w:hAnsi="Calibri" w:cs="Calibri"/>
                <w:sz w:val="16"/>
                <w:szCs w:val="16"/>
              </w:rPr>
            </w:pPr>
          </w:p>
        </w:tc>
      </w:tr>
    </w:tbl>
    <w:p w14:paraId="371D299C" w14:textId="07EAFE46" w:rsidR="00F262A7" w:rsidRPr="00A717AC" w:rsidRDefault="00710F5F" w:rsidP="00042306">
      <w:pPr>
        <w:numPr>
          <w:ilvl w:val="0"/>
          <w:numId w:val="13"/>
        </w:numPr>
        <w:spacing w:before="240" w:after="120"/>
        <w:ind w:left="284" w:right="57" w:hanging="284"/>
        <w:jc w:val="both"/>
        <w:rPr>
          <w:rFonts w:ascii="Calibri" w:hAnsi="Calibri" w:cs="Calibri"/>
          <w:b/>
          <w:sz w:val="22"/>
          <w:szCs w:val="22"/>
        </w:rPr>
      </w:pPr>
      <w:r w:rsidRPr="00A717AC">
        <w:rPr>
          <w:rFonts w:ascii="Calibri" w:hAnsi="Calibri" w:cs="Calibri"/>
          <w:b/>
          <w:sz w:val="22"/>
          <w:szCs w:val="22"/>
        </w:rPr>
        <w:t xml:space="preserve">Estrada de Ferro Paraná-Oeste S/A </w:t>
      </w:r>
      <w:r w:rsidR="00D1757A" w:rsidRPr="00A717AC">
        <w:rPr>
          <w:rFonts w:ascii="Calibri" w:hAnsi="Calibri" w:cs="Calibri"/>
          <w:b/>
          <w:sz w:val="22"/>
          <w:szCs w:val="22"/>
        </w:rPr>
        <w:t>(</w:t>
      </w:r>
      <w:r w:rsidRPr="00A717AC">
        <w:rPr>
          <w:rFonts w:ascii="Calibri" w:hAnsi="Calibri" w:cs="Calibri"/>
          <w:b/>
          <w:sz w:val="22"/>
          <w:szCs w:val="22"/>
        </w:rPr>
        <w:t>FERROESTE</w:t>
      </w:r>
      <w:r w:rsidR="00D1757A" w:rsidRPr="00A717AC">
        <w:rPr>
          <w:rFonts w:ascii="Calibri" w:hAnsi="Calibri" w:cs="Calibri"/>
          <w:b/>
          <w:sz w:val="22"/>
          <w:szCs w:val="22"/>
        </w:rPr>
        <w:t>)</w:t>
      </w:r>
    </w:p>
    <w:p w14:paraId="5983F6FE" w14:textId="77777777" w:rsidR="00993F2B" w:rsidRDefault="00F262A7" w:rsidP="00937ED9">
      <w:pPr>
        <w:spacing w:after="120"/>
        <w:ind w:right="57"/>
        <w:jc w:val="both"/>
        <w:rPr>
          <w:rFonts w:ascii="Calibri" w:hAnsi="Calibri" w:cs="Calibri"/>
          <w:sz w:val="22"/>
          <w:szCs w:val="22"/>
        </w:rPr>
      </w:pPr>
      <w:r w:rsidRPr="002E2B5B">
        <w:rPr>
          <w:rFonts w:ascii="Calibri" w:hAnsi="Calibri" w:cs="Calibri"/>
          <w:sz w:val="22"/>
          <w:szCs w:val="22"/>
        </w:rPr>
        <w:t xml:space="preserve">A Estrada de Ferro Paraná-Oeste S/A </w:t>
      </w:r>
      <w:r w:rsidR="00D1757A" w:rsidRPr="002E2B5B">
        <w:rPr>
          <w:rFonts w:ascii="Calibri" w:hAnsi="Calibri" w:cs="Calibri"/>
          <w:sz w:val="22"/>
          <w:szCs w:val="22"/>
        </w:rPr>
        <w:t>(</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é uma sociedade anônima, de economia mi</w:t>
      </w:r>
      <w:r w:rsidR="006A61D2" w:rsidRPr="002E2B5B">
        <w:rPr>
          <w:rFonts w:ascii="Calibri" w:hAnsi="Calibri" w:cs="Calibri"/>
          <w:sz w:val="22"/>
          <w:szCs w:val="22"/>
        </w:rPr>
        <w:t>sta, controlada pelo Estado do P</w:t>
      </w:r>
      <w:r w:rsidRPr="002E2B5B">
        <w:rPr>
          <w:rFonts w:ascii="Calibri" w:hAnsi="Calibri" w:cs="Calibri"/>
          <w:sz w:val="22"/>
          <w:szCs w:val="22"/>
        </w:rPr>
        <w:t>araná, com 99,69% de participação acion</w:t>
      </w:r>
      <w:r w:rsidR="00FC7C73" w:rsidRPr="002E2B5B">
        <w:rPr>
          <w:rFonts w:ascii="Calibri" w:hAnsi="Calibri" w:cs="Calibri"/>
          <w:sz w:val="22"/>
          <w:szCs w:val="22"/>
        </w:rPr>
        <w:t>ária, o</w:t>
      </w:r>
      <w:r w:rsidRPr="002E2B5B">
        <w:rPr>
          <w:rFonts w:ascii="Calibri" w:hAnsi="Calibri" w:cs="Calibri"/>
          <w:sz w:val="22"/>
          <w:szCs w:val="22"/>
        </w:rPr>
        <w:t xml:space="preserve"> restante das ações pertence a 46 empresas nacionais, 3 estrangeiras e 6 pessoas físicas. A FERROESTE tem por objetivo a construção, operação, administração, e exploração comercial de vias ferroviárias nacionais, de terminais ferroviários, de silos e demais sistemas de armazenagem de produtos agrícolas e manufaturados em geral. </w:t>
      </w:r>
    </w:p>
    <w:p w14:paraId="286B909C" w14:textId="4F983E47" w:rsidR="009165D8" w:rsidRPr="002E2B5B" w:rsidRDefault="00BA786C" w:rsidP="00937ED9">
      <w:pPr>
        <w:spacing w:after="120"/>
        <w:ind w:right="57"/>
        <w:jc w:val="both"/>
        <w:rPr>
          <w:rFonts w:ascii="Calibri" w:hAnsi="Calibri" w:cs="Calibri"/>
          <w:sz w:val="22"/>
          <w:szCs w:val="22"/>
        </w:rPr>
      </w:pPr>
      <w:r w:rsidRPr="002E2B5B">
        <w:rPr>
          <w:rFonts w:ascii="Calibri" w:hAnsi="Calibri" w:cs="Calibri"/>
          <w:sz w:val="22"/>
          <w:szCs w:val="22"/>
        </w:rPr>
        <w:t xml:space="preserve">A </w:t>
      </w:r>
      <w:r w:rsidR="00D60F6A">
        <w:rPr>
          <w:rFonts w:ascii="Calibri" w:hAnsi="Calibri" w:cs="Calibri"/>
          <w:sz w:val="22"/>
          <w:szCs w:val="22"/>
        </w:rPr>
        <w:t>Infra</w:t>
      </w:r>
      <w:r w:rsidR="00B406C5">
        <w:rPr>
          <w:rFonts w:ascii="Calibri" w:hAnsi="Calibri" w:cs="Calibri"/>
          <w:sz w:val="22"/>
          <w:szCs w:val="22"/>
        </w:rPr>
        <w:t xml:space="preserve"> S.A.</w:t>
      </w:r>
      <w:r w:rsidRPr="002E2B5B">
        <w:rPr>
          <w:rFonts w:ascii="Calibri" w:hAnsi="Calibri" w:cs="Calibri"/>
          <w:sz w:val="22"/>
          <w:szCs w:val="22"/>
        </w:rPr>
        <w:t xml:space="preserve"> participa do capital social da Estrada de Ferro Paraná-Oeste S/A</w:t>
      </w:r>
      <w:r w:rsidR="00D1757A" w:rsidRPr="002E2B5B">
        <w:rPr>
          <w:rFonts w:ascii="Calibri" w:hAnsi="Calibri" w:cs="Calibri"/>
          <w:sz w:val="22"/>
          <w:szCs w:val="22"/>
        </w:rPr>
        <w:t xml:space="preserve"> (</w:t>
      </w:r>
      <w:r w:rsidRPr="002E2B5B">
        <w:rPr>
          <w:rFonts w:ascii="Calibri" w:hAnsi="Calibri" w:cs="Calibri"/>
          <w:sz w:val="22"/>
          <w:szCs w:val="22"/>
        </w:rPr>
        <w:t>FERROESTE</w:t>
      </w:r>
      <w:r w:rsidR="00D1757A" w:rsidRPr="002E2B5B">
        <w:rPr>
          <w:rFonts w:ascii="Calibri" w:hAnsi="Calibri" w:cs="Calibri"/>
          <w:sz w:val="22"/>
          <w:szCs w:val="22"/>
        </w:rPr>
        <w:t>)</w:t>
      </w:r>
      <w:r w:rsidRPr="002E2B5B">
        <w:rPr>
          <w:rFonts w:ascii="Calibri" w:hAnsi="Calibri" w:cs="Calibri"/>
          <w:sz w:val="22"/>
          <w:szCs w:val="22"/>
        </w:rPr>
        <w:t xml:space="preserve"> com 1.875 lotes de 1.000 ações ordinárias. Esse investimento é avaliado pelo método de custo em função </w:t>
      </w:r>
      <w:r w:rsidR="001A3D8C" w:rsidRPr="002E2B5B">
        <w:rPr>
          <w:rFonts w:ascii="Calibri" w:hAnsi="Calibri" w:cs="Calibri"/>
          <w:sz w:val="22"/>
          <w:szCs w:val="22"/>
        </w:rPr>
        <w:t>da</w:t>
      </w:r>
      <w:r w:rsidRPr="002E2B5B">
        <w:rPr>
          <w:rFonts w:ascii="Calibri" w:hAnsi="Calibri" w:cs="Calibri"/>
          <w:sz w:val="22"/>
          <w:szCs w:val="22"/>
        </w:rPr>
        <w:t xml:space="preserve"> participação </w:t>
      </w:r>
      <w:r w:rsidR="001A3D8C" w:rsidRPr="002E2B5B">
        <w:rPr>
          <w:rFonts w:ascii="Calibri" w:hAnsi="Calibri" w:cs="Calibri"/>
          <w:sz w:val="22"/>
          <w:szCs w:val="22"/>
        </w:rPr>
        <w:t xml:space="preserve">da </w:t>
      </w:r>
      <w:r w:rsidR="00D60F6A">
        <w:rPr>
          <w:rFonts w:ascii="Calibri" w:hAnsi="Calibri" w:cs="Calibri"/>
          <w:sz w:val="22"/>
          <w:szCs w:val="22"/>
        </w:rPr>
        <w:t>Infra</w:t>
      </w:r>
      <w:r w:rsidR="00B406C5">
        <w:rPr>
          <w:rFonts w:ascii="Calibri" w:hAnsi="Calibri" w:cs="Calibri"/>
          <w:sz w:val="22"/>
          <w:szCs w:val="22"/>
        </w:rPr>
        <w:t xml:space="preserve"> S.A.</w:t>
      </w:r>
      <w:r w:rsidR="001A3D8C" w:rsidRPr="002E2B5B">
        <w:rPr>
          <w:rFonts w:ascii="Calibri" w:hAnsi="Calibri" w:cs="Calibri"/>
          <w:sz w:val="22"/>
          <w:szCs w:val="22"/>
        </w:rPr>
        <w:t xml:space="preserve"> </w:t>
      </w:r>
      <w:r w:rsidRPr="002E2B5B">
        <w:rPr>
          <w:rFonts w:ascii="Calibri" w:hAnsi="Calibri" w:cs="Calibri"/>
          <w:sz w:val="22"/>
          <w:szCs w:val="22"/>
        </w:rPr>
        <w:t>não apresentar influência significativa, além dessa participação ser inferior a 20% do Capital Social da investida</w:t>
      </w:r>
      <w:r w:rsidR="00843229" w:rsidRPr="002E2B5B">
        <w:rPr>
          <w:rFonts w:ascii="Calibri" w:hAnsi="Calibri" w:cs="Calibri"/>
          <w:sz w:val="22"/>
          <w:szCs w:val="22"/>
        </w:rPr>
        <w:t>.</w:t>
      </w:r>
    </w:p>
    <w:p w14:paraId="4C2C41DF" w14:textId="77777777" w:rsidR="0020468B" w:rsidRPr="002E2B5B" w:rsidRDefault="00F22BE7" w:rsidP="00937ED9">
      <w:pPr>
        <w:numPr>
          <w:ilvl w:val="0"/>
          <w:numId w:val="13"/>
        </w:numPr>
        <w:spacing w:after="120"/>
        <w:ind w:left="284" w:right="57" w:hanging="284"/>
        <w:jc w:val="both"/>
        <w:rPr>
          <w:rFonts w:ascii="Calibri" w:hAnsi="Calibri" w:cs="Calibri"/>
          <w:b/>
          <w:sz w:val="22"/>
          <w:szCs w:val="22"/>
        </w:rPr>
      </w:pPr>
      <w:r w:rsidRPr="002E2B5B">
        <w:rPr>
          <w:rFonts w:ascii="Calibri" w:hAnsi="Calibri" w:cs="Calibri"/>
          <w:b/>
          <w:sz w:val="22"/>
          <w:szCs w:val="22"/>
        </w:rPr>
        <w:t xml:space="preserve">Transnordestina Logística </w:t>
      </w:r>
      <w:r w:rsidR="00FC7C73" w:rsidRPr="002E2B5B">
        <w:rPr>
          <w:rFonts w:ascii="Calibri" w:hAnsi="Calibri" w:cs="Calibri"/>
          <w:b/>
          <w:sz w:val="22"/>
          <w:szCs w:val="22"/>
        </w:rPr>
        <w:t>S/A</w:t>
      </w:r>
      <w:r w:rsidR="00D1757A" w:rsidRPr="002E2B5B">
        <w:rPr>
          <w:rFonts w:ascii="Calibri" w:hAnsi="Calibri" w:cs="Calibri"/>
          <w:b/>
          <w:sz w:val="22"/>
          <w:szCs w:val="22"/>
        </w:rPr>
        <w:t xml:space="preserve"> (</w:t>
      </w:r>
      <w:r w:rsidR="00A03EC9" w:rsidRPr="002E2B5B">
        <w:rPr>
          <w:rFonts w:ascii="Calibri" w:hAnsi="Calibri" w:cs="Calibri"/>
          <w:b/>
          <w:sz w:val="22"/>
          <w:szCs w:val="22"/>
        </w:rPr>
        <w:t>TLSA</w:t>
      </w:r>
      <w:r w:rsidR="00D1757A" w:rsidRPr="002E2B5B">
        <w:rPr>
          <w:rFonts w:ascii="Calibri" w:hAnsi="Calibri" w:cs="Calibri"/>
          <w:b/>
          <w:sz w:val="22"/>
          <w:szCs w:val="22"/>
        </w:rPr>
        <w:t>)</w:t>
      </w:r>
    </w:p>
    <w:p w14:paraId="35A5FFF5" w14:textId="391A487B" w:rsidR="009165D8" w:rsidRPr="002E2B5B" w:rsidRDefault="00A03EC9" w:rsidP="00937ED9">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A Transnordestina Logística S</w:t>
      </w:r>
      <w:r w:rsidR="00D1757A" w:rsidRPr="002E2B5B">
        <w:rPr>
          <w:rFonts w:ascii="Calibri" w:hAnsi="Calibri" w:cs="Calibri"/>
          <w:sz w:val="22"/>
          <w:szCs w:val="22"/>
        </w:rPr>
        <w:t>/A (</w:t>
      </w:r>
      <w:r w:rsidRPr="002E2B5B">
        <w:rPr>
          <w:rFonts w:ascii="Calibri" w:hAnsi="Calibri" w:cs="Calibri"/>
          <w:sz w:val="22"/>
          <w:szCs w:val="22"/>
        </w:rPr>
        <w:t>TLSA</w:t>
      </w:r>
      <w:r w:rsidR="00D1757A" w:rsidRPr="002E2B5B">
        <w:rPr>
          <w:rFonts w:ascii="Calibri" w:hAnsi="Calibri" w:cs="Calibri"/>
          <w:sz w:val="22"/>
          <w:szCs w:val="22"/>
        </w:rPr>
        <w:t>)</w:t>
      </w:r>
      <w:r w:rsidRPr="002E2B5B">
        <w:rPr>
          <w:rFonts w:ascii="Calibri" w:hAnsi="Calibri" w:cs="Calibri"/>
          <w:sz w:val="22"/>
          <w:szCs w:val="22"/>
        </w:rPr>
        <w:t xml:space="preserve"> é uma sociedade por ações, sediada em Fortaleza</w:t>
      </w:r>
      <w:r w:rsidR="002D6A53">
        <w:rPr>
          <w:rFonts w:ascii="Calibri" w:hAnsi="Calibri" w:cs="Calibri"/>
          <w:sz w:val="22"/>
          <w:szCs w:val="22"/>
        </w:rPr>
        <w:t>/</w:t>
      </w:r>
      <w:r w:rsidRPr="002E2B5B">
        <w:rPr>
          <w:rFonts w:ascii="Calibri" w:hAnsi="Calibri" w:cs="Calibri"/>
          <w:sz w:val="22"/>
          <w:szCs w:val="22"/>
        </w:rPr>
        <w:t>CE, com registro de companhia aberta, classe B, junto à Comissão de Valores Mobiliários (“CVM”). A Companhia é controlada pela Companhia Siderúrgica Nacional (</w:t>
      </w:r>
      <w:r w:rsidR="00E3496E" w:rsidRPr="002E2B5B">
        <w:rPr>
          <w:rFonts w:ascii="Calibri" w:hAnsi="Calibri" w:cs="Calibri"/>
          <w:sz w:val="22"/>
          <w:szCs w:val="22"/>
        </w:rPr>
        <w:t>“CSN”) e</w:t>
      </w:r>
      <w:r w:rsidRPr="002E2B5B">
        <w:rPr>
          <w:rFonts w:ascii="Calibri" w:hAnsi="Calibri" w:cs="Calibri"/>
          <w:sz w:val="22"/>
          <w:szCs w:val="22"/>
        </w:rPr>
        <w:t xml:space="preserve"> suas ações não são negociadas em bolsa de valores. </w:t>
      </w:r>
    </w:p>
    <w:p w14:paraId="42C87EE0" w14:textId="03134E8B" w:rsidR="006912C4" w:rsidRPr="002E2B5B" w:rsidRDefault="00A03EC9" w:rsidP="00937ED9">
      <w:pPr>
        <w:pStyle w:val="Textoembloco"/>
        <w:spacing w:after="120" w:line="240" w:lineRule="auto"/>
        <w:ind w:left="0" w:right="57"/>
        <w:rPr>
          <w:rFonts w:ascii="Calibri" w:hAnsi="Calibri" w:cs="Calibri"/>
          <w:sz w:val="22"/>
          <w:szCs w:val="22"/>
        </w:rPr>
      </w:pPr>
      <w:r w:rsidRPr="002E2B5B">
        <w:rPr>
          <w:rFonts w:ascii="Calibri" w:hAnsi="Calibri" w:cs="Calibri"/>
          <w:sz w:val="22"/>
          <w:szCs w:val="22"/>
        </w:rPr>
        <w:t xml:space="preserve">A Companhia tem por objeto social prestar serviços de transporte ferroviário; explorar serviços de carga, descarga, armazenagem e transbordo nas estações, pátios e terrenos existentes na faixa de domínio das linhas ferroviárias objeto da concessão; explorar os transportes intermodais necessários ao desenvolvimento de suas atividades; participar de projetos que tenham como objeto a promoção do desenvolvimento socioeconômico das áreas de influência, visando a ampliação dos serviços ferroviários concedidos; exercer a atividade de operador portuário; exercer outras atividades que utilizem como base a </w:t>
      </w:r>
      <w:r w:rsidR="00E11BEF">
        <w:rPr>
          <w:rFonts w:ascii="Calibri" w:hAnsi="Calibri" w:cs="Calibri"/>
          <w:sz w:val="22"/>
          <w:szCs w:val="22"/>
        </w:rPr>
        <w:t>Infra</w:t>
      </w:r>
      <w:r w:rsidRPr="002E2B5B">
        <w:rPr>
          <w:rFonts w:ascii="Calibri" w:hAnsi="Calibri" w:cs="Calibri"/>
          <w:sz w:val="22"/>
          <w:szCs w:val="22"/>
        </w:rPr>
        <w:t>estrutura da Companhia; exercer a função de operador de transporte multimodal (OTM) e executar todas as atividades afins ou correlatas às descritas anteriormente.</w:t>
      </w:r>
    </w:p>
    <w:p w14:paraId="541CC9F9" w14:textId="2148A96B" w:rsidR="006912C4" w:rsidRPr="002E2B5B" w:rsidRDefault="002761AA"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 </w:t>
      </w:r>
      <w:r w:rsidR="00D60F6A">
        <w:rPr>
          <w:rFonts w:ascii="Calibri" w:hAnsi="Calibri" w:cs="Calibri"/>
          <w:bCs w:val="0"/>
          <w:sz w:val="22"/>
          <w:szCs w:val="22"/>
          <w:shd w:val="clear" w:color="auto" w:fill="FFFFFF"/>
        </w:rPr>
        <w:t>Infra</w:t>
      </w:r>
      <w:r w:rsidR="00B406C5">
        <w:rPr>
          <w:rFonts w:ascii="Calibri" w:hAnsi="Calibri" w:cs="Calibri"/>
          <w:bCs w:val="0"/>
          <w:sz w:val="22"/>
          <w:szCs w:val="22"/>
          <w:shd w:val="clear" w:color="auto" w:fill="FFFFFF"/>
        </w:rPr>
        <w:t xml:space="preserve"> S.A.</w:t>
      </w:r>
      <w:r w:rsidRPr="002E2B5B">
        <w:rPr>
          <w:rFonts w:ascii="Calibri" w:hAnsi="Calibri" w:cs="Calibri"/>
          <w:bCs w:val="0"/>
          <w:sz w:val="22"/>
          <w:szCs w:val="22"/>
          <w:shd w:val="clear" w:color="auto" w:fill="FFFFFF"/>
        </w:rPr>
        <w:t xml:space="preserve"> participa do capital social da Transnordestina Logí</w:t>
      </w:r>
      <w:r w:rsidR="00FC7C73" w:rsidRPr="002E2B5B">
        <w:rPr>
          <w:rFonts w:ascii="Calibri" w:hAnsi="Calibri" w:cs="Calibri"/>
          <w:bCs w:val="0"/>
          <w:sz w:val="22"/>
          <w:szCs w:val="22"/>
          <w:shd w:val="clear" w:color="auto" w:fill="FFFFFF"/>
        </w:rPr>
        <w:t>stica S/A com 20.408.791 ações (</w:t>
      </w:r>
      <w:r w:rsidR="00FC7C73" w:rsidRPr="002E2B5B">
        <w:rPr>
          <w:rFonts w:ascii="Calibri" w:hAnsi="Calibri" w:cs="Calibri"/>
          <w:sz w:val="22"/>
          <w:szCs w:val="22"/>
        </w:rPr>
        <w:t>18.686.075 ações preferenciais e 1.722.716 ações ordinárias)</w:t>
      </w:r>
      <w:r w:rsidR="00FC7C73" w:rsidRPr="002E2B5B">
        <w:rPr>
          <w:rFonts w:ascii="Calibri" w:hAnsi="Calibri" w:cs="Calibri"/>
          <w:sz w:val="16"/>
          <w:szCs w:val="16"/>
        </w:rPr>
        <w:t xml:space="preserve"> </w:t>
      </w:r>
      <w:r w:rsidRPr="002E2B5B">
        <w:rPr>
          <w:rFonts w:ascii="Calibri" w:hAnsi="Calibri" w:cs="Calibri"/>
          <w:bCs w:val="0"/>
          <w:sz w:val="22"/>
          <w:szCs w:val="22"/>
          <w:shd w:val="clear" w:color="auto" w:fill="FFFFFF"/>
        </w:rPr>
        <w:t xml:space="preserve">que correspondem a 39,10% do total de ações, sendo 71,59% das ações preferenciais e 6,60% das ações ordinárias. </w:t>
      </w:r>
    </w:p>
    <w:p w14:paraId="395B8135" w14:textId="27391EF4" w:rsidR="006912C4" w:rsidRPr="002E2B5B" w:rsidRDefault="00475112" w:rsidP="00937ED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w:t>
      </w:r>
      <w:r w:rsidR="00D60F6A">
        <w:rPr>
          <w:rFonts w:ascii="Calibri" w:hAnsi="Calibri" w:cs="Calibri"/>
          <w:sz w:val="22"/>
          <w:szCs w:val="22"/>
          <w:shd w:val="clear" w:color="auto" w:fill="FFFFFF"/>
        </w:rPr>
        <w:t>Infra</w:t>
      </w:r>
      <w:r w:rsidR="00B406C5">
        <w:rPr>
          <w:rFonts w:ascii="Calibri" w:hAnsi="Calibri" w:cs="Calibri"/>
          <w:sz w:val="22"/>
          <w:szCs w:val="22"/>
          <w:shd w:val="clear" w:color="auto" w:fill="FFFFFF"/>
        </w:rPr>
        <w:t xml:space="preserve"> S.A.</w:t>
      </w:r>
      <w:r w:rsidRPr="002E2B5B">
        <w:rPr>
          <w:rFonts w:ascii="Calibri" w:hAnsi="Calibri" w:cs="Calibri"/>
          <w:sz w:val="22"/>
          <w:szCs w:val="22"/>
          <w:shd w:val="clear" w:color="auto" w:fill="FFFFFF"/>
        </w:rPr>
        <w:t xml:space="preserve">, nos termos da legislação, dos contratos,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cionistas e do </w:t>
      </w:r>
      <w:r w:rsidR="00D1757A" w:rsidRPr="002E2B5B">
        <w:rPr>
          <w:rFonts w:ascii="Calibri" w:hAnsi="Calibri" w:cs="Calibri"/>
          <w:sz w:val="22"/>
          <w:szCs w:val="22"/>
          <w:shd w:val="clear" w:color="auto" w:fill="FFFFFF"/>
        </w:rPr>
        <w:t>A</w:t>
      </w:r>
      <w:r w:rsidRPr="002E2B5B">
        <w:rPr>
          <w:rFonts w:ascii="Calibri" w:hAnsi="Calibri" w:cs="Calibri"/>
          <w:sz w:val="22"/>
          <w:szCs w:val="22"/>
          <w:shd w:val="clear" w:color="auto" w:fill="FFFFFF"/>
        </w:rPr>
        <w:t xml:space="preserve">cordo de </w:t>
      </w:r>
      <w:r w:rsidR="00D1757A" w:rsidRPr="002E2B5B">
        <w:rPr>
          <w:rFonts w:ascii="Calibri" w:hAnsi="Calibri" w:cs="Calibri"/>
          <w:sz w:val="22"/>
          <w:szCs w:val="22"/>
          <w:shd w:val="clear" w:color="auto" w:fill="FFFFFF"/>
        </w:rPr>
        <w:t>I</w:t>
      </w:r>
      <w:r w:rsidRPr="002E2B5B">
        <w:rPr>
          <w:rFonts w:ascii="Calibri" w:hAnsi="Calibri" w:cs="Calibri"/>
          <w:sz w:val="22"/>
          <w:szCs w:val="22"/>
          <w:shd w:val="clear" w:color="auto" w:fill="FFFFFF"/>
        </w:rPr>
        <w:t>nvestimento, não é integrante do grupo controlador da TLSA e não possui o controle compartilhado, mantendo a sua característica de acionista minoritária.</w:t>
      </w:r>
      <w:bookmarkStart w:id="4" w:name="_Hlk36135171"/>
    </w:p>
    <w:p w14:paraId="7F3C4A79" w14:textId="4A0B785F" w:rsidR="006912C4" w:rsidRPr="002E2B5B" w:rsidRDefault="009478D8" w:rsidP="00937ED9">
      <w:pPr>
        <w:pStyle w:val="Textoembloco"/>
        <w:spacing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Lei nº 6.404/76, de 15 de dezembro de 1976, que dispõe sobre as sociedades por ações, preceitua em seu art.116 o conceito do acionista controlador como a pessoa, natural ou jurídica, ou o grupo de pessoas vinculadas por acordo de voto, ou sob controle comum, que: a) é titular de direitos de sócio que lhe assegurem, de modo permanente, a maioria dos votos nas deliberações da assembleia-geral e o poder de eleger a maioria dos administradores da </w:t>
      </w:r>
      <w:r w:rsidRPr="002E2B5B">
        <w:rPr>
          <w:rFonts w:ascii="Calibri" w:hAnsi="Calibri" w:cs="Calibri"/>
          <w:sz w:val="22"/>
          <w:szCs w:val="22"/>
          <w:shd w:val="clear" w:color="auto" w:fill="FFFFFF"/>
        </w:rPr>
        <w:lastRenderedPageBreak/>
        <w:t>companhia; e b) usa efetivamente seu poder para dirigir as atividades sociais e orientar o funcionamento dos órgãos da companhia.</w:t>
      </w:r>
    </w:p>
    <w:p w14:paraId="3488BD81" w14:textId="1BEC449A" w:rsidR="006912C4" w:rsidRPr="002E2B5B" w:rsidRDefault="00843229"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Em 27 de dezembro 2013, após a eleição e posse de dois representantes para compor o Conselho de Administração da Transnordestina Logística S/A, a </w:t>
      </w:r>
      <w:r w:rsidR="00D60F6A">
        <w:rPr>
          <w:rFonts w:ascii="Calibri" w:hAnsi="Calibri" w:cs="Calibri"/>
          <w:bCs w:val="0"/>
          <w:sz w:val="22"/>
          <w:szCs w:val="22"/>
          <w:shd w:val="clear" w:color="auto" w:fill="FFFFFF"/>
        </w:rPr>
        <w:t>Infra</w:t>
      </w:r>
      <w:r w:rsidR="00B406C5">
        <w:rPr>
          <w:rFonts w:ascii="Calibri" w:hAnsi="Calibri" w:cs="Calibri"/>
          <w:bCs w:val="0"/>
          <w:sz w:val="22"/>
          <w:szCs w:val="22"/>
          <w:shd w:val="clear" w:color="auto" w:fill="FFFFFF"/>
        </w:rPr>
        <w:t xml:space="preserve"> S.A.</w:t>
      </w:r>
      <w:r w:rsidRPr="002E2B5B">
        <w:rPr>
          <w:rFonts w:ascii="Calibri" w:hAnsi="Calibri" w:cs="Calibri"/>
          <w:bCs w:val="0"/>
          <w:sz w:val="22"/>
          <w:szCs w:val="22"/>
          <w:shd w:val="clear" w:color="auto" w:fill="FFFFFF"/>
        </w:rPr>
        <w:t xml:space="preserve"> passou a considerá-la coligada. Conforme a Norma Brasileira de Contabilidade NBC TG 18 (R3), coligada é a entidade sobre a qual o investidor tem influência significativa, isto é, o investidor possui o direito de participar de certas decisões sobre políticas</w:t>
      </w:r>
      <w:bookmarkStart w:id="5" w:name="SL147989"/>
      <w:bookmarkEnd w:id="5"/>
      <w:r w:rsidRPr="002E2B5B">
        <w:rPr>
          <w:rFonts w:ascii="Calibri" w:hAnsi="Calibri" w:cs="Calibri"/>
          <w:bCs w:val="0"/>
          <w:sz w:val="22"/>
          <w:szCs w:val="22"/>
          <w:shd w:val="clear" w:color="auto" w:fill="FFFFFF"/>
        </w:rPr>
        <w:t xml:space="preserve"> financeiras e operacionais da companhia investida, mas sem exercer controle individual ou conjunto dessas políticas.</w:t>
      </w:r>
    </w:p>
    <w:bookmarkEnd w:id="4"/>
    <w:p w14:paraId="77A757A9" w14:textId="622D1C1D" w:rsidR="00731BB6" w:rsidRPr="002E2B5B" w:rsidRDefault="00E05B2B"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 </w:t>
      </w:r>
      <w:r w:rsidR="00447628" w:rsidRPr="002E2B5B">
        <w:rPr>
          <w:rFonts w:ascii="Calibri" w:hAnsi="Calibri" w:cs="Calibri"/>
          <w:bCs w:val="0"/>
          <w:sz w:val="22"/>
          <w:szCs w:val="22"/>
          <w:shd w:val="clear" w:color="auto" w:fill="FFFFFF"/>
        </w:rPr>
        <w:t>NBC TG</w:t>
      </w:r>
      <w:r w:rsidR="00EE4322" w:rsidRPr="002E2B5B">
        <w:rPr>
          <w:rFonts w:ascii="Calibri" w:hAnsi="Calibri" w:cs="Calibri"/>
          <w:bCs w:val="0"/>
          <w:sz w:val="22"/>
          <w:szCs w:val="22"/>
          <w:shd w:val="clear" w:color="auto" w:fill="FFFFFF"/>
        </w:rPr>
        <w:t xml:space="preserve"> 18</w:t>
      </w:r>
      <w:r w:rsidR="00447628" w:rsidRPr="002E2B5B">
        <w:rPr>
          <w:rFonts w:ascii="Calibri" w:hAnsi="Calibri" w:cs="Calibri"/>
          <w:bCs w:val="0"/>
          <w:sz w:val="22"/>
          <w:szCs w:val="22"/>
          <w:shd w:val="clear" w:color="auto" w:fill="FFFFFF"/>
        </w:rPr>
        <w:t xml:space="preserve"> (R3)</w:t>
      </w:r>
      <w:r w:rsidR="002761AA" w:rsidRPr="002E2B5B">
        <w:rPr>
          <w:rFonts w:ascii="Calibri" w:hAnsi="Calibri" w:cs="Calibri"/>
          <w:bCs w:val="0"/>
          <w:sz w:val="22"/>
          <w:szCs w:val="22"/>
          <w:shd w:val="clear" w:color="auto" w:fill="FFFFFF"/>
        </w:rPr>
        <w:t xml:space="preserve"> determina que o investimento em coligada seja avaliado pelo método da equivalência patrimonial, o qual deve ser inicialmente reconhecido pelo custo e o seu valor contábil aumentado ou diminuído pelo reconhecimento da participação do investidor nos lucros ou prejuízos do período, gerados pela investida após a aquisição. A participação do investidor no lucro ou prejuízo do período da investida deve ser reconhecida no resultado do período do investidor.</w:t>
      </w:r>
    </w:p>
    <w:p w14:paraId="112CD9B0" w14:textId="51732185" w:rsidR="006912C4" w:rsidRDefault="00843229" w:rsidP="00937ED9">
      <w:pPr>
        <w:pStyle w:val="Textoembloco"/>
        <w:spacing w:after="120" w:line="240" w:lineRule="auto"/>
        <w:ind w:left="0" w:right="57"/>
        <w:rPr>
          <w:rFonts w:ascii="Calibri" w:hAnsi="Calibri" w:cs="Calibri"/>
          <w:bCs w:val="0"/>
          <w:sz w:val="22"/>
          <w:szCs w:val="22"/>
          <w:shd w:val="clear" w:color="auto" w:fill="FFFFFF"/>
        </w:rPr>
      </w:pPr>
      <w:r w:rsidRPr="002E2B5B">
        <w:rPr>
          <w:rFonts w:ascii="Calibri" w:hAnsi="Calibri" w:cs="Calibri"/>
          <w:bCs w:val="0"/>
          <w:sz w:val="22"/>
          <w:szCs w:val="22"/>
          <w:shd w:val="clear" w:color="auto" w:fill="FFFFFF"/>
        </w:rPr>
        <w:t xml:space="preserve">Até o ano de 2016, a </w:t>
      </w:r>
      <w:r w:rsidR="00D60F6A">
        <w:rPr>
          <w:rFonts w:ascii="Calibri" w:hAnsi="Calibri" w:cs="Calibri"/>
          <w:bCs w:val="0"/>
          <w:sz w:val="22"/>
          <w:szCs w:val="22"/>
          <w:shd w:val="clear" w:color="auto" w:fill="FFFFFF"/>
        </w:rPr>
        <w:t>Infra</w:t>
      </w:r>
      <w:r w:rsidR="00B406C5">
        <w:rPr>
          <w:rFonts w:ascii="Calibri" w:hAnsi="Calibri" w:cs="Calibri"/>
          <w:bCs w:val="0"/>
          <w:sz w:val="22"/>
          <w:szCs w:val="22"/>
          <w:shd w:val="clear" w:color="auto" w:fill="FFFFFF"/>
        </w:rPr>
        <w:t xml:space="preserve"> S.A.</w:t>
      </w:r>
      <w:r w:rsidRPr="002E2B5B">
        <w:rPr>
          <w:rFonts w:ascii="Calibri" w:hAnsi="Calibri" w:cs="Calibri"/>
          <w:bCs w:val="0"/>
          <w:sz w:val="22"/>
          <w:szCs w:val="22"/>
          <w:shd w:val="clear" w:color="auto" w:fill="FFFFFF"/>
        </w:rPr>
        <w:t xml:space="preserve"> aportou o montante de R$ 1.124,6 milhões na TLSA. Desde janeiro de 2017, por determinação do Tribunal de Contas da União – Acórdão </w:t>
      </w:r>
      <w:r w:rsidR="003648BA">
        <w:rPr>
          <w:rFonts w:ascii="Calibri" w:hAnsi="Calibri" w:cs="Calibri"/>
          <w:bCs w:val="0"/>
          <w:sz w:val="22"/>
          <w:szCs w:val="22"/>
          <w:shd w:val="clear" w:color="auto" w:fill="FFFFFF"/>
        </w:rPr>
        <w:t>n</w:t>
      </w:r>
      <w:r w:rsidRPr="002E2B5B">
        <w:rPr>
          <w:rFonts w:ascii="Calibri" w:hAnsi="Calibri" w:cs="Calibri"/>
          <w:bCs w:val="0"/>
          <w:sz w:val="22"/>
          <w:szCs w:val="22"/>
          <w:shd w:val="clear" w:color="auto" w:fill="FFFFFF"/>
        </w:rPr>
        <w:t>° 67/2017, estão suspensos novos aportes de recursos públicos para o projeto.</w:t>
      </w:r>
    </w:p>
    <w:p w14:paraId="36B49F7A" w14:textId="2839D6D3" w:rsidR="00993F2B" w:rsidRDefault="00623ED3" w:rsidP="00937ED9">
      <w:pPr>
        <w:pStyle w:val="Textoembloco"/>
        <w:spacing w:after="120" w:line="240" w:lineRule="auto"/>
        <w:ind w:left="0" w:right="57"/>
        <w:rPr>
          <w:rFonts w:ascii="Calibri" w:hAnsi="Calibri" w:cs="Calibri"/>
          <w:bCs w:val="0"/>
          <w:sz w:val="22"/>
          <w:szCs w:val="22"/>
          <w:shd w:val="clear" w:color="auto" w:fill="FFFFFF"/>
        </w:rPr>
      </w:pPr>
      <w:r>
        <w:rPr>
          <w:rFonts w:ascii="Calibri" w:hAnsi="Calibri" w:cs="Calibri"/>
          <w:bCs w:val="0"/>
          <w:sz w:val="22"/>
          <w:szCs w:val="22"/>
          <w:shd w:val="clear" w:color="auto" w:fill="FFFFFF"/>
        </w:rPr>
        <w:t xml:space="preserve">Até o </w:t>
      </w:r>
      <w:r w:rsidR="00E82A8A">
        <w:rPr>
          <w:rFonts w:ascii="Calibri" w:hAnsi="Calibri" w:cs="Calibri"/>
          <w:bCs w:val="0"/>
          <w:sz w:val="22"/>
          <w:szCs w:val="22"/>
          <w:shd w:val="clear" w:color="auto" w:fill="FFFFFF"/>
        </w:rPr>
        <w:t>3</w:t>
      </w:r>
      <w:r w:rsidR="00690284">
        <w:rPr>
          <w:rFonts w:ascii="Calibri" w:hAnsi="Calibri" w:cs="Calibri"/>
          <w:bCs w:val="0"/>
          <w:sz w:val="22"/>
          <w:szCs w:val="22"/>
          <w:shd w:val="clear" w:color="auto" w:fill="FFFFFF"/>
        </w:rPr>
        <w:t xml:space="preserve">º trimestre de </w:t>
      </w:r>
      <w:r w:rsidR="00690284" w:rsidRPr="00690284">
        <w:rPr>
          <w:rFonts w:ascii="Calibri" w:hAnsi="Calibri" w:cs="Calibri"/>
          <w:bCs w:val="0"/>
          <w:sz w:val="22"/>
          <w:szCs w:val="22"/>
          <w:shd w:val="clear" w:color="auto" w:fill="FFFFFF"/>
        </w:rPr>
        <w:t>202</w:t>
      </w:r>
      <w:r w:rsidR="00690284">
        <w:rPr>
          <w:rFonts w:ascii="Calibri" w:hAnsi="Calibri" w:cs="Calibri"/>
          <w:bCs w:val="0"/>
          <w:sz w:val="22"/>
          <w:szCs w:val="22"/>
          <w:shd w:val="clear" w:color="auto" w:fill="FFFFFF"/>
        </w:rPr>
        <w:t>2</w:t>
      </w:r>
      <w:r w:rsidR="00690284" w:rsidRPr="00690284">
        <w:rPr>
          <w:rFonts w:ascii="Calibri" w:hAnsi="Calibri" w:cs="Calibri"/>
          <w:bCs w:val="0"/>
          <w:sz w:val="22"/>
          <w:szCs w:val="22"/>
          <w:shd w:val="clear" w:color="auto" w:fill="FFFFFF"/>
        </w:rPr>
        <w:t xml:space="preserve">, a Transnordestina Logística S/A apresentou um resultado negativo de R$ </w:t>
      </w:r>
      <w:r w:rsidR="00E82A8A">
        <w:rPr>
          <w:rFonts w:ascii="Calibri" w:hAnsi="Calibri" w:cs="Calibri"/>
          <w:bCs w:val="0"/>
          <w:sz w:val="22"/>
          <w:szCs w:val="22"/>
          <w:shd w:val="clear" w:color="auto" w:fill="FFFFFF"/>
        </w:rPr>
        <w:t>49</w:t>
      </w:r>
      <w:r w:rsidR="00690284">
        <w:rPr>
          <w:rFonts w:ascii="Calibri" w:hAnsi="Calibri" w:cs="Calibri"/>
          <w:bCs w:val="0"/>
          <w:sz w:val="22"/>
          <w:szCs w:val="22"/>
          <w:shd w:val="clear" w:color="auto" w:fill="FFFFFF"/>
        </w:rPr>
        <w:t>,</w:t>
      </w:r>
      <w:r w:rsidR="00E82A8A">
        <w:rPr>
          <w:rFonts w:ascii="Calibri" w:hAnsi="Calibri" w:cs="Calibri"/>
          <w:bCs w:val="0"/>
          <w:sz w:val="22"/>
          <w:szCs w:val="22"/>
          <w:shd w:val="clear" w:color="auto" w:fill="FFFFFF"/>
        </w:rPr>
        <w:t>37</w:t>
      </w:r>
      <w:r w:rsidR="00690284" w:rsidRPr="00690284">
        <w:rPr>
          <w:rFonts w:ascii="Calibri" w:hAnsi="Calibri" w:cs="Calibri"/>
          <w:bCs w:val="0"/>
          <w:sz w:val="22"/>
          <w:szCs w:val="22"/>
          <w:shd w:val="clear" w:color="auto" w:fill="FFFFFF"/>
        </w:rPr>
        <w:t xml:space="preserve"> milhões, o que provocou para a </w:t>
      </w:r>
      <w:r w:rsidR="00D60F6A">
        <w:rPr>
          <w:rFonts w:ascii="Calibri" w:hAnsi="Calibri" w:cs="Calibri"/>
          <w:bCs w:val="0"/>
          <w:sz w:val="22"/>
          <w:szCs w:val="22"/>
          <w:shd w:val="clear" w:color="auto" w:fill="FFFFFF"/>
        </w:rPr>
        <w:t>Infra</w:t>
      </w:r>
      <w:r w:rsidR="00B406C5">
        <w:rPr>
          <w:rFonts w:ascii="Calibri" w:hAnsi="Calibri" w:cs="Calibri"/>
          <w:bCs w:val="0"/>
          <w:sz w:val="22"/>
          <w:szCs w:val="22"/>
          <w:shd w:val="clear" w:color="auto" w:fill="FFFFFF"/>
        </w:rPr>
        <w:t xml:space="preserve"> S.A.</w:t>
      </w:r>
      <w:r w:rsidR="00690284" w:rsidRPr="00690284">
        <w:rPr>
          <w:rFonts w:ascii="Calibri" w:hAnsi="Calibri" w:cs="Calibri"/>
          <w:bCs w:val="0"/>
          <w:sz w:val="22"/>
          <w:szCs w:val="22"/>
          <w:shd w:val="clear" w:color="auto" w:fill="FFFFFF"/>
        </w:rPr>
        <w:t xml:space="preserve"> uma perda de equivalência patrimonial deste investimento na ordem de R$ </w:t>
      </w:r>
      <w:r>
        <w:rPr>
          <w:rFonts w:ascii="Calibri" w:hAnsi="Calibri" w:cs="Calibri"/>
          <w:bCs w:val="0"/>
          <w:sz w:val="22"/>
          <w:szCs w:val="22"/>
          <w:shd w:val="clear" w:color="auto" w:fill="FFFFFF"/>
        </w:rPr>
        <w:t>1</w:t>
      </w:r>
      <w:r w:rsidR="00E82A8A">
        <w:rPr>
          <w:rFonts w:ascii="Calibri" w:hAnsi="Calibri" w:cs="Calibri"/>
          <w:bCs w:val="0"/>
          <w:sz w:val="22"/>
          <w:szCs w:val="22"/>
          <w:shd w:val="clear" w:color="auto" w:fill="FFFFFF"/>
        </w:rPr>
        <w:t>9</w:t>
      </w:r>
      <w:r w:rsidR="00690284">
        <w:rPr>
          <w:rFonts w:ascii="Calibri" w:hAnsi="Calibri" w:cs="Calibri"/>
          <w:bCs w:val="0"/>
          <w:sz w:val="22"/>
          <w:szCs w:val="22"/>
          <w:shd w:val="clear" w:color="auto" w:fill="FFFFFF"/>
        </w:rPr>
        <w:t>,</w:t>
      </w:r>
      <w:r w:rsidR="00E82A8A">
        <w:rPr>
          <w:rFonts w:ascii="Calibri" w:hAnsi="Calibri" w:cs="Calibri"/>
          <w:bCs w:val="0"/>
          <w:sz w:val="22"/>
          <w:szCs w:val="22"/>
          <w:shd w:val="clear" w:color="auto" w:fill="FFFFFF"/>
        </w:rPr>
        <w:t xml:space="preserve">30 </w:t>
      </w:r>
      <w:r w:rsidR="00690284" w:rsidRPr="00690284">
        <w:rPr>
          <w:rFonts w:ascii="Calibri" w:hAnsi="Calibri" w:cs="Calibri"/>
          <w:bCs w:val="0"/>
          <w:sz w:val="22"/>
          <w:szCs w:val="22"/>
          <w:shd w:val="clear" w:color="auto" w:fill="FFFFFF"/>
        </w:rPr>
        <w:t>milhões no período.</w:t>
      </w:r>
    </w:p>
    <w:p w14:paraId="454F1F30" w14:textId="399BB72C" w:rsidR="007568E7" w:rsidRPr="002E2B5B" w:rsidRDefault="007568E7" w:rsidP="00937ED9">
      <w:pPr>
        <w:spacing w:after="120"/>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 xml:space="preserve">NOTA </w:t>
      </w:r>
      <w:r w:rsidR="005B6674">
        <w:rPr>
          <w:rFonts w:ascii="Calibri" w:hAnsi="Calibri" w:cs="Calibri"/>
          <w:b/>
          <w:sz w:val="22"/>
          <w:szCs w:val="22"/>
          <w:shd w:val="clear" w:color="auto" w:fill="FFFFFF"/>
        </w:rPr>
        <w:t>9</w:t>
      </w:r>
      <w:r w:rsidRPr="002E2B5B">
        <w:rPr>
          <w:rFonts w:ascii="Calibri" w:hAnsi="Calibri" w:cs="Calibri"/>
          <w:b/>
          <w:sz w:val="22"/>
          <w:szCs w:val="22"/>
          <w:shd w:val="clear" w:color="auto" w:fill="FFFFFF"/>
        </w:rPr>
        <w:t xml:space="preserve"> – IMOBILIZADO</w:t>
      </w:r>
      <w:r w:rsidR="00DB7529" w:rsidRPr="002E2B5B">
        <w:rPr>
          <w:rFonts w:ascii="Calibri" w:hAnsi="Calibri" w:cs="Calibri"/>
          <w:b/>
          <w:sz w:val="22"/>
          <w:szCs w:val="22"/>
          <w:shd w:val="clear" w:color="auto" w:fill="FFFFFF"/>
        </w:rPr>
        <w:t xml:space="preserve"> </w:t>
      </w:r>
    </w:p>
    <w:p w14:paraId="076C46DD" w14:textId="77777777" w:rsidR="004A5C0E" w:rsidRPr="002E2B5B" w:rsidRDefault="004A5C0E" w:rsidP="00937ED9">
      <w:pPr>
        <w:spacing w:after="120"/>
        <w:ind w:right="-85"/>
        <w:jc w:val="both"/>
        <w:rPr>
          <w:rFonts w:ascii="Calibri" w:hAnsi="Calibri" w:cs="Calibri"/>
          <w:b/>
          <w:sz w:val="22"/>
          <w:szCs w:val="22"/>
          <w:shd w:val="clear" w:color="auto" w:fill="FFFFFF"/>
        </w:rPr>
      </w:pPr>
      <w:r w:rsidRPr="002E2B5B">
        <w:rPr>
          <w:rFonts w:ascii="Calibri" w:hAnsi="Calibri" w:cs="Calibri"/>
          <w:b/>
          <w:sz w:val="22"/>
          <w:szCs w:val="22"/>
          <w:shd w:val="clear" w:color="auto" w:fill="FFFFFF"/>
        </w:rPr>
        <w:t>I – COMPOSIÇÃO E FLUXO DO ATIVO IMOBILIZADO:</w:t>
      </w:r>
    </w:p>
    <w:p w14:paraId="792B2C8A" w14:textId="546F9A48" w:rsidR="00484222" w:rsidRDefault="00A32466" w:rsidP="00937ED9">
      <w:pPr>
        <w:spacing w:after="120"/>
        <w:ind w:right="-85"/>
        <w:jc w:val="both"/>
        <w:rPr>
          <w:rFonts w:ascii="Calibri" w:hAnsi="Calibri" w:cs="Calibri"/>
          <w:bCs/>
          <w:sz w:val="22"/>
          <w:szCs w:val="22"/>
          <w:shd w:val="clear" w:color="auto" w:fill="FFFFFF"/>
        </w:rPr>
      </w:pPr>
      <w:r w:rsidRPr="002E2B5B">
        <w:rPr>
          <w:rFonts w:ascii="Calibri" w:hAnsi="Calibri" w:cs="Calibri"/>
          <w:bCs/>
          <w:sz w:val="22"/>
          <w:szCs w:val="22"/>
          <w:shd w:val="clear" w:color="auto" w:fill="FFFFFF"/>
        </w:rPr>
        <w:t xml:space="preserve">O fluxo de movimentação do ativo imobilizado da </w:t>
      </w:r>
      <w:r w:rsidR="00D60F6A">
        <w:rPr>
          <w:rFonts w:ascii="Calibri" w:hAnsi="Calibri" w:cs="Calibri"/>
          <w:bCs/>
          <w:sz w:val="22"/>
          <w:szCs w:val="22"/>
          <w:shd w:val="clear" w:color="auto" w:fill="FFFFFF"/>
        </w:rPr>
        <w:t>Infra</w:t>
      </w:r>
      <w:r w:rsidR="00B406C5">
        <w:rPr>
          <w:rFonts w:ascii="Calibri" w:hAnsi="Calibri" w:cs="Calibri"/>
          <w:bCs/>
          <w:sz w:val="22"/>
          <w:szCs w:val="22"/>
          <w:shd w:val="clear" w:color="auto" w:fill="FFFFFF"/>
        </w:rPr>
        <w:t xml:space="preserve"> S.A.</w:t>
      </w:r>
      <w:r w:rsidR="00A717AC">
        <w:rPr>
          <w:rFonts w:ascii="Calibri" w:hAnsi="Calibri" w:cs="Calibri"/>
          <w:bCs/>
          <w:sz w:val="22"/>
          <w:szCs w:val="22"/>
          <w:shd w:val="clear" w:color="auto" w:fill="FFFFFF"/>
        </w:rPr>
        <w:t>,</w:t>
      </w:r>
      <w:r w:rsidRPr="002E2B5B">
        <w:rPr>
          <w:rFonts w:ascii="Calibri" w:hAnsi="Calibri" w:cs="Calibri"/>
          <w:bCs/>
          <w:sz w:val="22"/>
          <w:szCs w:val="22"/>
          <w:shd w:val="clear" w:color="auto" w:fill="FFFFFF"/>
        </w:rPr>
        <w:t xml:space="preserve"> no </w:t>
      </w:r>
      <w:r w:rsidR="005B6674">
        <w:rPr>
          <w:rFonts w:ascii="Calibri" w:hAnsi="Calibri" w:cs="Calibri"/>
          <w:bCs/>
          <w:sz w:val="22"/>
          <w:szCs w:val="22"/>
          <w:shd w:val="clear" w:color="auto" w:fill="FFFFFF"/>
        </w:rPr>
        <w:t>3</w:t>
      </w:r>
      <w:r w:rsidR="00A717AC">
        <w:rPr>
          <w:rFonts w:ascii="Calibri" w:hAnsi="Calibri" w:cs="Calibri"/>
          <w:bCs/>
          <w:sz w:val="22"/>
          <w:szCs w:val="22"/>
          <w:shd w:val="clear" w:color="auto" w:fill="FFFFFF"/>
        </w:rPr>
        <w:t>º trimestre de 2022,</w:t>
      </w:r>
      <w:r w:rsidR="00954EAC">
        <w:rPr>
          <w:rFonts w:ascii="Calibri" w:hAnsi="Calibri" w:cs="Calibri"/>
          <w:bCs/>
          <w:sz w:val="22"/>
          <w:szCs w:val="22"/>
          <w:shd w:val="clear" w:color="auto" w:fill="FFFFFF"/>
        </w:rPr>
        <w:t xml:space="preserve"> </w:t>
      </w:r>
      <w:r w:rsidRPr="002E2B5B">
        <w:rPr>
          <w:rFonts w:ascii="Calibri" w:hAnsi="Calibri" w:cs="Calibri"/>
          <w:bCs/>
          <w:sz w:val="22"/>
          <w:szCs w:val="22"/>
          <w:shd w:val="clear" w:color="auto" w:fill="FFFFFF"/>
        </w:rPr>
        <w:t>está representado na tabela abaixo e justificado nos itens que segue:</w:t>
      </w:r>
    </w:p>
    <w:tbl>
      <w:tblPr>
        <w:tblW w:w="10636" w:type="dxa"/>
        <w:tblCellMar>
          <w:left w:w="70" w:type="dxa"/>
          <w:right w:w="70" w:type="dxa"/>
        </w:tblCellMar>
        <w:tblLook w:val="04A0" w:firstRow="1" w:lastRow="0" w:firstColumn="1" w:lastColumn="0" w:noHBand="0" w:noVBand="1"/>
      </w:tblPr>
      <w:tblGrid>
        <w:gridCol w:w="3261"/>
        <w:gridCol w:w="1418"/>
        <w:gridCol w:w="1237"/>
        <w:gridCol w:w="1128"/>
        <w:gridCol w:w="1359"/>
        <w:gridCol w:w="1490"/>
        <w:gridCol w:w="743"/>
      </w:tblGrid>
      <w:tr w:rsidR="00C9554B" w14:paraId="232773BE" w14:textId="77777777" w:rsidTr="00C9554B">
        <w:trPr>
          <w:trHeight w:val="465"/>
        </w:trPr>
        <w:tc>
          <w:tcPr>
            <w:tcW w:w="3261" w:type="dxa"/>
            <w:tcBorders>
              <w:top w:val="nil"/>
              <w:left w:val="nil"/>
              <w:bottom w:val="single" w:sz="8" w:space="0" w:color="auto"/>
              <w:right w:val="nil"/>
            </w:tcBorders>
            <w:shd w:val="clear" w:color="auto" w:fill="auto"/>
            <w:vAlign w:val="center"/>
            <w:hideMark/>
          </w:tcPr>
          <w:p w14:paraId="1B7E2FE8"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IMOBILIZADO BENS MÓVEIS</w:t>
            </w:r>
          </w:p>
        </w:tc>
        <w:tc>
          <w:tcPr>
            <w:tcW w:w="1418" w:type="dxa"/>
            <w:tcBorders>
              <w:top w:val="nil"/>
              <w:left w:val="nil"/>
              <w:bottom w:val="single" w:sz="8" w:space="0" w:color="auto"/>
              <w:right w:val="nil"/>
            </w:tcBorders>
            <w:shd w:val="clear" w:color="auto" w:fill="auto"/>
            <w:vAlign w:val="center"/>
            <w:hideMark/>
          </w:tcPr>
          <w:p w14:paraId="5300A907"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1237" w:type="dxa"/>
            <w:tcBorders>
              <w:top w:val="nil"/>
              <w:left w:val="nil"/>
              <w:bottom w:val="single" w:sz="8" w:space="0" w:color="auto"/>
              <w:right w:val="nil"/>
            </w:tcBorders>
            <w:shd w:val="clear" w:color="auto" w:fill="auto"/>
            <w:vAlign w:val="center"/>
            <w:hideMark/>
          </w:tcPr>
          <w:p w14:paraId="5B6151E6"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28" w:type="dxa"/>
            <w:tcBorders>
              <w:top w:val="nil"/>
              <w:left w:val="nil"/>
              <w:bottom w:val="single" w:sz="8" w:space="0" w:color="auto"/>
              <w:right w:val="nil"/>
            </w:tcBorders>
            <w:shd w:val="clear" w:color="auto" w:fill="auto"/>
            <w:vAlign w:val="center"/>
            <w:hideMark/>
          </w:tcPr>
          <w:p w14:paraId="3F8FD506"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359" w:type="dxa"/>
            <w:tcBorders>
              <w:top w:val="nil"/>
              <w:left w:val="nil"/>
              <w:bottom w:val="single" w:sz="8" w:space="0" w:color="auto"/>
              <w:right w:val="nil"/>
            </w:tcBorders>
            <w:shd w:val="clear" w:color="auto" w:fill="auto"/>
            <w:vAlign w:val="center"/>
            <w:hideMark/>
          </w:tcPr>
          <w:p w14:paraId="0BEC134F"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490" w:type="dxa"/>
            <w:tcBorders>
              <w:top w:val="nil"/>
              <w:left w:val="nil"/>
              <w:bottom w:val="single" w:sz="8" w:space="0" w:color="auto"/>
              <w:right w:val="nil"/>
            </w:tcBorders>
            <w:shd w:val="clear" w:color="auto" w:fill="auto"/>
            <w:vAlign w:val="center"/>
            <w:hideMark/>
          </w:tcPr>
          <w:p w14:paraId="7AAD8627"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SALDO EM 30/09/2022</w:t>
            </w:r>
          </w:p>
        </w:tc>
        <w:tc>
          <w:tcPr>
            <w:tcW w:w="743" w:type="dxa"/>
            <w:tcBorders>
              <w:top w:val="nil"/>
              <w:left w:val="nil"/>
              <w:bottom w:val="single" w:sz="8" w:space="0" w:color="auto"/>
              <w:right w:val="nil"/>
            </w:tcBorders>
            <w:shd w:val="clear" w:color="auto" w:fill="auto"/>
            <w:vAlign w:val="center"/>
            <w:hideMark/>
          </w:tcPr>
          <w:p w14:paraId="6E0078CE"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TAXA DEPREC. (%)</w:t>
            </w:r>
          </w:p>
        </w:tc>
      </w:tr>
      <w:tr w:rsidR="00C9554B" w14:paraId="09E4FF47" w14:textId="77777777" w:rsidTr="00C9554B">
        <w:trPr>
          <w:trHeight w:val="300"/>
        </w:trPr>
        <w:tc>
          <w:tcPr>
            <w:tcW w:w="3261" w:type="dxa"/>
            <w:tcBorders>
              <w:top w:val="nil"/>
              <w:left w:val="nil"/>
              <w:bottom w:val="nil"/>
              <w:right w:val="nil"/>
            </w:tcBorders>
            <w:shd w:val="clear" w:color="auto" w:fill="auto"/>
            <w:noWrap/>
            <w:vAlign w:val="center"/>
            <w:hideMark/>
          </w:tcPr>
          <w:p w14:paraId="3B901212" w14:textId="77777777" w:rsidR="00C9554B" w:rsidRDefault="00C9554B">
            <w:pPr>
              <w:rPr>
                <w:rFonts w:ascii="Calibri" w:hAnsi="Calibri" w:cs="Calibri"/>
                <w:color w:val="000000"/>
                <w:sz w:val="16"/>
                <w:szCs w:val="16"/>
              </w:rPr>
            </w:pPr>
            <w:r>
              <w:rPr>
                <w:rFonts w:ascii="Calibri" w:hAnsi="Calibri" w:cs="Calibri"/>
                <w:color w:val="000000"/>
                <w:sz w:val="16"/>
                <w:szCs w:val="16"/>
              </w:rPr>
              <w:t>Mobiliário em Geral</w:t>
            </w:r>
          </w:p>
        </w:tc>
        <w:tc>
          <w:tcPr>
            <w:tcW w:w="1418" w:type="dxa"/>
            <w:tcBorders>
              <w:top w:val="nil"/>
              <w:left w:val="nil"/>
              <w:bottom w:val="nil"/>
              <w:right w:val="nil"/>
            </w:tcBorders>
            <w:shd w:val="clear" w:color="auto" w:fill="auto"/>
            <w:noWrap/>
            <w:vAlign w:val="center"/>
            <w:hideMark/>
          </w:tcPr>
          <w:p w14:paraId="2112126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8.704.128 </w:t>
            </w:r>
          </w:p>
        </w:tc>
        <w:tc>
          <w:tcPr>
            <w:tcW w:w="1237" w:type="dxa"/>
            <w:tcBorders>
              <w:top w:val="nil"/>
              <w:left w:val="nil"/>
              <w:bottom w:val="nil"/>
              <w:right w:val="nil"/>
            </w:tcBorders>
            <w:shd w:val="clear" w:color="auto" w:fill="auto"/>
            <w:noWrap/>
            <w:vAlign w:val="center"/>
            <w:hideMark/>
          </w:tcPr>
          <w:p w14:paraId="4D58FFC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2.396.255 </w:t>
            </w:r>
          </w:p>
        </w:tc>
        <w:tc>
          <w:tcPr>
            <w:tcW w:w="1128" w:type="dxa"/>
            <w:tcBorders>
              <w:top w:val="nil"/>
              <w:left w:val="nil"/>
              <w:bottom w:val="nil"/>
              <w:right w:val="nil"/>
            </w:tcBorders>
            <w:shd w:val="clear" w:color="auto" w:fill="auto"/>
            <w:noWrap/>
            <w:vAlign w:val="center"/>
            <w:hideMark/>
          </w:tcPr>
          <w:p w14:paraId="6A58CFD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(22.414)</w:t>
            </w:r>
          </w:p>
        </w:tc>
        <w:tc>
          <w:tcPr>
            <w:tcW w:w="1359" w:type="dxa"/>
            <w:tcBorders>
              <w:top w:val="nil"/>
              <w:left w:val="nil"/>
              <w:bottom w:val="nil"/>
              <w:right w:val="nil"/>
            </w:tcBorders>
            <w:shd w:val="clear" w:color="auto" w:fill="auto"/>
            <w:noWrap/>
            <w:vAlign w:val="center"/>
            <w:hideMark/>
          </w:tcPr>
          <w:p w14:paraId="6C29D8B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361.158 </w:t>
            </w:r>
          </w:p>
        </w:tc>
        <w:tc>
          <w:tcPr>
            <w:tcW w:w="1490" w:type="dxa"/>
            <w:tcBorders>
              <w:top w:val="nil"/>
              <w:left w:val="nil"/>
              <w:bottom w:val="nil"/>
              <w:right w:val="nil"/>
            </w:tcBorders>
            <w:shd w:val="clear" w:color="auto" w:fill="auto"/>
            <w:noWrap/>
            <w:vAlign w:val="center"/>
            <w:hideMark/>
          </w:tcPr>
          <w:p w14:paraId="1C6D045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11.439.127 </w:t>
            </w:r>
          </w:p>
        </w:tc>
        <w:tc>
          <w:tcPr>
            <w:tcW w:w="743" w:type="dxa"/>
            <w:tcBorders>
              <w:top w:val="nil"/>
              <w:left w:val="nil"/>
              <w:bottom w:val="nil"/>
              <w:right w:val="nil"/>
            </w:tcBorders>
            <w:shd w:val="clear" w:color="auto" w:fill="auto"/>
            <w:noWrap/>
            <w:vAlign w:val="center"/>
            <w:hideMark/>
          </w:tcPr>
          <w:p w14:paraId="1D4C0EE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10</w:t>
            </w:r>
          </w:p>
        </w:tc>
      </w:tr>
      <w:tr w:rsidR="00C9554B" w14:paraId="793D4261" w14:textId="77777777" w:rsidTr="00C9554B">
        <w:trPr>
          <w:trHeight w:val="300"/>
        </w:trPr>
        <w:tc>
          <w:tcPr>
            <w:tcW w:w="3261" w:type="dxa"/>
            <w:tcBorders>
              <w:top w:val="nil"/>
              <w:left w:val="nil"/>
              <w:bottom w:val="nil"/>
              <w:right w:val="nil"/>
            </w:tcBorders>
            <w:shd w:val="clear" w:color="auto" w:fill="auto"/>
            <w:noWrap/>
            <w:vAlign w:val="center"/>
            <w:hideMark/>
          </w:tcPr>
          <w:p w14:paraId="3121F939" w14:textId="77777777" w:rsidR="00C9554B" w:rsidRDefault="00C9554B">
            <w:pPr>
              <w:rPr>
                <w:rFonts w:ascii="Calibri" w:hAnsi="Calibri" w:cs="Calibri"/>
                <w:color w:val="000000"/>
                <w:sz w:val="16"/>
                <w:szCs w:val="16"/>
              </w:rPr>
            </w:pPr>
            <w:r>
              <w:rPr>
                <w:rFonts w:ascii="Calibri" w:hAnsi="Calibri" w:cs="Calibri"/>
                <w:color w:val="000000"/>
                <w:sz w:val="16"/>
                <w:szCs w:val="16"/>
              </w:rPr>
              <w:t>Ativos de Concessão (Pátios)</w:t>
            </w:r>
          </w:p>
        </w:tc>
        <w:tc>
          <w:tcPr>
            <w:tcW w:w="1418" w:type="dxa"/>
            <w:tcBorders>
              <w:top w:val="nil"/>
              <w:left w:val="nil"/>
              <w:bottom w:val="nil"/>
              <w:right w:val="nil"/>
            </w:tcBorders>
            <w:shd w:val="clear" w:color="auto" w:fill="auto"/>
            <w:noWrap/>
            <w:vAlign w:val="center"/>
            <w:hideMark/>
          </w:tcPr>
          <w:p w14:paraId="7F62BC8C"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5.524.762 </w:t>
            </w:r>
          </w:p>
        </w:tc>
        <w:tc>
          <w:tcPr>
            <w:tcW w:w="1237" w:type="dxa"/>
            <w:tcBorders>
              <w:top w:val="nil"/>
              <w:left w:val="nil"/>
              <w:bottom w:val="nil"/>
              <w:right w:val="nil"/>
            </w:tcBorders>
            <w:shd w:val="clear" w:color="auto" w:fill="auto"/>
            <w:noWrap/>
            <w:vAlign w:val="center"/>
            <w:hideMark/>
          </w:tcPr>
          <w:p w14:paraId="09E8339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2C0FA42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6F1A7CB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6630141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5.524.762 </w:t>
            </w:r>
          </w:p>
        </w:tc>
        <w:tc>
          <w:tcPr>
            <w:tcW w:w="743" w:type="dxa"/>
            <w:tcBorders>
              <w:top w:val="nil"/>
              <w:left w:val="nil"/>
              <w:bottom w:val="nil"/>
              <w:right w:val="nil"/>
            </w:tcBorders>
            <w:shd w:val="clear" w:color="auto" w:fill="auto"/>
            <w:noWrap/>
            <w:vAlign w:val="center"/>
            <w:hideMark/>
          </w:tcPr>
          <w:p w14:paraId="5D7F571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10</w:t>
            </w:r>
          </w:p>
        </w:tc>
      </w:tr>
      <w:tr w:rsidR="00C9554B" w14:paraId="4B818AFB" w14:textId="77777777" w:rsidTr="00C9554B">
        <w:trPr>
          <w:trHeight w:val="300"/>
        </w:trPr>
        <w:tc>
          <w:tcPr>
            <w:tcW w:w="3261" w:type="dxa"/>
            <w:tcBorders>
              <w:top w:val="nil"/>
              <w:left w:val="nil"/>
              <w:bottom w:val="nil"/>
              <w:right w:val="nil"/>
            </w:tcBorders>
            <w:shd w:val="clear" w:color="auto" w:fill="auto"/>
            <w:noWrap/>
            <w:vAlign w:val="center"/>
            <w:hideMark/>
          </w:tcPr>
          <w:p w14:paraId="3E287D72" w14:textId="77777777" w:rsidR="00C9554B" w:rsidRDefault="00C9554B">
            <w:pPr>
              <w:rPr>
                <w:rFonts w:ascii="Calibri" w:hAnsi="Calibri" w:cs="Calibri"/>
                <w:color w:val="000000"/>
                <w:sz w:val="16"/>
                <w:szCs w:val="16"/>
              </w:rPr>
            </w:pPr>
            <w:r>
              <w:rPr>
                <w:rFonts w:ascii="Calibri" w:hAnsi="Calibri" w:cs="Calibri"/>
                <w:color w:val="000000"/>
                <w:sz w:val="16"/>
                <w:szCs w:val="16"/>
              </w:rPr>
              <w:t>Equipamentos</w:t>
            </w:r>
          </w:p>
        </w:tc>
        <w:tc>
          <w:tcPr>
            <w:tcW w:w="1418" w:type="dxa"/>
            <w:tcBorders>
              <w:top w:val="nil"/>
              <w:left w:val="nil"/>
              <w:bottom w:val="nil"/>
              <w:right w:val="nil"/>
            </w:tcBorders>
            <w:shd w:val="clear" w:color="auto" w:fill="auto"/>
            <w:noWrap/>
            <w:vAlign w:val="center"/>
            <w:hideMark/>
          </w:tcPr>
          <w:p w14:paraId="3261622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24.077.444 </w:t>
            </w:r>
          </w:p>
        </w:tc>
        <w:tc>
          <w:tcPr>
            <w:tcW w:w="1237" w:type="dxa"/>
            <w:tcBorders>
              <w:top w:val="nil"/>
              <w:left w:val="nil"/>
              <w:bottom w:val="nil"/>
              <w:right w:val="nil"/>
            </w:tcBorders>
            <w:shd w:val="clear" w:color="auto" w:fill="auto"/>
            <w:noWrap/>
            <w:vAlign w:val="center"/>
            <w:hideMark/>
          </w:tcPr>
          <w:p w14:paraId="5CFEF63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17.668 </w:t>
            </w:r>
          </w:p>
        </w:tc>
        <w:tc>
          <w:tcPr>
            <w:tcW w:w="1128" w:type="dxa"/>
            <w:tcBorders>
              <w:top w:val="nil"/>
              <w:left w:val="nil"/>
              <w:bottom w:val="nil"/>
              <w:right w:val="nil"/>
            </w:tcBorders>
            <w:shd w:val="clear" w:color="auto" w:fill="auto"/>
            <w:noWrap/>
            <w:vAlign w:val="center"/>
            <w:hideMark/>
          </w:tcPr>
          <w:p w14:paraId="3C386E7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(6.000)</w:t>
            </w:r>
          </w:p>
        </w:tc>
        <w:tc>
          <w:tcPr>
            <w:tcW w:w="1359" w:type="dxa"/>
            <w:tcBorders>
              <w:top w:val="nil"/>
              <w:left w:val="nil"/>
              <w:bottom w:val="nil"/>
              <w:right w:val="nil"/>
            </w:tcBorders>
            <w:shd w:val="clear" w:color="auto" w:fill="auto"/>
            <w:noWrap/>
            <w:vAlign w:val="center"/>
            <w:hideMark/>
          </w:tcPr>
          <w:p w14:paraId="5BF317A2"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170 </w:t>
            </w:r>
          </w:p>
        </w:tc>
        <w:tc>
          <w:tcPr>
            <w:tcW w:w="1490" w:type="dxa"/>
            <w:tcBorders>
              <w:top w:val="nil"/>
              <w:left w:val="nil"/>
              <w:bottom w:val="nil"/>
              <w:right w:val="nil"/>
            </w:tcBorders>
            <w:shd w:val="clear" w:color="auto" w:fill="auto"/>
            <w:noWrap/>
            <w:vAlign w:val="center"/>
            <w:hideMark/>
          </w:tcPr>
          <w:p w14:paraId="17DE8F7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24.089.282 </w:t>
            </w:r>
          </w:p>
        </w:tc>
        <w:tc>
          <w:tcPr>
            <w:tcW w:w="743" w:type="dxa"/>
            <w:tcBorders>
              <w:top w:val="nil"/>
              <w:left w:val="nil"/>
              <w:bottom w:val="nil"/>
              <w:right w:val="nil"/>
            </w:tcBorders>
            <w:shd w:val="clear" w:color="auto" w:fill="auto"/>
            <w:noWrap/>
            <w:vAlign w:val="center"/>
            <w:hideMark/>
          </w:tcPr>
          <w:p w14:paraId="5032E4D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10 e 20</w:t>
            </w:r>
          </w:p>
        </w:tc>
      </w:tr>
      <w:tr w:rsidR="00C9554B" w14:paraId="3D120F2B" w14:textId="77777777" w:rsidTr="00C9554B">
        <w:trPr>
          <w:trHeight w:val="300"/>
        </w:trPr>
        <w:tc>
          <w:tcPr>
            <w:tcW w:w="3261" w:type="dxa"/>
            <w:tcBorders>
              <w:top w:val="nil"/>
              <w:left w:val="nil"/>
              <w:bottom w:val="nil"/>
              <w:right w:val="nil"/>
            </w:tcBorders>
            <w:shd w:val="clear" w:color="auto" w:fill="auto"/>
            <w:noWrap/>
            <w:vAlign w:val="center"/>
            <w:hideMark/>
          </w:tcPr>
          <w:p w14:paraId="43BDA396" w14:textId="77777777" w:rsidR="00C9554B" w:rsidRDefault="00C9554B">
            <w:pPr>
              <w:rPr>
                <w:rFonts w:ascii="Calibri" w:hAnsi="Calibri" w:cs="Calibri"/>
                <w:color w:val="000000"/>
                <w:sz w:val="16"/>
                <w:szCs w:val="16"/>
              </w:rPr>
            </w:pPr>
            <w:r>
              <w:rPr>
                <w:rFonts w:ascii="Calibri" w:hAnsi="Calibri" w:cs="Calibri"/>
                <w:color w:val="000000"/>
                <w:sz w:val="16"/>
                <w:szCs w:val="16"/>
              </w:rPr>
              <w:t>Equipamentos de Comunicação</w:t>
            </w:r>
          </w:p>
        </w:tc>
        <w:tc>
          <w:tcPr>
            <w:tcW w:w="1418" w:type="dxa"/>
            <w:tcBorders>
              <w:top w:val="nil"/>
              <w:left w:val="nil"/>
              <w:bottom w:val="nil"/>
              <w:right w:val="nil"/>
            </w:tcBorders>
            <w:shd w:val="clear" w:color="auto" w:fill="auto"/>
            <w:noWrap/>
            <w:vAlign w:val="center"/>
            <w:hideMark/>
          </w:tcPr>
          <w:p w14:paraId="5D399A9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46.130 </w:t>
            </w:r>
          </w:p>
        </w:tc>
        <w:tc>
          <w:tcPr>
            <w:tcW w:w="1237" w:type="dxa"/>
            <w:tcBorders>
              <w:top w:val="nil"/>
              <w:left w:val="nil"/>
              <w:bottom w:val="nil"/>
              <w:right w:val="nil"/>
            </w:tcBorders>
            <w:shd w:val="clear" w:color="auto" w:fill="auto"/>
            <w:noWrap/>
            <w:vAlign w:val="center"/>
            <w:hideMark/>
          </w:tcPr>
          <w:p w14:paraId="05ED732C"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250.950 </w:t>
            </w:r>
          </w:p>
        </w:tc>
        <w:tc>
          <w:tcPr>
            <w:tcW w:w="1128" w:type="dxa"/>
            <w:tcBorders>
              <w:top w:val="nil"/>
              <w:left w:val="nil"/>
              <w:bottom w:val="nil"/>
              <w:right w:val="nil"/>
            </w:tcBorders>
            <w:shd w:val="clear" w:color="auto" w:fill="auto"/>
            <w:noWrap/>
            <w:vAlign w:val="center"/>
            <w:hideMark/>
          </w:tcPr>
          <w:p w14:paraId="0168155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110645A1"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38A9E15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297.080 </w:t>
            </w:r>
          </w:p>
        </w:tc>
        <w:tc>
          <w:tcPr>
            <w:tcW w:w="743" w:type="dxa"/>
            <w:tcBorders>
              <w:top w:val="nil"/>
              <w:left w:val="nil"/>
              <w:bottom w:val="nil"/>
              <w:right w:val="nil"/>
            </w:tcBorders>
            <w:shd w:val="clear" w:color="auto" w:fill="auto"/>
            <w:noWrap/>
            <w:vAlign w:val="center"/>
            <w:hideMark/>
          </w:tcPr>
          <w:p w14:paraId="6837BB1C"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20</w:t>
            </w:r>
          </w:p>
        </w:tc>
      </w:tr>
      <w:tr w:rsidR="00C9554B" w14:paraId="4D9926BD" w14:textId="77777777" w:rsidTr="00C9554B">
        <w:trPr>
          <w:trHeight w:val="300"/>
        </w:trPr>
        <w:tc>
          <w:tcPr>
            <w:tcW w:w="3261" w:type="dxa"/>
            <w:tcBorders>
              <w:top w:val="nil"/>
              <w:left w:val="nil"/>
              <w:bottom w:val="nil"/>
              <w:right w:val="nil"/>
            </w:tcBorders>
            <w:shd w:val="clear" w:color="auto" w:fill="auto"/>
            <w:noWrap/>
            <w:vAlign w:val="center"/>
            <w:hideMark/>
          </w:tcPr>
          <w:p w14:paraId="78DCB0F8" w14:textId="77777777" w:rsidR="00C9554B" w:rsidRDefault="00C9554B">
            <w:pPr>
              <w:rPr>
                <w:rFonts w:ascii="Calibri" w:hAnsi="Calibri" w:cs="Calibri"/>
                <w:color w:val="000000"/>
                <w:sz w:val="16"/>
                <w:szCs w:val="16"/>
              </w:rPr>
            </w:pPr>
            <w:r>
              <w:rPr>
                <w:rFonts w:ascii="Calibri" w:hAnsi="Calibri" w:cs="Calibri"/>
                <w:color w:val="000000"/>
                <w:sz w:val="16"/>
                <w:szCs w:val="16"/>
              </w:rPr>
              <w:t>Utensílios de Escritório</w:t>
            </w:r>
          </w:p>
        </w:tc>
        <w:tc>
          <w:tcPr>
            <w:tcW w:w="1418" w:type="dxa"/>
            <w:tcBorders>
              <w:top w:val="nil"/>
              <w:left w:val="nil"/>
              <w:bottom w:val="nil"/>
              <w:right w:val="nil"/>
            </w:tcBorders>
            <w:shd w:val="clear" w:color="auto" w:fill="auto"/>
            <w:noWrap/>
            <w:vAlign w:val="center"/>
            <w:hideMark/>
          </w:tcPr>
          <w:p w14:paraId="457E1DD1"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408.737 </w:t>
            </w:r>
          </w:p>
        </w:tc>
        <w:tc>
          <w:tcPr>
            <w:tcW w:w="1237" w:type="dxa"/>
            <w:tcBorders>
              <w:top w:val="nil"/>
              <w:left w:val="nil"/>
              <w:bottom w:val="nil"/>
              <w:right w:val="nil"/>
            </w:tcBorders>
            <w:shd w:val="clear" w:color="auto" w:fill="auto"/>
            <w:noWrap/>
            <w:vAlign w:val="center"/>
            <w:hideMark/>
          </w:tcPr>
          <w:p w14:paraId="124AC15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246.340 </w:t>
            </w:r>
          </w:p>
        </w:tc>
        <w:tc>
          <w:tcPr>
            <w:tcW w:w="1128" w:type="dxa"/>
            <w:tcBorders>
              <w:top w:val="nil"/>
              <w:left w:val="nil"/>
              <w:bottom w:val="nil"/>
              <w:right w:val="nil"/>
            </w:tcBorders>
            <w:shd w:val="clear" w:color="auto" w:fill="auto"/>
            <w:noWrap/>
            <w:vAlign w:val="center"/>
            <w:hideMark/>
          </w:tcPr>
          <w:p w14:paraId="58E87F2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(49.616)</w:t>
            </w:r>
          </w:p>
        </w:tc>
        <w:tc>
          <w:tcPr>
            <w:tcW w:w="1359" w:type="dxa"/>
            <w:tcBorders>
              <w:top w:val="nil"/>
              <w:left w:val="nil"/>
              <w:bottom w:val="nil"/>
              <w:right w:val="nil"/>
            </w:tcBorders>
            <w:shd w:val="clear" w:color="auto" w:fill="auto"/>
            <w:noWrap/>
            <w:vAlign w:val="center"/>
            <w:hideMark/>
          </w:tcPr>
          <w:p w14:paraId="6A62AC6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123.407 </w:t>
            </w:r>
          </w:p>
        </w:tc>
        <w:tc>
          <w:tcPr>
            <w:tcW w:w="1490" w:type="dxa"/>
            <w:tcBorders>
              <w:top w:val="nil"/>
              <w:left w:val="nil"/>
              <w:bottom w:val="nil"/>
              <w:right w:val="nil"/>
            </w:tcBorders>
            <w:shd w:val="clear" w:color="auto" w:fill="auto"/>
            <w:noWrap/>
            <w:vAlign w:val="center"/>
            <w:hideMark/>
          </w:tcPr>
          <w:p w14:paraId="667C857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728.868 </w:t>
            </w:r>
          </w:p>
        </w:tc>
        <w:tc>
          <w:tcPr>
            <w:tcW w:w="743" w:type="dxa"/>
            <w:tcBorders>
              <w:top w:val="nil"/>
              <w:left w:val="nil"/>
              <w:bottom w:val="nil"/>
              <w:right w:val="nil"/>
            </w:tcBorders>
            <w:shd w:val="clear" w:color="auto" w:fill="auto"/>
            <w:noWrap/>
            <w:vAlign w:val="center"/>
            <w:hideMark/>
          </w:tcPr>
          <w:p w14:paraId="521A14B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10</w:t>
            </w:r>
          </w:p>
        </w:tc>
      </w:tr>
      <w:tr w:rsidR="00C9554B" w14:paraId="35BD83B4" w14:textId="77777777" w:rsidTr="00C9554B">
        <w:trPr>
          <w:trHeight w:val="300"/>
        </w:trPr>
        <w:tc>
          <w:tcPr>
            <w:tcW w:w="3261" w:type="dxa"/>
            <w:tcBorders>
              <w:top w:val="nil"/>
              <w:left w:val="nil"/>
              <w:bottom w:val="nil"/>
              <w:right w:val="nil"/>
            </w:tcBorders>
            <w:shd w:val="clear" w:color="auto" w:fill="auto"/>
            <w:noWrap/>
            <w:vAlign w:val="center"/>
            <w:hideMark/>
          </w:tcPr>
          <w:p w14:paraId="07700957" w14:textId="77777777" w:rsidR="00C9554B" w:rsidRDefault="00C9554B">
            <w:pPr>
              <w:rPr>
                <w:rFonts w:ascii="Calibri" w:hAnsi="Calibri" w:cs="Calibri"/>
                <w:color w:val="000000"/>
                <w:sz w:val="16"/>
                <w:szCs w:val="16"/>
              </w:rPr>
            </w:pPr>
            <w:r>
              <w:rPr>
                <w:rFonts w:ascii="Calibri" w:hAnsi="Calibri" w:cs="Calibri"/>
                <w:color w:val="000000"/>
                <w:sz w:val="16"/>
                <w:szCs w:val="16"/>
              </w:rPr>
              <w:t>Computadores e Periféricos</w:t>
            </w:r>
          </w:p>
        </w:tc>
        <w:tc>
          <w:tcPr>
            <w:tcW w:w="1418" w:type="dxa"/>
            <w:tcBorders>
              <w:top w:val="nil"/>
              <w:left w:val="nil"/>
              <w:bottom w:val="nil"/>
              <w:right w:val="nil"/>
            </w:tcBorders>
            <w:shd w:val="clear" w:color="auto" w:fill="auto"/>
            <w:noWrap/>
            <w:vAlign w:val="center"/>
            <w:hideMark/>
          </w:tcPr>
          <w:p w14:paraId="7022F89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08A6A1B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8.866.223 </w:t>
            </w:r>
          </w:p>
        </w:tc>
        <w:tc>
          <w:tcPr>
            <w:tcW w:w="1128" w:type="dxa"/>
            <w:tcBorders>
              <w:top w:val="nil"/>
              <w:left w:val="nil"/>
              <w:bottom w:val="nil"/>
              <w:right w:val="nil"/>
            </w:tcBorders>
            <w:shd w:val="clear" w:color="auto" w:fill="auto"/>
            <w:noWrap/>
            <w:vAlign w:val="center"/>
            <w:hideMark/>
          </w:tcPr>
          <w:p w14:paraId="7B972852"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70F2C421"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C5B070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8.866.223 </w:t>
            </w:r>
          </w:p>
        </w:tc>
        <w:tc>
          <w:tcPr>
            <w:tcW w:w="743" w:type="dxa"/>
            <w:tcBorders>
              <w:top w:val="nil"/>
              <w:left w:val="nil"/>
              <w:bottom w:val="nil"/>
              <w:right w:val="nil"/>
            </w:tcBorders>
            <w:shd w:val="clear" w:color="auto" w:fill="auto"/>
            <w:noWrap/>
            <w:vAlign w:val="center"/>
            <w:hideMark/>
          </w:tcPr>
          <w:p w14:paraId="3B292D5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20</w:t>
            </w:r>
          </w:p>
        </w:tc>
      </w:tr>
      <w:tr w:rsidR="00C9554B" w14:paraId="37C9A1DB" w14:textId="77777777" w:rsidTr="00C9554B">
        <w:trPr>
          <w:trHeight w:val="300"/>
        </w:trPr>
        <w:tc>
          <w:tcPr>
            <w:tcW w:w="3261" w:type="dxa"/>
            <w:tcBorders>
              <w:top w:val="nil"/>
              <w:left w:val="nil"/>
              <w:bottom w:val="nil"/>
              <w:right w:val="nil"/>
            </w:tcBorders>
            <w:shd w:val="clear" w:color="auto" w:fill="auto"/>
            <w:noWrap/>
            <w:vAlign w:val="center"/>
            <w:hideMark/>
          </w:tcPr>
          <w:p w14:paraId="42725819" w14:textId="77777777" w:rsidR="00C9554B" w:rsidRDefault="00C9554B">
            <w:pPr>
              <w:rPr>
                <w:rFonts w:ascii="Calibri" w:hAnsi="Calibri" w:cs="Calibri"/>
                <w:color w:val="000000"/>
                <w:sz w:val="16"/>
                <w:szCs w:val="16"/>
              </w:rPr>
            </w:pPr>
            <w:r>
              <w:rPr>
                <w:rFonts w:ascii="Calibri" w:hAnsi="Calibri" w:cs="Calibri"/>
                <w:color w:val="000000"/>
                <w:sz w:val="16"/>
                <w:szCs w:val="16"/>
              </w:rPr>
              <w:t>Equipamentos Energia Elétrica</w:t>
            </w:r>
          </w:p>
        </w:tc>
        <w:tc>
          <w:tcPr>
            <w:tcW w:w="1418" w:type="dxa"/>
            <w:tcBorders>
              <w:top w:val="nil"/>
              <w:left w:val="nil"/>
              <w:bottom w:val="nil"/>
              <w:right w:val="nil"/>
            </w:tcBorders>
            <w:shd w:val="clear" w:color="auto" w:fill="auto"/>
            <w:noWrap/>
            <w:vAlign w:val="center"/>
            <w:hideMark/>
          </w:tcPr>
          <w:p w14:paraId="37AA8A67"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248C6AA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2.521.846 </w:t>
            </w:r>
          </w:p>
        </w:tc>
        <w:tc>
          <w:tcPr>
            <w:tcW w:w="1128" w:type="dxa"/>
            <w:tcBorders>
              <w:top w:val="nil"/>
              <w:left w:val="nil"/>
              <w:bottom w:val="nil"/>
              <w:right w:val="nil"/>
            </w:tcBorders>
            <w:shd w:val="clear" w:color="auto" w:fill="auto"/>
            <w:noWrap/>
            <w:vAlign w:val="center"/>
            <w:hideMark/>
          </w:tcPr>
          <w:p w14:paraId="39E495A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114F2E92"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5BA624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2.521.846 </w:t>
            </w:r>
          </w:p>
        </w:tc>
        <w:tc>
          <w:tcPr>
            <w:tcW w:w="743" w:type="dxa"/>
            <w:tcBorders>
              <w:top w:val="nil"/>
              <w:left w:val="nil"/>
              <w:bottom w:val="nil"/>
              <w:right w:val="nil"/>
            </w:tcBorders>
            <w:shd w:val="clear" w:color="auto" w:fill="auto"/>
            <w:noWrap/>
            <w:vAlign w:val="center"/>
            <w:hideMark/>
          </w:tcPr>
          <w:p w14:paraId="7A58B2A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10</w:t>
            </w:r>
          </w:p>
        </w:tc>
      </w:tr>
      <w:tr w:rsidR="00C9554B" w14:paraId="65DBB7D8" w14:textId="77777777" w:rsidTr="00C9554B">
        <w:trPr>
          <w:trHeight w:val="300"/>
        </w:trPr>
        <w:tc>
          <w:tcPr>
            <w:tcW w:w="3261" w:type="dxa"/>
            <w:tcBorders>
              <w:top w:val="nil"/>
              <w:left w:val="nil"/>
              <w:bottom w:val="nil"/>
              <w:right w:val="nil"/>
            </w:tcBorders>
            <w:shd w:val="clear" w:color="auto" w:fill="auto"/>
            <w:noWrap/>
            <w:vAlign w:val="center"/>
            <w:hideMark/>
          </w:tcPr>
          <w:p w14:paraId="4D53209B" w14:textId="77777777" w:rsidR="00C9554B" w:rsidRDefault="00C9554B">
            <w:pPr>
              <w:rPr>
                <w:rFonts w:ascii="Calibri" w:hAnsi="Calibri" w:cs="Calibri"/>
                <w:color w:val="000000"/>
                <w:sz w:val="16"/>
                <w:szCs w:val="16"/>
              </w:rPr>
            </w:pPr>
            <w:r>
              <w:rPr>
                <w:rFonts w:ascii="Calibri" w:hAnsi="Calibri" w:cs="Calibri"/>
                <w:color w:val="000000"/>
                <w:sz w:val="16"/>
                <w:szCs w:val="16"/>
              </w:rPr>
              <w:t>Equipamento para Áudio, Vídeo e Foto</w:t>
            </w:r>
          </w:p>
        </w:tc>
        <w:tc>
          <w:tcPr>
            <w:tcW w:w="1418" w:type="dxa"/>
            <w:tcBorders>
              <w:top w:val="nil"/>
              <w:left w:val="nil"/>
              <w:bottom w:val="nil"/>
              <w:right w:val="nil"/>
            </w:tcBorders>
            <w:shd w:val="clear" w:color="auto" w:fill="auto"/>
            <w:noWrap/>
            <w:vAlign w:val="center"/>
            <w:hideMark/>
          </w:tcPr>
          <w:p w14:paraId="0916B02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46718E5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1.208.818 </w:t>
            </w:r>
          </w:p>
        </w:tc>
        <w:tc>
          <w:tcPr>
            <w:tcW w:w="1128" w:type="dxa"/>
            <w:tcBorders>
              <w:top w:val="nil"/>
              <w:left w:val="nil"/>
              <w:bottom w:val="nil"/>
              <w:right w:val="nil"/>
            </w:tcBorders>
            <w:shd w:val="clear" w:color="auto" w:fill="auto"/>
            <w:noWrap/>
            <w:vAlign w:val="center"/>
            <w:hideMark/>
          </w:tcPr>
          <w:p w14:paraId="0D6E2082"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54E1D598"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76CC152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1.208.818 </w:t>
            </w:r>
          </w:p>
        </w:tc>
        <w:tc>
          <w:tcPr>
            <w:tcW w:w="743" w:type="dxa"/>
            <w:tcBorders>
              <w:top w:val="nil"/>
              <w:left w:val="nil"/>
              <w:bottom w:val="nil"/>
              <w:right w:val="nil"/>
            </w:tcBorders>
            <w:shd w:val="clear" w:color="auto" w:fill="auto"/>
            <w:noWrap/>
            <w:vAlign w:val="center"/>
            <w:hideMark/>
          </w:tcPr>
          <w:p w14:paraId="0E54CA2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10</w:t>
            </w:r>
          </w:p>
        </w:tc>
      </w:tr>
      <w:tr w:rsidR="00C9554B" w14:paraId="45FFE531" w14:textId="77777777" w:rsidTr="00C9554B">
        <w:trPr>
          <w:trHeight w:val="300"/>
        </w:trPr>
        <w:tc>
          <w:tcPr>
            <w:tcW w:w="3261" w:type="dxa"/>
            <w:tcBorders>
              <w:top w:val="nil"/>
              <w:left w:val="nil"/>
              <w:bottom w:val="nil"/>
              <w:right w:val="nil"/>
            </w:tcBorders>
            <w:shd w:val="clear" w:color="auto" w:fill="auto"/>
            <w:noWrap/>
            <w:vAlign w:val="center"/>
            <w:hideMark/>
          </w:tcPr>
          <w:p w14:paraId="3928C178" w14:textId="77777777" w:rsidR="00C9554B" w:rsidRDefault="00C9554B">
            <w:pPr>
              <w:rPr>
                <w:rFonts w:ascii="Calibri" w:hAnsi="Calibri" w:cs="Calibri"/>
                <w:color w:val="000000"/>
                <w:sz w:val="16"/>
                <w:szCs w:val="16"/>
              </w:rPr>
            </w:pPr>
            <w:r>
              <w:rPr>
                <w:rFonts w:ascii="Calibri" w:hAnsi="Calibri" w:cs="Calibri"/>
                <w:color w:val="000000"/>
                <w:sz w:val="16"/>
                <w:szCs w:val="16"/>
              </w:rPr>
              <w:t>Outros Bens de Uso Duradouro</w:t>
            </w:r>
          </w:p>
        </w:tc>
        <w:tc>
          <w:tcPr>
            <w:tcW w:w="1418" w:type="dxa"/>
            <w:tcBorders>
              <w:top w:val="nil"/>
              <w:left w:val="nil"/>
              <w:bottom w:val="nil"/>
              <w:right w:val="nil"/>
            </w:tcBorders>
            <w:shd w:val="clear" w:color="auto" w:fill="auto"/>
            <w:noWrap/>
            <w:vAlign w:val="center"/>
            <w:hideMark/>
          </w:tcPr>
          <w:p w14:paraId="6B92F6E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0017D63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76.968 </w:t>
            </w:r>
          </w:p>
        </w:tc>
        <w:tc>
          <w:tcPr>
            <w:tcW w:w="1128" w:type="dxa"/>
            <w:tcBorders>
              <w:top w:val="nil"/>
              <w:left w:val="nil"/>
              <w:bottom w:val="nil"/>
              <w:right w:val="nil"/>
            </w:tcBorders>
            <w:shd w:val="clear" w:color="auto" w:fill="auto"/>
            <w:noWrap/>
            <w:vAlign w:val="center"/>
            <w:hideMark/>
          </w:tcPr>
          <w:p w14:paraId="2D82AA9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08D83BA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6A763FE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76.968 </w:t>
            </w:r>
          </w:p>
        </w:tc>
        <w:tc>
          <w:tcPr>
            <w:tcW w:w="743" w:type="dxa"/>
            <w:tcBorders>
              <w:top w:val="nil"/>
              <w:left w:val="nil"/>
              <w:bottom w:val="nil"/>
              <w:right w:val="nil"/>
            </w:tcBorders>
            <w:shd w:val="clear" w:color="auto" w:fill="auto"/>
            <w:noWrap/>
            <w:vAlign w:val="center"/>
            <w:hideMark/>
          </w:tcPr>
          <w:p w14:paraId="557D610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10</w:t>
            </w:r>
          </w:p>
        </w:tc>
      </w:tr>
      <w:tr w:rsidR="00C9554B" w14:paraId="3FDF88BB" w14:textId="77777777" w:rsidTr="00C9554B">
        <w:trPr>
          <w:trHeight w:val="300"/>
        </w:trPr>
        <w:tc>
          <w:tcPr>
            <w:tcW w:w="3261" w:type="dxa"/>
            <w:tcBorders>
              <w:top w:val="nil"/>
              <w:left w:val="nil"/>
              <w:bottom w:val="nil"/>
              <w:right w:val="nil"/>
            </w:tcBorders>
            <w:shd w:val="clear" w:color="auto" w:fill="auto"/>
            <w:noWrap/>
            <w:vAlign w:val="center"/>
            <w:hideMark/>
          </w:tcPr>
          <w:p w14:paraId="0508639E" w14:textId="77777777" w:rsidR="00C9554B" w:rsidRDefault="00C9554B">
            <w:pPr>
              <w:rPr>
                <w:rFonts w:ascii="Calibri" w:hAnsi="Calibri" w:cs="Calibri"/>
                <w:color w:val="000000"/>
                <w:sz w:val="16"/>
                <w:szCs w:val="16"/>
              </w:rPr>
            </w:pPr>
            <w:r>
              <w:rPr>
                <w:rFonts w:ascii="Calibri" w:hAnsi="Calibri" w:cs="Calibri"/>
                <w:color w:val="000000"/>
                <w:sz w:val="16"/>
                <w:szCs w:val="16"/>
              </w:rPr>
              <w:t>Biblioteca</w:t>
            </w:r>
          </w:p>
        </w:tc>
        <w:tc>
          <w:tcPr>
            <w:tcW w:w="1418" w:type="dxa"/>
            <w:tcBorders>
              <w:top w:val="nil"/>
              <w:left w:val="nil"/>
              <w:bottom w:val="nil"/>
              <w:right w:val="nil"/>
            </w:tcBorders>
            <w:shd w:val="clear" w:color="auto" w:fill="auto"/>
            <w:noWrap/>
            <w:vAlign w:val="center"/>
            <w:hideMark/>
          </w:tcPr>
          <w:p w14:paraId="2DE25D92"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602C7437"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25.959 </w:t>
            </w:r>
          </w:p>
        </w:tc>
        <w:tc>
          <w:tcPr>
            <w:tcW w:w="1128" w:type="dxa"/>
            <w:tcBorders>
              <w:top w:val="nil"/>
              <w:left w:val="nil"/>
              <w:bottom w:val="nil"/>
              <w:right w:val="nil"/>
            </w:tcBorders>
            <w:shd w:val="clear" w:color="auto" w:fill="auto"/>
            <w:noWrap/>
            <w:vAlign w:val="center"/>
            <w:hideMark/>
          </w:tcPr>
          <w:p w14:paraId="24735B71"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7887C262"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B391C9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25.959 </w:t>
            </w:r>
          </w:p>
        </w:tc>
        <w:tc>
          <w:tcPr>
            <w:tcW w:w="743" w:type="dxa"/>
            <w:tcBorders>
              <w:top w:val="nil"/>
              <w:left w:val="nil"/>
              <w:bottom w:val="nil"/>
              <w:right w:val="nil"/>
            </w:tcBorders>
            <w:shd w:val="clear" w:color="auto" w:fill="auto"/>
            <w:noWrap/>
            <w:vAlign w:val="center"/>
            <w:hideMark/>
          </w:tcPr>
          <w:p w14:paraId="290BAC5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10</w:t>
            </w:r>
          </w:p>
        </w:tc>
      </w:tr>
      <w:tr w:rsidR="00C9554B" w14:paraId="7EA295B8" w14:textId="77777777" w:rsidTr="00C9554B">
        <w:trPr>
          <w:trHeight w:val="300"/>
        </w:trPr>
        <w:tc>
          <w:tcPr>
            <w:tcW w:w="3261" w:type="dxa"/>
            <w:tcBorders>
              <w:top w:val="nil"/>
              <w:left w:val="nil"/>
              <w:bottom w:val="nil"/>
              <w:right w:val="nil"/>
            </w:tcBorders>
            <w:shd w:val="clear" w:color="auto" w:fill="auto"/>
            <w:noWrap/>
            <w:vAlign w:val="center"/>
            <w:hideMark/>
          </w:tcPr>
          <w:p w14:paraId="7D8D42D3" w14:textId="77777777" w:rsidR="00C9554B" w:rsidRDefault="00C9554B">
            <w:pPr>
              <w:rPr>
                <w:rFonts w:ascii="Calibri" w:hAnsi="Calibri" w:cs="Calibri"/>
                <w:color w:val="000000"/>
                <w:sz w:val="16"/>
                <w:szCs w:val="16"/>
              </w:rPr>
            </w:pPr>
            <w:r>
              <w:rPr>
                <w:rFonts w:ascii="Calibri" w:hAnsi="Calibri" w:cs="Calibri"/>
                <w:color w:val="000000"/>
                <w:sz w:val="16"/>
                <w:szCs w:val="16"/>
              </w:rPr>
              <w:t>Aparelhos</w:t>
            </w:r>
          </w:p>
        </w:tc>
        <w:tc>
          <w:tcPr>
            <w:tcW w:w="1418" w:type="dxa"/>
            <w:tcBorders>
              <w:top w:val="nil"/>
              <w:left w:val="nil"/>
              <w:bottom w:val="nil"/>
              <w:right w:val="nil"/>
            </w:tcBorders>
            <w:shd w:val="clear" w:color="auto" w:fill="auto"/>
            <w:noWrap/>
            <w:vAlign w:val="center"/>
            <w:hideMark/>
          </w:tcPr>
          <w:p w14:paraId="2F499123"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3451C88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14.216 </w:t>
            </w:r>
          </w:p>
        </w:tc>
        <w:tc>
          <w:tcPr>
            <w:tcW w:w="1128" w:type="dxa"/>
            <w:tcBorders>
              <w:top w:val="nil"/>
              <w:left w:val="nil"/>
              <w:bottom w:val="nil"/>
              <w:right w:val="nil"/>
            </w:tcBorders>
            <w:shd w:val="clear" w:color="auto" w:fill="auto"/>
            <w:noWrap/>
            <w:vAlign w:val="center"/>
            <w:hideMark/>
          </w:tcPr>
          <w:p w14:paraId="4087A51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2ED50AF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3E138F7C"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14.216 </w:t>
            </w:r>
          </w:p>
        </w:tc>
        <w:tc>
          <w:tcPr>
            <w:tcW w:w="743" w:type="dxa"/>
            <w:tcBorders>
              <w:top w:val="nil"/>
              <w:left w:val="nil"/>
              <w:bottom w:val="nil"/>
              <w:right w:val="nil"/>
            </w:tcBorders>
            <w:shd w:val="clear" w:color="auto" w:fill="auto"/>
            <w:noWrap/>
            <w:vAlign w:val="center"/>
            <w:hideMark/>
          </w:tcPr>
          <w:p w14:paraId="0F74606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10</w:t>
            </w:r>
          </w:p>
        </w:tc>
      </w:tr>
      <w:tr w:rsidR="00C9554B" w14:paraId="6A6BABAB" w14:textId="77777777" w:rsidTr="00C9554B">
        <w:trPr>
          <w:trHeight w:val="300"/>
        </w:trPr>
        <w:tc>
          <w:tcPr>
            <w:tcW w:w="3261" w:type="dxa"/>
            <w:tcBorders>
              <w:top w:val="nil"/>
              <w:left w:val="nil"/>
              <w:bottom w:val="nil"/>
              <w:right w:val="nil"/>
            </w:tcBorders>
            <w:shd w:val="clear" w:color="auto" w:fill="auto"/>
            <w:noWrap/>
            <w:vAlign w:val="center"/>
            <w:hideMark/>
          </w:tcPr>
          <w:p w14:paraId="3E56B94B" w14:textId="77777777" w:rsidR="00C9554B" w:rsidRDefault="00C9554B">
            <w:pPr>
              <w:rPr>
                <w:rFonts w:ascii="Calibri" w:hAnsi="Calibri" w:cs="Calibri"/>
                <w:color w:val="000000"/>
                <w:sz w:val="16"/>
                <w:szCs w:val="16"/>
              </w:rPr>
            </w:pPr>
            <w:r>
              <w:rPr>
                <w:rFonts w:ascii="Calibri" w:hAnsi="Calibri" w:cs="Calibri"/>
                <w:color w:val="000000"/>
                <w:sz w:val="16"/>
                <w:szCs w:val="16"/>
              </w:rPr>
              <w:t>Aparelho de Medição e Orientação</w:t>
            </w:r>
          </w:p>
        </w:tc>
        <w:tc>
          <w:tcPr>
            <w:tcW w:w="1418" w:type="dxa"/>
            <w:tcBorders>
              <w:top w:val="nil"/>
              <w:left w:val="nil"/>
              <w:bottom w:val="nil"/>
              <w:right w:val="nil"/>
            </w:tcBorders>
            <w:shd w:val="clear" w:color="auto" w:fill="auto"/>
            <w:noWrap/>
            <w:vAlign w:val="center"/>
            <w:hideMark/>
          </w:tcPr>
          <w:p w14:paraId="200F390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030C9A8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3.200 </w:t>
            </w:r>
          </w:p>
        </w:tc>
        <w:tc>
          <w:tcPr>
            <w:tcW w:w="1128" w:type="dxa"/>
            <w:tcBorders>
              <w:top w:val="nil"/>
              <w:left w:val="nil"/>
              <w:bottom w:val="nil"/>
              <w:right w:val="nil"/>
            </w:tcBorders>
            <w:shd w:val="clear" w:color="auto" w:fill="auto"/>
            <w:noWrap/>
            <w:vAlign w:val="center"/>
            <w:hideMark/>
          </w:tcPr>
          <w:p w14:paraId="159077EC"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62555487"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7E98ADE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3.200 </w:t>
            </w:r>
          </w:p>
        </w:tc>
        <w:tc>
          <w:tcPr>
            <w:tcW w:w="743" w:type="dxa"/>
            <w:tcBorders>
              <w:top w:val="nil"/>
              <w:left w:val="nil"/>
              <w:bottom w:val="nil"/>
              <w:right w:val="nil"/>
            </w:tcBorders>
            <w:shd w:val="clear" w:color="auto" w:fill="auto"/>
            <w:noWrap/>
            <w:vAlign w:val="center"/>
            <w:hideMark/>
          </w:tcPr>
          <w:p w14:paraId="4255A36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10</w:t>
            </w:r>
          </w:p>
        </w:tc>
      </w:tr>
      <w:tr w:rsidR="00C9554B" w14:paraId="16421E0F" w14:textId="77777777" w:rsidTr="00C9554B">
        <w:trPr>
          <w:trHeight w:val="300"/>
        </w:trPr>
        <w:tc>
          <w:tcPr>
            <w:tcW w:w="3261" w:type="dxa"/>
            <w:tcBorders>
              <w:top w:val="nil"/>
              <w:left w:val="nil"/>
              <w:bottom w:val="nil"/>
              <w:right w:val="nil"/>
            </w:tcBorders>
            <w:shd w:val="clear" w:color="auto" w:fill="auto"/>
            <w:noWrap/>
            <w:vAlign w:val="center"/>
            <w:hideMark/>
          </w:tcPr>
          <w:p w14:paraId="3FA5B0DD" w14:textId="77777777" w:rsidR="00C9554B" w:rsidRDefault="00C9554B">
            <w:pPr>
              <w:rPr>
                <w:rFonts w:ascii="Calibri" w:hAnsi="Calibri" w:cs="Calibri"/>
                <w:color w:val="000000"/>
                <w:sz w:val="16"/>
                <w:szCs w:val="16"/>
              </w:rPr>
            </w:pPr>
            <w:r>
              <w:rPr>
                <w:rFonts w:ascii="Calibri" w:hAnsi="Calibri" w:cs="Calibri"/>
                <w:color w:val="000000"/>
                <w:sz w:val="16"/>
                <w:szCs w:val="16"/>
              </w:rPr>
              <w:t>Utensílio de Copa e Cozinha</w:t>
            </w:r>
          </w:p>
        </w:tc>
        <w:tc>
          <w:tcPr>
            <w:tcW w:w="1418" w:type="dxa"/>
            <w:tcBorders>
              <w:top w:val="nil"/>
              <w:left w:val="nil"/>
              <w:bottom w:val="nil"/>
              <w:right w:val="nil"/>
            </w:tcBorders>
            <w:shd w:val="clear" w:color="auto" w:fill="auto"/>
            <w:noWrap/>
            <w:vAlign w:val="center"/>
            <w:hideMark/>
          </w:tcPr>
          <w:p w14:paraId="527EDDC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237" w:type="dxa"/>
            <w:tcBorders>
              <w:top w:val="nil"/>
              <w:left w:val="nil"/>
              <w:bottom w:val="nil"/>
              <w:right w:val="nil"/>
            </w:tcBorders>
            <w:shd w:val="clear" w:color="auto" w:fill="auto"/>
            <w:noWrap/>
            <w:vAlign w:val="center"/>
            <w:hideMark/>
          </w:tcPr>
          <w:p w14:paraId="680F372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6.151 </w:t>
            </w:r>
          </w:p>
        </w:tc>
        <w:tc>
          <w:tcPr>
            <w:tcW w:w="1128" w:type="dxa"/>
            <w:tcBorders>
              <w:top w:val="nil"/>
              <w:left w:val="nil"/>
              <w:bottom w:val="nil"/>
              <w:right w:val="nil"/>
            </w:tcBorders>
            <w:shd w:val="clear" w:color="auto" w:fill="auto"/>
            <w:noWrap/>
            <w:vAlign w:val="center"/>
            <w:hideMark/>
          </w:tcPr>
          <w:p w14:paraId="2AC35917"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233D883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AA097E8"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6.151 </w:t>
            </w:r>
          </w:p>
        </w:tc>
        <w:tc>
          <w:tcPr>
            <w:tcW w:w="743" w:type="dxa"/>
            <w:tcBorders>
              <w:top w:val="nil"/>
              <w:left w:val="nil"/>
              <w:bottom w:val="nil"/>
              <w:right w:val="nil"/>
            </w:tcBorders>
            <w:shd w:val="clear" w:color="auto" w:fill="auto"/>
            <w:noWrap/>
            <w:vAlign w:val="center"/>
            <w:hideMark/>
          </w:tcPr>
          <w:p w14:paraId="4DF0498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10</w:t>
            </w:r>
          </w:p>
        </w:tc>
      </w:tr>
      <w:tr w:rsidR="00C9554B" w14:paraId="7AF571E2" w14:textId="77777777" w:rsidTr="00C9554B">
        <w:trPr>
          <w:trHeight w:val="300"/>
        </w:trPr>
        <w:tc>
          <w:tcPr>
            <w:tcW w:w="3261" w:type="dxa"/>
            <w:tcBorders>
              <w:top w:val="nil"/>
              <w:left w:val="nil"/>
              <w:bottom w:val="nil"/>
              <w:right w:val="nil"/>
            </w:tcBorders>
            <w:shd w:val="clear" w:color="auto" w:fill="auto"/>
            <w:noWrap/>
            <w:vAlign w:val="center"/>
            <w:hideMark/>
          </w:tcPr>
          <w:p w14:paraId="0187E0A6" w14:textId="77777777" w:rsidR="00C9554B" w:rsidRDefault="00C9554B">
            <w:pPr>
              <w:rPr>
                <w:rFonts w:ascii="Calibri" w:hAnsi="Calibri" w:cs="Calibri"/>
                <w:color w:val="000000"/>
                <w:sz w:val="16"/>
                <w:szCs w:val="16"/>
              </w:rPr>
            </w:pPr>
            <w:r>
              <w:rPr>
                <w:rFonts w:ascii="Calibri" w:hAnsi="Calibri" w:cs="Calibri"/>
                <w:color w:val="000000"/>
                <w:sz w:val="16"/>
                <w:szCs w:val="16"/>
              </w:rPr>
              <w:t>(Redução ao Valor Recuperável)</w:t>
            </w:r>
          </w:p>
        </w:tc>
        <w:tc>
          <w:tcPr>
            <w:tcW w:w="1418" w:type="dxa"/>
            <w:tcBorders>
              <w:top w:val="nil"/>
              <w:left w:val="nil"/>
              <w:bottom w:val="nil"/>
              <w:right w:val="nil"/>
            </w:tcBorders>
            <w:shd w:val="clear" w:color="auto" w:fill="auto"/>
            <w:noWrap/>
            <w:vAlign w:val="center"/>
            <w:hideMark/>
          </w:tcPr>
          <w:p w14:paraId="54C1E073"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(34.974)</w:t>
            </w:r>
          </w:p>
        </w:tc>
        <w:tc>
          <w:tcPr>
            <w:tcW w:w="1237" w:type="dxa"/>
            <w:tcBorders>
              <w:top w:val="nil"/>
              <w:left w:val="nil"/>
              <w:bottom w:val="nil"/>
              <w:right w:val="nil"/>
            </w:tcBorders>
            <w:shd w:val="clear" w:color="auto" w:fill="auto"/>
            <w:noWrap/>
            <w:vAlign w:val="center"/>
            <w:hideMark/>
          </w:tcPr>
          <w:p w14:paraId="2CCC72B2"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3A58F09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16.433 </w:t>
            </w:r>
          </w:p>
        </w:tc>
        <w:tc>
          <w:tcPr>
            <w:tcW w:w="1359" w:type="dxa"/>
            <w:tcBorders>
              <w:top w:val="nil"/>
              <w:left w:val="nil"/>
              <w:bottom w:val="nil"/>
              <w:right w:val="nil"/>
            </w:tcBorders>
            <w:shd w:val="clear" w:color="auto" w:fill="auto"/>
            <w:noWrap/>
            <w:vAlign w:val="center"/>
            <w:hideMark/>
          </w:tcPr>
          <w:p w14:paraId="0112366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32BE090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(18.541)</w:t>
            </w:r>
          </w:p>
        </w:tc>
        <w:tc>
          <w:tcPr>
            <w:tcW w:w="743" w:type="dxa"/>
            <w:tcBorders>
              <w:top w:val="nil"/>
              <w:left w:val="nil"/>
              <w:bottom w:val="nil"/>
              <w:right w:val="nil"/>
            </w:tcBorders>
            <w:shd w:val="clear" w:color="auto" w:fill="auto"/>
            <w:noWrap/>
            <w:vAlign w:val="center"/>
            <w:hideMark/>
          </w:tcPr>
          <w:p w14:paraId="3F6E0653"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w:t>
            </w:r>
          </w:p>
        </w:tc>
      </w:tr>
      <w:tr w:rsidR="00C9554B" w14:paraId="354A9B2D" w14:textId="77777777" w:rsidTr="00C9554B">
        <w:trPr>
          <w:trHeight w:val="105"/>
        </w:trPr>
        <w:tc>
          <w:tcPr>
            <w:tcW w:w="3261" w:type="dxa"/>
            <w:tcBorders>
              <w:top w:val="nil"/>
              <w:left w:val="nil"/>
              <w:bottom w:val="nil"/>
              <w:right w:val="nil"/>
            </w:tcBorders>
            <w:shd w:val="clear" w:color="auto" w:fill="auto"/>
            <w:noWrap/>
            <w:vAlign w:val="bottom"/>
            <w:hideMark/>
          </w:tcPr>
          <w:p w14:paraId="351ED773" w14:textId="77777777" w:rsidR="00C9554B" w:rsidRDefault="00C9554B">
            <w:pPr>
              <w:jc w:val="right"/>
              <w:rPr>
                <w:rFonts w:ascii="Calibri" w:hAnsi="Calibri" w:cs="Calibri"/>
                <w:color w:val="000000"/>
                <w:sz w:val="16"/>
                <w:szCs w:val="16"/>
              </w:rPr>
            </w:pPr>
          </w:p>
        </w:tc>
        <w:tc>
          <w:tcPr>
            <w:tcW w:w="1418" w:type="dxa"/>
            <w:tcBorders>
              <w:top w:val="nil"/>
              <w:left w:val="nil"/>
              <w:bottom w:val="nil"/>
              <w:right w:val="nil"/>
            </w:tcBorders>
            <w:shd w:val="clear" w:color="auto" w:fill="auto"/>
            <w:noWrap/>
            <w:vAlign w:val="bottom"/>
            <w:hideMark/>
          </w:tcPr>
          <w:p w14:paraId="7B3C236D" w14:textId="77777777" w:rsidR="00C9554B" w:rsidRDefault="00C9554B">
            <w:pPr>
              <w:rPr>
                <w:sz w:val="20"/>
                <w:szCs w:val="20"/>
              </w:rPr>
            </w:pPr>
          </w:p>
        </w:tc>
        <w:tc>
          <w:tcPr>
            <w:tcW w:w="1237" w:type="dxa"/>
            <w:tcBorders>
              <w:top w:val="nil"/>
              <w:left w:val="nil"/>
              <w:bottom w:val="nil"/>
              <w:right w:val="nil"/>
            </w:tcBorders>
            <w:shd w:val="clear" w:color="auto" w:fill="auto"/>
            <w:noWrap/>
            <w:vAlign w:val="bottom"/>
            <w:hideMark/>
          </w:tcPr>
          <w:p w14:paraId="4D2805D5" w14:textId="77777777" w:rsidR="00C9554B" w:rsidRDefault="00C9554B">
            <w:pPr>
              <w:rPr>
                <w:sz w:val="20"/>
                <w:szCs w:val="20"/>
              </w:rPr>
            </w:pPr>
          </w:p>
        </w:tc>
        <w:tc>
          <w:tcPr>
            <w:tcW w:w="1128" w:type="dxa"/>
            <w:tcBorders>
              <w:top w:val="nil"/>
              <w:left w:val="nil"/>
              <w:bottom w:val="nil"/>
              <w:right w:val="nil"/>
            </w:tcBorders>
            <w:shd w:val="clear" w:color="auto" w:fill="auto"/>
            <w:noWrap/>
            <w:vAlign w:val="bottom"/>
            <w:hideMark/>
          </w:tcPr>
          <w:p w14:paraId="13749253" w14:textId="77777777" w:rsidR="00C9554B" w:rsidRDefault="00C9554B">
            <w:pPr>
              <w:rPr>
                <w:sz w:val="20"/>
                <w:szCs w:val="20"/>
              </w:rPr>
            </w:pPr>
          </w:p>
        </w:tc>
        <w:tc>
          <w:tcPr>
            <w:tcW w:w="1359" w:type="dxa"/>
            <w:tcBorders>
              <w:top w:val="nil"/>
              <w:left w:val="nil"/>
              <w:bottom w:val="nil"/>
              <w:right w:val="nil"/>
            </w:tcBorders>
            <w:shd w:val="clear" w:color="auto" w:fill="auto"/>
            <w:noWrap/>
            <w:vAlign w:val="bottom"/>
            <w:hideMark/>
          </w:tcPr>
          <w:p w14:paraId="7A1E3ABD" w14:textId="77777777" w:rsidR="00C9554B" w:rsidRDefault="00C9554B">
            <w:pPr>
              <w:rPr>
                <w:sz w:val="20"/>
                <w:szCs w:val="20"/>
              </w:rPr>
            </w:pPr>
          </w:p>
        </w:tc>
        <w:tc>
          <w:tcPr>
            <w:tcW w:w="1490" w:type="dxa"/>
            <w:tcBorders>
              <w:top w:val="nil"/>
              <w:left w:val="nil"/>
              <w:bottom w:val="nil"/>
              <w:right w:val="nil"/>
            </w:tcBorders>
            <w:shd w:val="clear" w:color="auto" w:fill="auto"/>
            <w:noWrap/>
            <w:vAlign w:val="bottom"/>
            <w:hideMark/>
          </w:tcPr>
          <w:p w14:paraId="74C05486" w14:textId="77777777" w:rsidR="00C9554B" w:rsidRDefault="00C9554B">
            <w:pPr>
              <w:rPr>
                <w:sz w:val="20"/>
                <w:szCs w:val="20"/>
              </w:rPr>
            </w:pPr>
          </w:p>
        </w:tc>
        <w:tc>
          <w:tcPr>
            <w:tcW w:w="743" w:type="dxa"/>
            <w:tcBorders>
              <w:top w:val="nil"/>
              <w:left w:val="nil"/>
              <w:bottom w:val="nil"/>
              <w:right w:val="nil"/>
            </w:tcBorders>
            <w:shd w:val="clear" w:color="auto" w:fill="auto"/>
            <w:noWrap/>
            <w:vAlign w:val="bottom"/>
            <w:hideMark/>
          </w:tcPr>
          <w:p w14:paraId="1177A03A" w14:textId="77777777" w:rsidR="00C9554B" w:rsidRDefault="00C9554B">
            <w:pPr>
              <w:rPr>
                <w:sz w:val="20"/>
                <w:szCs w:val="20"/>
              </w:rPr>
            </w:pPr>
          </w:p>
        </w:tc>
      </w:tr>
      <w:tr w:rsidR="00C9554B" w14:paraId="1804374A" w14:textId="77777777" w:rsidTr="00C9554B">
        <w:trPr>
          <w:trHeight w:val="315"/>
        </w:trPr>
        <w:tc>
          <w:tcPr>
            <w:tcW w:w="3261" w:type="dxa"/>
            <w:tcBorders>
              <w:top w:val="single" w:sz="8" w:space="0" w:color="auto"/>
              <w:left w:val="nil"/>
              <w:bottom w:val="single" w:sz="8" w:space="0" w:color="auto"/>
              <w:right w:val="nil"/>
            </w:tcBorders>
            <w:shd w:val="clear" w:color="auto" w:fill="auto"/>
            <w:noWrap/>
            <w:vAlign w:val="center"/>
            <w:hideMark/>
          </w:tcPr>
          <w:p w14:paraId="0A2FD97A"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Total Bens Móveis (1)</w:t>
            </w:r>
          </w:p>
        </w:tc>
        <w:tc>
          <w:tcPr>
            <w:tcW w:w="1418" w:type="dxa"/>
            <w:tcBorders>
              <w:top w:val="single" w:sz="8" w:space="0" w:color="auto"/>
              <w:left w:val="nil"/>
              <w:bottom w:val="single" w:sz="8" w:space="0" w:color="auto"/>
              <w:right w:val="nil"/>
            </w:tcBorders>
            <w:shd w:val="clear" w:color="auto" w:fill="auto"/>
            <w:noWrap/>
            <w:vAlign w:val="center"/>
            <w:hideMark/>
          </w:tcPr>
          <w:p w14:paraId="68B6E5C6"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38.726.226 </w:t>
            </w:r>
          </w:p>
        </w:tc>
        <w:tc>
          <w:tcPr>
            <w:tcW w:w="1237" w:type="dxa"/>
            <w:tcBorders>
              <w:top w:val="single" w:sz="8" w:space="0" w:color="auto"/>
              <w:left w:val="nil"/>
              <w:bottom w:val="single" w:sz="8" w:space="0" w:color="auto"/>
              <w:right w:val="nil"/>
            </w:tcBorders>
            <w:shd w:val="clear" w:color="auto" w:fill="auto"/>
            <w:noWrap/>
            <w:vAlign w:val="center"/>
            <w:hideMark/>
          </w:tcPr>
          <w:p w14:paraId="4B99CF92"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15.634.594 </w:t>
            </w:r>
          </w:p>
        </w:tc>
        <w:tc>
          <w:tcPr>
            <w:tcW w:w="1128" w:type="dxa"/>
            <w:tcBorders>
              <w:top w:val="single" w:sz="8" w:space="0" w:color="auto"/>
              <w:left w:val="nil"/>
              <w:bottom w:val="single" w:sz="8" w:space="0" w:color="auto"/>
              <w:right w:val="nil"/>
            </w:tcBorders>
            <w:shd w:val="clear" w:color="auto" w:fill="auto"/>
            <w:noWrap/>
            <w:vAlign w:val="center"/>
            <w:hideMark/>
          </w:tcPr>
          <w:p w14:paraId="66BCEA6E" w14:textId="7BF4065D" w:rsidR="00C9554B" w:rsidRDefault="00C9554B" w:rsidP="00C9554B">
            <w:pPr>
              <w:rPr>
                <w:rFonts w:ascii="Calibri" w:hAnsi="Calibri" w:cs="Calibri"/>
                <w:b/>
                <w:bCs/>
                <w:color w:val="000000"/>
                <w:sz w:val="16"/>
                <w:szCs w:val="16"/>
              </w:rPr>
            </w:pPr>
            <w:r>
              <w:rPr>
                <w:rFonts w:ascii="Calibri" w:hAnsi="Calibri" w:cs="Calibri"/>
                <w:b/>
                <w:bCs/>
                <w:color w:val="000000"/>
                <w:sz w:val="16"/>
                <w:szCs w:val="16"/>
              </w:rPr>
              <w:t xml:space="preserve">            (61.596)</w:t>
            </w:r>
          </w:p>
        </w:tc>
        <w:tc>
          <w:tcPr>
            <w:tcW w:w="1359" w:type="dxa"/>
            <w:tcBorders>
              <w:top w:val="single" w:sz="8" w:space="0" w:color="auto"/>
              <w:left w:val="nil"/>
              <w:bottom w:val="single" w:sz="8" w:space="0" w:color="auto"/>
              <w:right w:val="nil"/>
            </w:tcBorders>
            <w:shd w:val="clear" w:color="auto" w:fill="auto"/>
            <w:noWrap/>
            <w:vAlign w:val="center"/>
            <w:hideMark/>
          </w:tcPr>
          <w:p w14:paraId="787A685B"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484.735 </w:t>
            </w:r>
          </w:p>
        </w:tc>
        <w:tc>
          <w:tcPr>
            <w:tcW w:w="1490" w:type="dxa"/>
            <w:tcBorders>
              <w:top w:val="single" w:sz="8" w:space="0" w:color="auto"/>
              <w:left w:val="nil"/>
              <w:bottom w:val="single" w:sz="8" w:space="0" w:color="auto"/>
              <w:right w:val="nil"/>
            </w:tcBorders>
            <w:shd w:val="clear" w:color="auto" w:fill="auto"/>
            <w:noWrap/>
            <w:vAlign w:val="center"/>
            <w:hideMark/>
          </w:tcPr>
          <w:p w14:paraId="0B026891"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54.783.960 </w:t>
            </w:r>
          </w:p>
        </w:tc>
        <w:tc>
          <w:tcPr>
            <w:tcW w:w="743" w:type="dxa"/>
            <w:tcBorders>
              <w:top w:val="single" w:sz="8" w:space="0" w:color="auto"/>
              <w:left w:val="nil"/>
              <w:bottom w:val="single" w:sz="8" w:space="0" w:color="auto"/>
              <w:right w:val="nil"/>
            </w:tcBorders>
            <w:shd w:val="clear" w:color="auto" w:fill="auto"/>
            <w:noWrap/>
            <w:vAlign w:val="center"/>
            <w:hideMark/>
          </w:tcPr>
          <w:p w14:paraId="76723FBD"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w:t>
            </w:r>
          </w:p>
        </w:tc>
      </w:tr>
      <w:tr w:rsidR="00C9554B" w14:paraId="12B631CE" w14:textId="77777777" w:rsidTr="00C9554B">
        <w:trPr>
          <w:trHeight w:val="195"/>
        </w:trPr>
        <w:tc>
          <w:tcPr>
            <w:tcW w:w="3261" w:type="dxa"/>
            <w:tcBorders>
              <w:top w:val="nil"/>
              <w:left w:val="nil"/>
              <w:bottom w:val="nil"/>
              <w:right w:val="nil"/>
            </w:tcBorders>
            <w:shd w:val="clear" w:color="auto" w:fill="auto"/>
            <w:noWrap/>
            <w:vAlign w:val="bottom"/>
            <w:hideMark/>
          </w:tcPr>
          <w:p w14:paraId="74C9CEA6" w14:textId="77777777" w:rsidR="00C9554B" w:rsidRDefault="00C9554B">
            <w:pPr>
              <w:jc w:val="right"/>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7D099C0E" w14:textId="77777777" w:rsidR="00C9554B" w:rsidRDefault="00C9554B">
            <w:pPr>
              <w:rPr>
                <w:sz w:val="20"/>
                <w:szCs w:val="20"/>
              </w:rPr>
            </w:pPr>
          </w:p>
        </w:tc>
        <w:tc>
          <w:tcPr>
            <w:tcW w:w="1237" w:type="dxa"/>
            <w:tcBorders>
              <w:top w:val="nil"/>
              <w:left w:val="nil"/>
              <w:bottom w:val="nil"/>
              <w:right w:val="nil"/>
            </w:tcBorders>
            <w:shd w:val="clear" w:color="auto" w:fill="auto"/>
            <w:noWrap/>
            <w:vAlign w:val="bottom"/>
            <w:hideMark/>
          </w:tcPr>
          <w:p w14:paraId="74B4B8B3" w14:textId="77777777" w:rsidR="00C9554B" w:rsidRDefault="00C9554B">
            <w:pPr>
              <w:rPr>
                <w:sz w:val="20"/>
                <w:szCs w:val="20"/>
              </w:rPr>
            </w:pPr>
          </w:p>
        </w:tc>
        <w:tc>
          <w:tcPr>
            <w:tcW w:w="1128" w:type="dxa"/>
            <w:tcBorders>
              <w:top w:val="nil"/>
              <w:left w:val="nil"/>
              <w:bottom w:val="nil"/>
              <w:right w:val="nil"/>
            </w:tcBorders>
            <w:shd w:val="clear" w:color="auto" w:fill="auto"/>
            <w:noWrap/>
            <w:vAlign w:val="bottom"/>
            <w:hideMark/>
          </w:tcPr>
          <w:p w14:paraId="541E8F5B" w14:textId="77777777" w:rsidR="00C9554B" w:rsidRDefault="00C9554B">
            <w:pPr>
              <w:rPr>
                <w:sz w:val="20"/>
                <w:szCs w:val="20"/>
              </w:rPr>
            </w:pPr>
          </w:p>
        </w:tc>
        <w:tc>
          <w:tcPr>
            <w:tcW w:w="1359" w:type="dxa"/>
            <w:tcBorders>
              <w:top w:val="nil"/>
              <w:left w:val="nil"/>
              <w:bottom w:val="nil"/>
              <w:right w:val="nil"/>
            </w:tcBorders>
            <w:shd w:val="clear" w:color="auto" w:fill="auto"/>
            <w:noWrap/>
            <w:vAlign w:val="bottom"/>
            <w:hideMark/>
          </w:tcPr>
          <w:p w14:paraId="336E784A" w14:textId="77777777" w:rsidR="00C9554B" w:rsidRDefault="00C9554B">
            <w:pPr>
              <w:rPr>
                <w:sz w:val="20"/>
                <w:szCs w:val="20"/>
              </w:rPr>
            </w:pPr>
          </w:p>
        </w:tc>
        <w:tc>
          <w:tcPr>
            <w:tcW w:w="1490" w:type="dxa"/>
            <w:tcBorders>
              <w:top w:val="nil"/>
              <w:left w:val="nil"/>
              <w:bottom w:val="nil"/>
              <w:right w:val="nil"/>
            </w:tcBorders>
            <w:shd w:val="clear" w:color="auto" w:fill="auto"/>
            <w:noWrap/>
            <w:vAlign w:val="bottom"/>
            <w:hideMark/>
          </w:tcPr>
          <w:p w14:paraId="30098DBE" w14:textId="77777777" w:rsidR="00C9554B" w:rsidRDefault="00C9554B">
            <w:pPr>
              <w:rPr>
                <w:sz w:val="20"/>
                <w:szCs w:val="20"/>
              </w:rPr>
            </w:pPr>
          </w:p>
        </w:tc>
        <w:tc>
          <w:tcPr>
            <w:tcW w:w="743" w:type="dxa"/>
            <w:tcBorders>
              <w:top w:val="nil"/>
              <w:left w:val="nil"/>
              <w:bottom w:val="nil"/>
              <w:right w:val="nil"/>
            </w:tcBorders>
            <w:shd w:val="clear" w:color="auto" w:fill="auto"/>
            <w:noWrap/>
            <w:vAlign w:val="bottom"/>
            <w:hideMark/>
          </w:tcPr>
          <w:p w14:paraId="798F8A36" w14:textId="77777777" w:rsidR="00C9554B" w:rsidRDefault="00C9554B">
            <w:pPr>
              <w:rPr>
                <w:sz w:val="20"/>
                <w:szCs w:val="20"/>
              </w:rPr>
            </w:pPr>
          </w:p>
        </w:tc>
      </w:tr>
      <w:tr w:rsidR="00C9554B" w14:paraId="5D68CAF0" w14:textId="77777777" w:rsidTr="00C9554B">
        <w:trPr>
          <w:trHeight w:val="450"/>
        </w:trPr>
        <w:tc>
          <w:tcPr>
            <w:tcW w:w="3261" w:type="dxa"/>
            <w:tcBorders>
              <w:top w:val="nil"/>
              <w:left w:val="nil"/>
              <w:bottom w:val="single" w:sz="8" w:space="0" w:color="auto"/>
              <w:right w:val="nil"/>
            </w:tcBorders>
            <w:shd w:val="clear" w:color="auto" w:fill="auto"/>
            <w:vAlign w:val="center"/>
            <w:hideMark/>
          </w:tcPr>
          <w:p w14:paraId="72A16CCC"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IMOBILIZADO BENS IMÓVEIS</w:t>
            </w:r>
          </w:p>
        </w:tc>
        <w:tc>
          <w:tcPr>
            <w:tcW w:w="1418" w:type="dxa"/>
            <w:tcBorders>
              <w:top w:val="nil"/>
              <w:left w:val="nil"/>
              <w:bottom w:val="single" w:sz="8" w:space="0" w:color="auto"/>
              <w:right w:val="nil"/>
            </w:tcBorders>
            <w:shd w:val="clear" w:color="auto" w:fill="auto"/>
            <w:vAlign w:val="center"/>
            <w:hideMark/>
          </w:tcPr>
          <w:p w14:paraId="35D7BA75"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1237" w:type="dxa"/>
            <w:tcBorders>
              <w:top w:val="nil"/>
              <w:left w:val="nil"/>
              <w:bottom w:val="single" w:sz="8" w:space="0" w:color="auto"/>
              <w:right w:val="nil"/>
            </w:tcBorders>
            <w:shd w:val="clear" w:color="auto" w:fill="auto"/>
            <w:vAlign w:val="center"/>
            <w:hideMark/>
          </w:tcPr>
          <w:p w14:paraId="3018E728"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28" w:type="dxa"/>
            <w:tcBorders>
              <w:top w:val="nil"/>
              <w:left w:val="nil"/>
              <w:bottom w:val="single" w:sz="8" w:space="0" w:color="auto"/>
              <w:right w:val="nil"/>
            </w:tcBorders>
            <w:shd w:val="clear" w:color="auto" w:fill="auto"/>
            <w:vAlign w:val="center"/>
            <w:hideMark/>
          </w:tcPr>
          <w:p w14:paraId="4668BC67"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359" w:type="dxa"/>
            <w:tcBorders>
              <w:top w:val="nil"/>
              <w:left w:val="nil"/>
              <w:bottom w:val="single" w:sz="8" w:space="0" w:color="auto"/>
              <w:right w:val="nil"/>
            </w:tcBorders>
            <w:shd w:val="clear" w:color="auto" w:fill="auto"/>
            <w:vAlign w:val="center"/>
            <w:hideMark/>
          </w:tcPr>
          <w:p w14:paraId="3B109136"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490" w:type="dxa"/>
            <w:tcBorders>
              <w:top w:val="nil"/>
              <w:left w:val="nil"/>
              <w:bottom w:val="single" w:sz="8" w:space="0" w:color="auto"/>
              <w:right w:val="nil"/>
            </w:tcBorders>
            <w:shd w:val="clear" w:color="auto" w:fill="auto"/>
            <w:vAlign w:val="center"/>
            <w:hideMark/>
          </w:tcPr>
          <w:p w14:paraId="059F9DA3"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SALDO EM 30/09/2022</w:t>
            </w:r>
          </w:p>
        </w:tc>
        <w:tc>
          <w:tcPr>
            <w:tcW w:w="743" w:type="dxa"/>
            <w:tcBorders>
              <w:top w:val="nil"/>
              <w:left w:val="nil"/>
              <w:bottom w:val="single" w:sz="8" w:space="0" w:color="auto"/>
              <w:right w:val="nil"/>
            </w:tcBorders>
            <w:shd w:val="clear" w:color="auto" w:fill="auto"/>
            <w:vAlign w:val="center"/>
            <w:hideMark/>
          </w:tcPr>
          <w:p w14:paraId="576F2199"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TAXA DEPREC. (%)</w:t>
            </w:r>
          </w:p>
        </w:tc>
      </w:tr>
      <w:tr w:rsidR="00C9554B" w14:paraId="37C784C2" w14:textId="77777777" w:rsidTr="00C9554B">
        <w:trPr>
          <w:trHeight w:val="300"/>
        </w:trPr>
        <w:tc>
          <w:tcPr>
            <w:tcW w:w="3261" w:type="dxa"/>
            <w:tcBorders>
              <w:top w:val="nil"/>
              <w:left w:val="nil"/>
              <w:bottom w:val="nil"/>
              <w:right w:val="nil"/>
            </w:tcBorders>
            <w:shd w:val="clear" w:color="auto" w:fill="auto"/>
            <w:noWrap/>
            <w:vAlign w:val="center"/>
            <w:hideMark/>
          </w:tcPr>
          <w:p w14:paraId="183E49A8" w14:textId="77777777" w:rsidR="00C9554B" w:rsidRDefault="00C9554B">
            <w:pPr>
              <w:rPr>
                <w:rFonts w:ascii="Calibri" w:hAnsi="Calibri" w:cs="Calibri"/>
                <w:color w:val="000000"/>
                <w:sz w:val="16"/>
                <w:szCs w:val="16"/>
              </w:rPr>
            </w:pPr>
            <w:r>
              <w:rPr>
                <w:rFonts w:ascii="Calibri" w:hAnsi="Calibri" w:cs="Calibri"/>
                <w:color w:val="000000"/>
                <w:sz w:val="16"/>
                <w:szCs w:val="16"/>
              </w:rPr>
              <w:t>Terrenos</w:t>
            </w:r>
          </w:p>
        </w:tc>
        <w:tc>
          <w:tcPr>
            <w:tcW w:w="1418" w:type="dxa"/>
            <w:tcBorders>
              <w:top w:val="nil"/>
              <w:left w:val="nil"/>
              <w:bottom w:val="nil"/>
              <w:right w:val="nil"/>
            </w:tcBorders>
            <w:shd w:val="clear" w:color="auto" w:fill="auto"/>
            <w:noWrap/>
            <w:vAlign w:val="center"/>
            <w:hideMark/>
          </w:tcPr>
          <w:p w14:paraId="289C7E2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407.485.211 </w:t>
            </w:r>
          </w:p>
        </w:tc>
        <w:tc>
          <w:tcPr>
            <w:tcW w:w="1237" w:type="dxa"/>
            <w:tcBorders>
              <w:top w:val="nil"/>
              <w:left w:val="nil"/>
              <w:bottom w:val="nil"/>
              <w:right w:val="nil"/>
            </w:tcBorders>
            <w:shd w:val="clear" w:color="auto" w:fill="auto"/>
            <w:noWrap/>
            <w:vAlign w:val="center"/>
            <w:hideMark/>
          </w:tcPr>
          <w:p w14:paraId="16A0B35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10.031.890 </w:t>
            </w:r>
          </w:p>
        </w:tc>
        <w:tc>
          <w:tcPr>
            <w:tcW w:w="1128" w:type="dxa"/>
            <w:tcBorders>
              <w:top w:val="nil"/>
              <w:left w:val="nil"/>
              <w:bottom w:val="nil"/>
              <w:right w:val="nil"/>
            </w:tcBorders>
            <w:shd w:val="clear" w:color="auto" w:fill="auto"/>
            <w:noWrap/>
            <w:vAlign w:val="center"/>
            <w:hideMark/>
          </w:tcPr>
          <w:p w14:paraId="2E0D4FF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4FC1D9D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ACF443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417.517.101 </w:t>
            </w:r>
          </w:p>
        </w:tc>
        <w:tc>
          <w:tcPr>
            <w:tcW w:w="743" w:type="dxa"/>
            <w:tcBorders>
              <w:top w:val="nil"/>
              <w:left w:val="nil"/>
              <w:bottom w:val="nil"/>
              <w:right w:val="nil"/>
            </w:tcBorders>
            <w:shd w:val="clear" w:color="auto" w:fill="auto"/>
            <w:noWrap/>
            <w:vAlign w:val="center"/>
            <w:hideMark/>
          </w:tcPr>
          <w:p w14:paraId="5C796293"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w:t>
            </w:r>
          </w:p>
        </w:tc>
      </w:tr>
      <w:tr w:rsidR="00C9554B" w14:paraId="431F96BE" w14:textId="77777777" w:rsidTr="00C9554B">
        <w:trPr>
          <w:trHeight w:val="300"/>
        </w:trPr>
        <w:tc>
          <w:tcPr>
            <w:tcW w:w="3261" w:type="dxa"/>
            <w:tcBorders>
              <w:top w:val="nil"/>
              <w:left w:val="nil"/>
              <w:bottom w:val="nil"/>
              <w:right w:val="nil"/>
            </w:tcBorders>
            <w:shd w:val="clear" w:color="auto" w:fill="auto"/>
            <w:noWrap/>
            <w:vAlign w:val="center"/>
            <w:hideMark/>
          </w:tcPr>
          <w:p w14:paraId="7C3CDAC4" w14:textId="77777777" w:rsidR="00C9554B" w:rsidRDefault="00C9554B">
            <w:pPr>
              <w:rPr>
                <w:rFonts w:ascii="Calibri" w:hAnsi="Calibri" w:cs="Calibri"/>
                <w:color w:val="000000"/>
                <w:sz w:val="16"/>
                <w:szCs w:val="16"/>
              </w:rPr>
            </w:pPr>
            <w:r>
              <w:rPr>
                <w:rFonts w:ascii="Calibri" w:hAnsi="Calibri" w:cs="Calibri"/>
                <w:color w:val="000000"/>
                <w:sz w:val="16"/>
                <w:szCs w:val="16"/>
              </w:rPr>
              <w:t>Terrenos – Permissão de Uso de Pátios</w:t>
            </w:r>
          </w:p>
        </w:tc>
        <w:tc>
          <w:tcPr>
            <w:tcW w:w="1418" w:type="dxa"/>
            <w:tcBorders>
              <w:top w:val="nil"/>
              <w:left w:val="nil"/>
              <w:bottom w:val="nil"/>
              <w:right w:val="nil"/>
            </w:tcBorders>
            <w:shd w:val="clear" w:color="auto" w:fill="auto"/>
            <w:noWrap/>
            <w:vAlign w:val="center"/>
            <w:hideMark/>
          </w:tcPr>
          <w:p w14:paraId="45A19EA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480.985 </w:t>
            </w:r>
          </w:p>
        </w:tc>
        <w:tc>
          <w:tcPr>
            <w:tcW w:w="1237" w:type="dxa"/>
            <w:tcBorders>
              <w:top w:val="nil"/>
              <w:left w:val="nil"/>
              <w:bottom w:val="nil"/>
              <w:right w:val="nil"/>
            </w:tcBorders>
            <w:shd w:val="clear" w:color="auto" w:fill="auto"/>
            <w:noWrap/>
            <w:vAlign w:val="center"/>
            <w:hideMark/>
          </w:tcPr>
          <w:p w14:paraId="6450DD8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0D50B62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6C69C68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30F1C4E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480.985 </w:t>
            </w:r>
          </w:p>
        </w:tc>
        <w:tc>
          <w:tcPr>
            <w:tcW w:w="743" w:type="dxa"/>
            <w:tcBorders>
              <w:top w:val="nil"/>
              <w:left w:val="nil"/>
              <w:bottom w:val="nil"/>
              <w:right w:val="nil"/>
            </w:tcBorders>
            <w:shd w:val="clear" w:color="auto" w:fill="auto"/>
            <w:noWrap/>
            <w:vAlign w:val="center"/>
            <w:hideMark/>
          </w:tcPr>
          <w:p w14:paraId="461C34B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w:t>
            </w:r>
          </w:p>
        </w:tc>
      </w:tr>
      <w:tr w:rsidR="00C9554B" w14:paraId="49F27774" w14:textId="77777777" w:rsidTr="00C9554B">
        <w:trPr>
          <w:trHeight w:val="300"/>
        </w:trPr>
        <w:tc>
          <w:tcPr>
            <w:tcW w:w="3261" w:type="dxa"/>
            <w:tcBorders>
              <w:top w:val="nil"/>
              <w:left w:val="nil"/>
              <w:bottom w:val="nil"/>
              <w:right w:val="nil"/>
            </w:tcBorders>
            <w:shd w:val="clear" w:color="auto" w:fill="auto"/>
            <w:noWrap/>
            <w:vAlign w:val="center"/>
            <w:hideMark/>
          </w:tcPr>
          <w:p w14:paraId="2DE6C254" w14:textId="77777777" w:rsidR="00C9554B" w:rsidRDefault="00C9554B">
            <w:pPr>
              <w:rPr>
                <w:rFonts w:ascii="Calibri" w:hAnsi="Calibri" w:cs="Calibri"/>
                <w:color w:val="000000"/>
                <w:sz w:val="16"/>
                <w:szCs w:val="16"/>
              </w:rPr>
            </w:pPr>
            <w:r>
              <w:rPr>
                <w:rFonts w:ascii="Calibri" w:hAnsi="Calibri" w:cs="Calibri"/>
                <w:color w:val="000000"/>
                <w:sz w:val="16"/>
                <w:szCs w:val="16"/>
              </w:rPr>
              <w:t>Salas e Escritórios</w:t>
            </w:r>
          </w:p>
        </w:tc>
        <w:tc>
          <w:tcPr>
            <w:tcW w:w="1418" w:type="dxa"/>
            <w:tcBorders>
              <w:top w:val="nil"/>
              <w:left w:val="nil"/>
              <w:bottom w:val="nil"/>
              <w:right w:val="nil"/>
            </w:tcBorders>
            <w:shd w:val="clear" w:color="auto" w:fill="auto"/>
            <w:noWrap/>
            <w:vAlign w:val="center"/>
            <w:hideMark/>
          </w:tcPr>
          <w:p w14:paraId="08B9D90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2.361.441 </w:t>
            </w:r>
          </w:p>
        </w:tc>
        <w:tc>
          <w:tcPr>
            <w:tcW w:w="1237" w:type="dxa"/>
            <w:tcBorders>
              <w:top w:val="nil"/>
              <w:left w:val="nil"/>
              <w:bottom w:val="nil"/>
              <w:right w:val="nil"/>
            </w:tcBorders>
            <w:shd w:val="clear" w:color="auto" w:fill="auto"/>
            <w:noWrap/>
            <w:vAlign w:val="center"/>
            <w:hideMark/>
          </w:tcPr>
          <w:p w14:paraId="5CC8749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112E309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(165.019)</w:t>
            </w:r>
          </w:p>
        </w:tc>
        <w:tc>
          <w:tcPr>
            <w:tcW w:w="1359" w:type="dxa"/>
            <w:tcBorders>
              <w:top w:val="nil"/>
              <w:left w:val="nil"/>
              <w:bottom w:val="nil"/>
              <w:right w:val="nil"/>
            </w:tcBorders>
            <w:shd w:val="clear" w:color="auto" w:fill="auto"/>
            <w:noWrap/>
            <w:vAlign w:val="center"/>
            <w:hideMark/>
          </w:tcPr>
          <w:p w14:paraId="340A888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1324E9C1"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2.196.421 </w:t>
            </w:r>
          </w:p>
        </w:tc>
        <w:tc>
          <w:tcPr>
            <w:tcW w:w="743" w:type="dxa"/>
            <w:tcBorders>
              <w:top w:val="nil"/>
              <w:left w:val="nil"/>
              <w:bottom w:val="nil"/>
              <w:right w:val="nil"/>
            </w:tcBorders>
            <w:shd w:val="clear" w:color="auto" w:fill="auto"/>
            <w:noWrap/>
            <w:vAlign w:val="center"/>
            <w:hideMark/>
          </w:tcPr>
          <w:p w14:paraId="0A285FD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10</w:t>
            </w:r>
          </w:p>
        </w:tc>
      </w:tr>
      <w:tr w:rsidR="00C9554B" w14:paraId="0BC53776" w14:textId="77777777" w:rsidTr="00C9554B">
        <w:trPr>
          <w:trHeight w:val="300"/>
        </w:trPr>
        <w:tc>
          <w:tcPr>
            <w:tcW w:w="3261" w:type="dxa"/>
            <w:tcBorders>
              <w:top w:val="nil"/>
              <w:left w:val="nil"/>
              <w:bottom w:val="nil"/>
              <w:right w:val="nil"/>
            </w:tcBorders>
            <w:shd w:val="clear" w:color="auto" w:fill="auto"/>
            <w:noWrap/>
            <w:vAlign w:val="center"/>
            <w:hideMark/>
          </w:tcPr>
          <w:p w14:paraId="75DD72A1" w14:textId="77777777" w:rsidR="00C9554B" w:rsidRDefault="00C9554B">
            <w:pPr>
              <w:rPr>
                <w:rFonts w:ascii="Calibri" w:hAnsi="Calibri" w:cs="Calibri"/>
                <w:color w:val="000000"/>
                <w:sz w:val="16"/>
                <w:szCs w:val="16"/>
              </w:rPr>
            </w:pPr>
            <w:r>
              <w:rPr>
                <w:rFonts w:ascii="Calibri" w:hAnsi="Calibri" w:cs="Calibri"/>
                <w:color w:val="000000"/>
                <w:sz w:val="16"/>
                <w:szCs w:val="16"/>
              </w:rPr>
              <w:t>Estudos e Projetos</w:t>
            </w:r>
          </w:p>
        </w:tc>
        <w:tc>
          <w:tcPr>
            <w:tcW w:w="1418" w:type="dxa"/>
            <w:tcBorders>
              <w:top w:val="nil"/>
              <w:left w:val="nil"/>
              <w:bottom w:val="nil"/>
              <w:right w:val="nil"/>
            </w:tcBorders>
            <w:shd w:val="clear" w:color="auto" w:fill="auto"/>
            <w:noWrap/>
            <w:vAlign w:val="center"/>
            <w:hideMark/>
          </w:tcPr>
          <w:p w14:paraId="4B83945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157.746.865 </w:t>
            </w:r>
          </w:p>
        </w:tc>
        <w:tc>
          <w:tcPr>
            <w:tcW w:w="1237" w:type="dxa"/>
            <w:tcBorders>
              <w:top w:val="nil"/>
              <w:left w:val="nil"/>
              <w:bottom w:val="nil"/>
              <w:right w:val="nil"/>
            </w:tcBorders>
            <w:shd w:val="clear" w:color="auto" w:fill="auto"/>
            <w:noWrap/>
            <w:vAlign w:val="center"/>
            <w:hideMark/>
          </w:tcPr>
          <w:p w14:paraId="11DF494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1.816.747 </w:t>
            </w:r>
          </w:p>
        </w:tc>
        <w:tc>
          <w:tcPr>
            <w:tcW w:w="1128" w:type="dxa"/>
            <w:tcBorders>
              <w:top w:val="nil"/>
              <w:left w:val="nil"/>
              <w:bottom w:val="nil"/>
              <w:right w:val="nil"/>
            </w:tcBorders>
            <w:shd w:val="clear" w:color="auto" w:fill="auto"/>
            <w:noWrap/>
            <w:vAlign w:val="center"/>
            <w:hideMark/>
          </w:tcPr>
          <w:p w14:paraId="3E0B7AB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5970A33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13246C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159.563.612 </w:t>
            </w:r>
          </w:p>
        </w:tc>
        <w:tc>
          <w:tcPr>
            <w:tcW w:w="743" w:type="dxa"/>
            <w:tcBorders>
              <w:top w:val="nil"/>
              <w:left w:val="nil"/>
              <w:bottom w:val="nil"/>
              <w:right w:val="nil"/>
            </w:tcBorders>
            <w:shd w:val="clear" w:color="auto" w:fill="auto"/>
            <w:noWrap/>
            <w:vAlign w:val="center"/>
            <w:hideMark/>
          </w:tcPr>
          <w:p w14:paraId="10D30DC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w:t>
            </w:r>
          </w:p>
        </w:tc>
      </w:tr>
      <w:tr w:rsidR="00C9554B" w14:paraId="7350C14F" w14:textId="77777777" w:rsidTr="00C9554B">
        <w:trPr>
          <w:trHeight w:val="300"/>
        </w:trPr>
        <w:tc>
          <w:tcPr>
            <w:tcW w:w="3261" w:type="dxa"/>
            <w:tcBorders>
              <w:top w:val="nil"/>
              <w:left w:val="nil"/>
              <w:bottom w:val="nil"/>
              <w:right w:val="nil"/>
            </w:tcBorders>
            <w:shd w:val="clear" w:color="auto" w:fill="auto"/>
            <w:noWrap/>
            <w:vAlign w:val="center"/>
            <w:hideMark/>
          </w:tcPr>
          <w:p w14:paraId="27ED5002"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FIOL - Ferrovia de Integração Oeste-Leste </w:t>
            </w:r>
          </w:p>
        </w:tc>
        <w:tc>
          <w:tcPr>
            <w:tcW w:w="1418" w:type="dxa"/>
            <w:tcBorders>
              <w:top w:val="nil"/>
              <w:left w:val="nil"/>
              <w:bottom w:val="nil"/>
              <w:right w:val="nil"/>
            </w:tcBorders>
            <w:shd w:val="clear" w:color="auto" w:fill="auto"/>
            <w:noWrap/>
            <w:vAlign w:val="center"/>
            <w:hideMark/>
          </w:tcPr>
          <w:p w14:paraId="562321A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640.740 </w:t>
            </w:r>
          </w:p>
        </w:tc>
        <w:tc>
          <w:tcPr>
            <w:tcW w:w="1237" w:type="dxa"/>
            <w:tcBorders>
              <w:top w:val="nil"/>
              <w:left w:val="nil"/>
              <w:bottom w:val="nil"/>
              <w:right w:val="nil"/>
            </w:tcBorders>
            <w:shd w:val="clear" w:color="auto" w:fill="auto"/>
            <w:noWrap/>
            <w:vAlign w:val="center"/>
            <w:hideMark/>
          </w:tcPr>
          <w:p w14:paraId="1CCF2E6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1.389.330 </w:t>
            </w:r>
          </w:p>
        </w:tc>
        <w:tc>
          <w:tcPr>
            <w:tcW w:w="1128" w:type="dxa"/>
            <w:tcBorders>
              <w:top w:val="nil"/>
              <w:left w:val="nil"/>
              <w:bottom w:val="nil"/>
              <w:right w:val="nil"/>
            </w:tcBorders>
            <w:shd w:val="clear" w:color="auto" w:fill="auto"/>
            <w:noWrap/>
            <w:vAlign w:val="center"/>
            <w:hideMark/>
          </w:tcPr>
          <w:p w14:paraId="53350A3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34D62BD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175D7A21"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2.030.070 </w:t>
            </w:r>
          </w:p>
        </w:tc>
        <w:tc>
          <w:tcPr>
            <w:tcW w:w="743" w:type="dxa"/>
            <w:tcBorders>
              <w:top w:val="nil"/>
              <w:left w:val="nil"/>
              <w:bottom w:val="nil"/>
              <w:right w:val="nil"/>
            </w:tcBorders>
            <w:shd w:val="clear" w:color="auto" w:fill="auto"/>
            <w:noWrap/>
            <w:vAlign w:val="bottom"/>
            <w:hideMark/>
          </w:tcPr>
          <w:p w14:paraId="78230A58" w14:textId="77777777" w:rsidR="00C9554B" w:rsidRDefault="00C9554B">
            <w:pPr>
              <w:jc w:val="right"/>
              <w:rPr>
                <w:rFonts w:ascii="Calibri" w:hAnsi="Calibri" w:cs="Calibri"/>
                <w:color w:val="000000"/>
                <w:sz w:val="16"/>
                <w:szCs w:val="16"/>
              </w:rPr>
            </w:pPr>
          </w:p>
        </w:tc>
      </w:tr>
      <w:tr w:rsidR="00C9554B" w14:paraId="010D16E7" w14:textId="77777777" w:rsidTr="00C9554B">
        <w:trPr>
          <w:trHeight w:val="300"/>
        </w:trPr>
        <w:tc>
          <w:tcPr>
            <w:tcW w:w="3261" w:type="dxa"/>
            <w:tcBorders>
              <w:top w:val="nil"/>
              <w:left w:val="nil"/>
              <w:bottom w:val="nil"/>
              <w:right w:val="nil"/>
            </w:tcBorders>
            <w:shd w:val="clear" w:color="auto" w:fill="auto"/>
            <w:noWrap/>
            <w:vAlign w:val="center"/>
            <w:hideMark/>
          </w:tcPr>
          <w:p w14:paraId="7C14F0E7"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Ferrovia Transcontinental</w:t>
            </w:r>
          </w:p>
        </w:tc>
        <w:tc>
          <w:tcPr>
            <w:tcW w:w="1418" w:type="dxa"/>
            <w:tcBorders>
              <w:top w:val="nil"/>
              <w:left w:val="nil"/>
              <w:bottom w:val="nil"/>
              <w:right w:val="nil"/>
            </w:tcBorders>
            <w:shd w:val="clear" w:color="auto" w:fill="auto"/>
            <w:noWrap/>
            <w:vAlign w:val="center"/>
            <w:hideMark/>
          </w:tcPr>
          <w:p w14:paraId="4A6ABBD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131.581.038 </w:t>
            </w:r>
          </w:p>
        </w:tc>
        <w:tc>
          <w:tcPr>
            <w:tcW w:w="1237" w:type="dxa"/>
            <w:tcBorders>
              <w:top w:val="nil"/>
              <w:left w:val="nil"/>
              <w:bottom w:val="nil"/>
              <w:right w:val="nil"/>
            </w:tcBorders>
            <w:shd w:val="clear" w:color="auto" w:fill="auto"/>
            <w:noWrap/>
            <w:vAlign w:val="center"/>
            <w:hideMark/>
          </w:tcPr>
          <w:p w14:paraId="7BB4EC90" w14:textId="5BA51A3D"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394.543 </w:t>
            </w:r>
          </w:p>
        </w:tc>
        <w:tc>
          <w:tcPr>
            <w:tcW w:w="1128" w:type="dxa"/>
            <w:tcBorders>
              <w:top w:val="nil"/>
              <w:left w:val="nil"/>
              <w:bottom w:val="nil"/>
              <w:right w:val="nil"/>
            </w:tcBorders>
            <w:shd w:val="clear" w:color="auto" w:fill="auto"/>
            <w:noWrap/>
            <w:vAlign w:val="center"/>
            <w:hideMark/>
          </w:tcPr>
          <w:p w14:paraId="66E438C3"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5C6272C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47D9D8E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131.975.581 </w:t>
            </w:r>
          </w:p>
        </w:tc>
        <w:tc>
          <w:tcPr>
            <w:tcW w:w="743" w:type="dxa"/>
            <w:tcBorders>
              <w:top w:val="nil"/>
              <w:left w:val="nil"/>
              <w:bottom w:val="nil"/>
              <w:right w:val="nil"/>
            </w:tcBorders>
            <w:shd w:val="clear" w:color="auto" w:fill="auto"/>
            <w:noWrap/>
            <w:vAlign w:val="bottom"/>
            <w:hideMark/>
          </w:tcPr>
          <w:p w14:paraId="0B6371B0" w14:textId="77777777" w:rsidR="00C9554B" w:rsidRDefault="00C9554B">
            <w:pPr>
              <w:jc w:val="right"/>
              <w:rPr>
                <w:rFonts w:ascii="Calibri" w:hAnsi="Calibri" w:cs="Calibri"/>
                <w:color w:val="000000"/>
                <w:sz w:val="16"/>
                <w:szCs w:val="16"/>
              </w:rPr>
            </w:pPr>
          </w:p>
        </w:tc>
      </w:tr>
      <w:tr w:rsidR="00C9554B" w14:paraId="3CEDD65B" w14:textId="77777777" w:rsidTr="00C9554B">
        <w:trPr>
          <w:trHeight w:val="300"/>
        </w:trPr>
        <w:tc>
          <w:tcPr>
            <w:tcW w:w="3261" w:type="dxa"/>
            <w:tcBorders>
              <w:top w:val="nil"/>
              <w:left w:val="nil"/>
              <w:bottom w:val="nil"/>
              <w:right w:val="nil"/>
            </w:tcBorders>
            <w:shd w:val="clear" w:color="auto" w:fill="auto"/>
            <w:noWrap/>
            <w:vAlign w:val="center"/>
            <w:hideMark/>
          </w:tcPr>
          <w:p w14:paraId="6E34449A"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Outros Empreendimentos</w:t>
            </w:r>
          </w:p>
        </w:tc>
        <w:tc>
          <w:tcPr>
            <w:tcW w:w="1418" w:type="dxa"/>
            <w:tcBorders>
              <w:top w:val="nil"/>
              <w:left w:val="nil"/>
              <w:bottom w:val="nil"/>
              <w:right w:val="nil"/>
            </w:tcBorders>
            <w:shd w:val="clear" w:color="auto" w:fill="auto"/>
            <w:noWrap/>
            <w:vAlign w:val="center"/>
            <w:hideMark/>
          </w:tcPr>
          <w:p w14:paraId="6638B9FC"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25.525.087 </w:t>
            </w:r>
          </w:p>
        </w:tc>
        <w:tc>
          <w:tcPr>
            <w:tcW w:w="1237" w:type="dxa"/>
            <w:tcBorders>
              <w:top w:val="nil"/>
              <w:left w:val="nil"/>
              <w:bottom w:val="nil"/>
              <w:right w:val="nil"/>
            </w:tcBorders>
            <w:shd w:val="clear" w:color="auto" w:fill="auto"/>
            <w:noWrap/>
            <w:vAlign w:val="center"/>
            <w:hideMark/>
          </w:tcPr>
          <w:p w14:paraId="2943EF76" w14:textId="67EC8B1F"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32.874 </w:t>
            </w:r>
          </w:p>
        </w:tc>
        <w:tc>
          <w:tcPr>
            <w:tcW w:w="1128" w:type="dxa"/>
            <w:tcBorders>
              <w:top w:val="nil"/>
              <w:left w:val="nil"/>
              <w:bottom w:val="nil"/>
              <w:right w:val="nil"/>
            </w:tcBorders>
            <w:shd w:val="clear" w:color="auto" w:fill="auto"/>
            <w:noWrap/>
            <w:vAlign w:val="center"/>
            <w:hideMark/>
          </w:tcPr>
          <w:p w14:paraId="2E463F7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57FD512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C203E3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25.557.961 </w:t>
            </w:r>
          </w:p>
        </w:tc>
        <w:tc>
          <w:tcPr>
            <w:tcW w:w="743" w:type="dxa"/>
            <w:tcBorders>
              <w:top w:val="nil"/>
              <w:left w:val="nil"/>
              <w:bottom w:val="nil"/>
              <w:right w:val="nil"/>
            </w:tcBorders>
            <w:shd w:val="clear" w:color="auto" w:fill="auto"/>
            <w:noWrap/>
            <w:vAlign w:val="bottom"/>
            <w:hideMark/>
          </w:tcPr>
          <w:p w14:paraId="6BFF51B1" w14:textId="77777777" w:rsidR="00C9554B" w:rsidRDefault="00C9554B">
            <w:pPr>
              <w:jc w:val="right"/>
              <w:rPr>
                <w:rFonts w:ascii="Calibri" w:hAnsi="Calibri" w:cs="Calibri"/>
                <w:color w:val="000000"/>
                <w:sz w:val="16"/>
                <w:szCs w:val="16"/>
              </w:rPr>
            </w:pPr>
          </w:p>
        </w:tc>
      </w:tr>
      <w:tr w:rsidR="00C9554B" w14:paraId="6395C269" w14:textId="77777777" w:rsidTr="00C9554B">
        <w:trPr>
          <w:trHeight w:val="300"/>
        </w:trPr>
        <w:tc>
          <w:tcPr>
            <w:tcW w:w="3261" w:type="dxa"/>
            <w:tcBorders>
              <w:top w:val="nil"/>
              <w:left w:val="nil"/>
              <w:bottom w:val="nil"/>
              <w:right w:val="nil"/>
            </w:tcBorders>
            <w:shd w:val="clear" w:color="auto" w:fill="auto"/>
            <w:noWrap/>
            <w:vAlign w:val="center"/>
            <w:hideMark/>
          </w:tcPr>
          <w:p w14:paraId="0B453FFF" w14:textId="77777777" w:rsidR="00C9554B" w:rsidRDefault="00C9554B">
            <w:pPr>
              <w:rPr>
                <w:rFonts w:ascii="Calibri" w:hAnsi="Calibri" w:cs="Calibri"/>
                <w:color w:val="000000"/>
                <w:sz w:val="16"/>
                <w:szCs w:val="16"/>
              </w:rPr>
            </w:pPr>
            <w:r>
              <w:rPr>
                <w:rFonts w:ascii="Calibri" w:hAnsi="Calibri" w:cs="Calibri"/>
                <w:color w:val="000000"/>
                <w:sz w:val="16"/>
                <w:szCs w:val="16"/>
              </w:rPr>
              <w:t>Implantação - Ferrovias</w:t>
            </w:r>
          </w:p>
        </w:tc>
        <w:tc>
          <w:tcPr>
            <w:tcW w:w="1418" w:type="dxa"/>
            <w:tcBorders>
              <w:top w:val="nil"/>
              <w:left w:val="nil"/>
              <w:bottom w:val="nil"/>
              <w:right w:val="nil"/>
            </w:tcBorders>
            <w:shd w:val="clear" w:color="auto" w:fill="auto"/>
            <w:noWrap/>
            <w:vAlign w:val="center"/>
            <w:hideMark/>
          </w:tcPr>
          <w:p w14:paraId="7AB4D26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2.398.838.107 </w:t>
            </w:r>
          </w:p>
        </w:tc>
        <w:tc>
          <w:tcPr>
            <w:tcW w:w="1237" w:type="dxa"/>
            <w:tcBorders>
              <w:top w:val="nil"/>
              <w:left w:val="nil"/>
              <w:bottom w:val="nil"/>
              <w:right w:val="nil"/>
            </w:tcBorders>
            <w:shd w:val="clear" w:color="auto" w:fill="auto"/>
            <w:noWrap/>
            <w:vAlign w:val="center"/>
            <w:hideMark/>
          </w:tcPr>
          <w:p w14:paraId="05F9BA07"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456.039.147 </w:t>
            </w:r>
          </w:p>
        </w:tc>
        <w:tc>
          <w:tcPr>
            <w:tcW w:w="1128" w:type="dxa"/>
            <w:tcBorders>
              <w:top w:val="nil"/>
              <w:left w:val="nil"/>
              <w:bottom w:val="nil"/>
              <w:right w:val="nil"/>
            </w:tcBorders>
            <w:shd w:val="clear" w:color="auto" w:fill="auto"/>
            <w:noWrap/>
            <w:vAlign w:val="center"/>
            <w:hideMark/>
          </w:tcPr>
          <w:p w14:paraId="58625FF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5108036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(484.735)</w:t>
            </w:r>
          </w:p>
        </w:tc>
        <w:tc>
          <w:tcPr>
            <w:tcW w:w="1490" w:type="dxa"/>
            <w:tcBorders>
              <w:top w:val="nil"/>
              <w:left w:val="nil"/>
              <w:bottom w:val="nil"/>
              <w:right w:val="nil"/>
            </w:tcBorders>
            <w:shd w:val="clear" w:color="auto" w:fill="auto"/>
            <w:noWrap/>
            <w:vAlign w:val="center"/>
            <w:hideMark/>
          </w:tcPr>
          <w:p w14:paraId="3B789377"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2.854.392.519 </w:t>
            </w:r>
          </w:p>
        </w:tc>
        <w:tc>
          <w:tcPr>
            <w:tcW w:w="743" w:type="dxa"/>
            <w:tcBorders>
              <w:top w:val="nil"/>
              <w:left w:val="nil"/>
              <w:bottom w:val="nil"/>
              <w:right w:val="nil"/>
            </w:tcBorders>
            <w:shd w:val="clear" w:color="auto" w:fill="auto"/>
            <w:noWrap/>
            <w:vAlign w:val="bottom"/>
            <w:hideMark/>
          </w:tcPr>
          <w:p w14:paraId="1BBE036A" w14:textId="77777777" w:rsidR="00C9554B" w:rsidRDefault="00C9554B">
            <w:pPr>
              <w:jc w:val="right"/>
              <w:rPr>
                <w:rFonts w:ascii="Calibri" w:hAnsi="Calibri" w:cs="Calibri"/>
                <w:color w:val="000000"/>
                <w:sz w:val="16"/>
                <w:szCs w:val="16"/>
              </w:rPr>
            </w:pPr>
          </w:p>
        </w:tc>
      </w:tr>
      <w:tr w:rsidR="00C9554B" w14:paraId="2B6DEF30" w14:textId="77777777" w:rsidTr="00C9554B">
        <w:trPr>
          <w:trHeight w:val="300"/>
        </w:trPr>
        <w:tc>
          <w:tcPr>
            <w:tcW w:w="3261" w:type="dxa"/>
            <w:tcBorders>
              <w:top w:val="nil"/>
              <w:left w:val="nil"/>
              <w:bottom w:val="nil"/>
              <w:right w:val="nil"/>
            </w:tcBorders>
            <w:shd w:val="clear" w:color="auto" w:fill="auto"/>
            <w:noWrap/>
            <w:vAlign w:val="center"/>
            <w:hideMark/>
          </w:tcPr>
          <w:p w14:paraId="03502C3C"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FIOL - Ferrovia de Integração Oeste-Leste </w:t>
            </w:r>
          </w:p>
        </w:tc>
        <w:tc>
          <w:tcPr>
            <w:tcW w:w="1418" w:type="dxa"/>
            <w:tcBorders>
              <w:top w:val="nil"/>
              <w:left w:val="nil"/>
              <w:bottom w:val="nil"/>
              <w:right w:val="nil"/>
            </w:tcBorders>
            <w:shd w:val="clear" w:color="auto" w:fill="auto"/>
            <w:noWrap/>
            <w:vAlign w:val="center"/>
            <w:hideMark/>
          </w:tcPr>
          <w:p w14:paraId="35BDB777"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2.134.403.276 </w:t>
            </w:r>
          </w:p>
        </w:tc>
        <w:tc>
          <w:tcPr>
            <w:tcW w:w="1237" w:type="dxa"/>
            <w:tcBorders>
              <w:top w:val="nil"/>
              <w:left w:val="nil"/>
              <w:bottom w:val="nil"/>
              <w:right w:val="nil"/>
            </w:tcBorders>
            <w:shd w:val="clear" w:color="auto" w:fill="auto"/>
            <w:noWrap/>
            <w:vAlign w:val="center"/>
            <w:hideMark/>
          </w:tcPr>
          <w:p w14:paraId="4A34168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207.374.453 </w:t>
            </w:r>
          </w:p>
        </w:tc>
        <w:tc>
          <w:tcPr>
            <w:tcW w:w="1128" w:type="dxa"/>
            <w:tcBorders>
              <w:top w:val="nil"/>
              <w:left w:val="nil"/>
              <w:bottom w:val="nil"/>
              <w:right w:val="nil"/>
            </w:tcBorders>
            <w:shd w:val="clear" w:color="auto" w:fill="auto"/>
            <w:noWrap/>
            <w:vAlign w:val="center"/>
            <w:hideMark/>
          </w:tcPr>
          <w:p w14:paraId="4B509EF8"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6EEF61D7"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(484.735)</w:t>
            </w:r>
          </w:p>
        </w:tc>
        <w:tc>
          <w:tcPr>
            <w:tcW w:w="1490" w:type="dxa"/>
            <w:tcBorders>
              <w:top w:val="nil"/>
              <w:left w:val="nil"/>
              <w:bottom w:val="nil"/>
              <w:right w:val="nil"/>
            </w:tcBorders>
            <w:shd w:val="clear" w:color="auto" w:fill="auto"/>
            <w:noWrap/>
            <w:vAlign w:val="center"/>
            <w:hideMark/>
          </w:tcPr>
          <w:p w14:paraId="7089557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2.341.292.993 </w:t>
            </w:r>
          </w:p>
        </w:tc>
        <w:tc>
          <w:tcPr>
            <w:tcW w:w="743" w:type="dxa"/>
            <w:tcBorders>
              <w:top w:val="nil"/>
              <w:left w:val="nil"/>
              <w:bottom w:val="nil"/>
              <w:right w:val="nil"/>
            </w:tcBorders>
            <w:shd w:val="clear" w:color="auto" w:fill="auto"/>
            <w:noWrap/>
            <w:vAlign w:val="bottom"/>
            <w:hideMark/>
          </w:tcPr>
          <w:p w14:paraId="5FA0807C" w14:textId="77777777" w:rsidR="00C9554B" w:rsidRDefault="00C9554B">
            <w:pPr>
              <w:jc w:val="right"/>
              <w:rPr>
                <w:rFonts w:ascii="Calibri" w:hAnsi="Calibri" w:cs="Calibri"/>
                <w:color w:val="000000"/>
                <w:sz w:val="16"/>
                <w:szCs w:val="16"/>
              </w:rPr>
            </w:pPr>
          </w:p>
        </w:tc>
      </w:tr>
      <w:tr w:rsidR="00C9554B" w14:paraId="6CD9AC54" w14:textId="77777777" w:rsidTr="00C9554B">
        <w:trPr>
          <w:trHeight w:val="300"/>
        </w:trPr>
        <w:tc>
          <w:tcPr>
            <w:tcW w:w="3261" w:type="dxa"/>
            <w:tcBorders>
              <w:top w:val="nil"/>
              <w:left w:val="nil"/>
              <w:bottom w:val="nil"/>
              <w:right w:val="nil"/>
            </w:tcBorders>
            <w:shd w:val="clear" w:color="auto" w:fill="auto"/>
            <w:noWrap/>
            <w:vAlign w:val="center"/>
            <w:hideMark/>
          </w:tcPr>
          <w:p w14:paraId="337DCB9F"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FICO - Ferrovia Transcontinental</w:t>
            </w:r>
          </w:p>
        </w:tc>
        <w:tc>
          <w:tcPr>
            <w:tcW w:w="1418" w:type="dxa"/>
            <w:tcBorders>
              <w:top w:val="nil"/>
              <w:left w:val="nil"/>
              <w:bottom w:val="nil"/>
              <w:right w:val="nil"/>
            </w:tcBorders>
            <w:shd w:val="clear" w:color="auto" w:fill="auto"/>
            <w:noWrap/>
            <w:vAlign w:val="center"/>
            <w:hideMark/>
          </w:tcPr>
          <w:p w14:paraId="7BF95BA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504.022 </w:t>
            </w:r>
          </w:p>
        </w:tc>
        <w:tc>
          <w:tcPr>
            <w:tcW w:w="1237" w:type="dxa"/>
            <w:tcBorders>
              <w:top w:val="nil"/>
              <w:left w:val="nil"/>
              <w:bottom w:val="nil"/>
              <w:right w:val="nil"/>
            </w:tcBorders>
            <w:shd w:val="clear" w:color="auto" w:fill="auto"/>
            <w:noWrap/>
            <w:vAlign w:val="center"/>
            <w:hideMark/>
          </w:tcPr>
          <w:p w14:paraId="283E7ED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2.410.531 </w:t>
            </w:r>
          </w:p>
        </w:tc>
        <w:tc>
          <w:tcPr>
            <w:tcW w:w="1128" w:type="dxa"/>
            <w:tcBorders>
              <w:top w:val="nil"/>
              <w:left w:val="nil"/>
              <w:bottom w:val="nil"/>
              <w:right w:val="nil"/>
            </w:tcBorders>
            <w:shd w:val="clear" w:color="auto" w:fill="auto"/>
            <w:noWrap/>
            <w:vAlign w:val="center"/>
            <w:hideMark/>
          </w:tcPr>
          <w:p w14:paraId="00950881"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7073DCC8"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7E9CD0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2.914.553 </w:t>
            </w:r>
          </w:p>
        </w:tc>
        <w:tc>
          <w:tcPr>
            <w:tcW w:w="743" w:type="dxa"/>
            <w:tcBorders>
              <w:top w:val="nil"/>
              <w:left w:val="nil"/>
              <w:bottom w:val="nil"/>
              <w:right w:val="nil"/>
            </w:tcBorders>
            <w:shd w:val="clear" w:color="auto" w:fill="auto"/>
            <w:noWrap/>
            <w:vAlign w:val="bottom"/>
            <w:hideMark/>
          </w:tcPr>
          <w:p w14:paraId="4F6B9255" w14:textId="77777777" w:rsidR="00C9554B" w:rsidRDefault="00C9554B">
            <w:pPr>
              <w:jc w:val="right"/>
              <w:rPr>
                <w:rFonts w:ascii="Calibri" w:hAnsi="Calibri" w:cs="Calibri"/>
                <w:color w:val="000000"/>
                <w:sz w:val="16"/>
                <w:szCs w:val="16"/>
              </w:rPr>
            </w:pPr>
          </w:p>
        </w:tc>
      </w:tr>
      <w:tr w:rsidR="00C9554B" w14:paraId="2E363DDE" w14:textId="77777777" w:rsidTr="00C9554B">
        <w:trPr>
          <w:trHeight w:val="300"/>
        </w:trPr>
        <w:tc>
          <w:tcPr>
            <w:tcW w:w="3261" w:type="dxa"/>
            <w:tcBorders>
              <w:top w:val="nil"/>
              <w:left w:val="nil"/>
              <w:bottom w:val="nil"/>
              <w:right w:val="nil"/>
            </w:tcBorders>
            <w:shd w:val="clear" w:color="auto" w:fill="auto"/>
            <w:noWrap/>
            <w:vAlign w:val="center"/>
            <w:hideMark/>
          </w:tcPr>
          <w:p w14:paraId="75B51078"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FICO - INVESTIMENTO CRUZADO</w:t>
            </w:r>
          </w:p>
        </w:tc>
        <w:tc>
          <w:tcPr>
            <w:tcW w:w="1418" w:type="dxa"/>
            <w:tcBorders>
              <w:top w:val="nil"/>
              <w:left w:val="nil"/>
              <w:bottom w:val="nil"/>
              <w:right w:val="nil"/>
            </w:tcBorders>
            <w:shd w:val="clear" w:color="auto" w:fill="auto"/>
            <w:noWrap/>
            <w:vAlign w:val="center"/>
            <w:hideMark/>
          </w:tcPr>
          <w:p w14:paraId="3E45B27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5.398.692 </w:t>
            </w:r>
          </w:p>
        </w:tc>
        <w:tc>
          <w:tcPr>
            <w:tcW w:w="1237" w:type="dxa"/>
            <w:tcBorders>
              <w:top w:val="nil"/>
              <w:left w:val="nil"/>
              <w:bottom w:val="nil"/>
              <w:right w:val="nil"/>
            </w:tcBorders>
            <w:shd w:val="clear" w:color="auto" w:fill="auto"/>
            <w:noWrap/>
            <w:vAlign w:val="center"/>
            <w:hideMark/>
          </w:tcPr>
          <w:p w14:paraId="12DC8E92"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92.166.474 </w:t>
            </w:r>
          </w:p>
        </w:tc>
        <w:tc>
          <w:tcPr>
            <w:tcW w:w="1128" w:type="dxa"/>
            <w:tcBorders>
              <w:top w:val="nil"/>
              <w:left w:val="nil"/>
              <w:bottom w:val="nil"/>
              <w:right w:val="nil"/>
            </w:tcBorders>
            <w:shd w:val="clear" w:color="auto" w:fill="auto"/>
            <w:noWrap/>
            <w:vAlign w:val="center"/>
            <w:hideMark/>
          </w:tcPr>
          <w:p w14:paraId="32563CE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316A1BF1"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4EBEB9B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97.565.166 </w:t>
            </w:r>
          </w:p>
        </w:tc>
        <w:tc>
          <w:tcPr>
            <w:tcW w:w="743" w:type="dxa"/>
            <w:tcBorders>
              <w:top w:val="nil"/>
              <w:left w:val="nil"/>
              <w:bottom w:val="nil"/>
              <w:right w:val="nil"/>
            </w:tcBorders>
            <w:shd w:val="clear" w:color="auto" w:fill="auto"/>
            <w:noWrap/>
            <w:vAlign w:val="bottom"/>
            <w:hideMark/>
          </w:tcPr>
          <w:p w14:paraId="05E7F1DC" w14:textId="77777777" w:rsidR="00C9554B" w:rsidRDefault="00C9554B">
            <w:pPr>
              <w:jc w:val="right"/>
              <w:rPr>
                <w:rFonts w:ascii="Calibri" w:hAnsi="Calibri" w:cs="Calibri"/>
                <w:color w:val="000000"/>
                <w:sz w:val="16"/>
                <w:szCs w:val="16"/>
              </w:rPr>
            </w:pPr>
          </w:p>
        </w:tc>
      </w:tr>
      <w:tr w:rsidR="00C9554B" w14:paraId="367A59B4" w14:textId="77777777" w:rsidTr="00C9554B">
        <w:trPr>
          <w:trHeight w:val="300"/>
        </w:trPr>
        <w:tc>
          <w:tcPr>
            <w:tcW w:w="3261" w:type="dxa"/>
            <w:tcBorders>
              <w:top w:val="nil"/>
              <w:left w:val="nil"/>
              <w:bottom w:val="nil"/>
              <w:right w:val="nil"/>
            </w:tcBorders>
            <w:shd w:val="clear" w:color="auto" w:fill="auto"/>
            <w:noWrap/>
            <w:vAlign w:val="center"/>
            <w:hideMark/>
          </w:tcPr>
          <w:p w14:paraId="71F04948"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FIOL - INVESTIMENTO CRUZADO</w:t>
            </w:r>
          </w:p>
        </w:tc>
        <w:tc>
          <w:tcPr>
            <w:tcW w:w="1418" w:type="dxa"/>
            <w:tcBorders>
              <w:top w:val="nil"/>
              <w:left w:val="nil"/>
              <w:bottom w:val="nil"/>
              <w:right w:val="nil"/>
            </w:tcBorders>
            <w:shd w:val="clear" w:color="auto" w:fill="auto"/>
            <w:noWrap/>
            <w:vAlign w:val="center"/>
            <w:hideMark/>
          </w:tcPr>
          <w:p w14:paraId="2A3854F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258.532.118 </w:t>
            </w:r>
          </w:p>
        </w:tc>
        <w:tc>
          <w:tcPr>
            <w:tcW w:w="1237" w:type="dxa"/>
            <w:tcBorders>
              <w:top w:val="nil"/>
              <w:left w:val="nil"/>
              <w:bottom w:val="nil"/>
              <w:right w:val="nil"/>
            </w:tcBorders>
            <w:shd w:val="clear" w:color="auto" w:fill="auto"/>
            <w:noWrap/>
            <w:vAlign w:val="center"/>
            <w:hideMark/>
          </w:tcPr>
          <w:p w14:paraId="4E20E48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154.087.689 </w:t>
            </w:r>
          </w:p>
        </w:tc>
        <w:tc>
          <w:tcPr>
            <w:tcW w:w="1128" w:type="dxa"/>
            <w:tcBorders>
              <w:top w:val="nil"/>
              <w:left w:val="nil"/>
              <w:bottom w:val="nil"/>
              <w:right w:val="nil"/>
            </w:tcBorders>
            <w:shd w:val="clear" w:color="auto" w:fill="auto"/>
            <w:noWrap/>
            <w:vAlign w:val="center"/>
            <w:hideMark/>
          </w:tcPr>
          <w:p w14:paraId="5EEC8DA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3402FB63"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7172D5E2"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412.619.807 </w:t>
            </w:r>
          </w:p>
        </w:tc>
        <w:tc>
          <w:tcPr>
            <w:tcW w:w="743" w:type="dxa"/>
            <w:tcBorders>
              <w:top w:val="nil"/>
              <w:left w:val="nil"/>
              <w:bottom w:val="nil"/>
              <w:right w:val="nil"/>
            </w:tcBorders>
            <w:shd w:val="clear" w:color="auto" w:fill="auto"/>
            <w:noWrap/>
            <w:vAlign w:val="bottom"/>
            <w:hideMark/>
          </w:tcPr>
          <w:p w14:paraId="5D8445E5" w14:textId="77777777" w:rsidR="00C9554B" w:rsidRDefault="00C9554B">
            <w:pPr>
              <w:jc w:val="right"/>
              <w:rPr>
                <w:rFonts w:ascii="Calibri" w:hAnsi="Calibri" w:cs="Calibri"/>
                <w:color w:val="000000"/>
                <w:sz w:val="16"/>
                <w:szCs w:val="16"/>
              </w:rPr>
            </w:pPr>
          </w:p>
        </w:tc>
      </w:tr>
      <w:tr w:rsidR="00C9554B" w14:paraId="5A0CBD65" w14:textId="77777777" w:rsidTr="00C9554B">
        <w:trPr>
          <w:trHeight w:val="300"/>
        </w:trPr>
        <w:tc>
          <w:tcPr>
            <w:tcW w:w="3261" w:type="dxa"/>
            <w:tcBorders>
              <w:top w:val="nil"/>
              <w:left w:val="nil"/>
              <w:bottom w:val="nil"/>
              <w:right w:val="nil"/>
            </w:tcBorders>
            <w:shd w:val="clear" w:color="auto" w:fill="auto"/>
            <w:noWrap/>
            <w:vAlign w:val="center"/>
            <w:hideMark/>
          </w:tcPr>
          <w:p w14:paraId="0ED01D5E" w14:textId="77777777" w:rsidR="00C9554B" w:rsidRDefault="00C9554B">
            <w:pPr>
              <w:rPr>
                <w:rFonts w:ascii="Calibri" w:hAnsi="Calibri" w:cs="Calibri"/>
                <w:color w:val="000000"/>
                <w:sz w:val="16"/>
                <w:szCs w:val="16"/>
              </w:rPr>
            </w:pPr>
            <w:r>
              <w:rPr>
                <w:rFonts w:ascii="Calibri" w:hAnsi="Calibri" w:cs="Calibri"/>
                <w:color w:val="000000"/>
                <w:sz w:val="16"/>
                <w:szCs w:val="16"/>
              </w:rPr>
              <w:t>Ativos de Concessão</w:t>
            </w:r>
          </w:p>
        </w:tc>
        <w:tc>
          <w:tcPr>
            <w:tcW w:w="1418" w:type="dxa"/>
            <w:tcBorders>
              <w:top w:val="nil"/>
              <w:left w:val="nil"/>
              <w:bottom w:val="nil"/>
              <w:right w:val="nil"/>
            </w:tcBorders>
            <w:shd w:val="clear" w:color="auto" w:fill="auto"/>
            <w:noWrap/>
            <w:vAlign w:val="center"/>
            <w:hideMark/>
          </w:tcPr>
          <w:p w14:paraId="610363D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15.789.220.082 </w:t>
            </w:r>
          </w:p>
        </w:tc>
        <w:tc>
          <w:tcPr>
            <w:tcW w:w="1237" w:type="dxa"/>
            <w:tcBorders>
              <w:top w:val="nil"/>
              <w:left w:val="nil"/>
              <w:bottom w:val="nil"/>
              <w:right w:val="nil"/>
            </w:tcBorders>
            <w:shd w:val="clear" w:color="auto" w:fill="auto"/>
            <w:noWrap/>
            <w:vAlign w:val="center"/>
            <w:hideMark/>
          </w:tcPr>
          <w:p w14:paraId="5A1AB80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4E13AF5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(522.734)</w:t>
            </w:r>
          </w:p>
        </w:tc>
        <w:tc>
          <w:tcPr>
            <w:tcW w:w="1359" w:type="dxa"/>
            <w:tcBorders>
              <w:top w:val="nil"/>
              <w:left w:val="nil"/>
              <w:bottom w:val="nil"/>
              <w:right w:val="nil"/>
            </w:tcBorders>
            <w:shd w:val="clear" w:color="auto" w:fill="auto"/>
            <w:noWrap/>
            <w:vAlign w:val="center"/>
            <w:hideMark/>
          </w:tcPr>
          <w:p w14:paraId="643AE75C"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42CAA231"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15.788.697.348 </w:t>
            </w:r>
          </w:p>
        </w:tc>
        <w:tc>
          <w:tcPr>
            <w:tcW w:w="743" w:type="dxa"/>
            <w:tcBorders>
              <w:top w:val="nil"/>
              <w:left w:val="nil"/>
              <w:bottom w:val="nil"/>
              <w:right w:val="nil"/>
            </w:tcBorders>
            <w:shd w:val="clear" w:color="auto" w:fill="auto"/>
            <w:noWrap/>
            <w:vAlign w:val="bottom"/>
            <w:hideMark/>
          </w:tcPr>
          <w:p w14:paraId="72BD0F9C" w14:textId="77777777" w:rsidR="00C9554B" w:rsidRDefault="00C9554B">
            <w:pPr>
              <w:jc w:val="right"/>
              <w:rPr>
                <w:rFonts w:ascii="Calibri" w:hAnsi="Calibri" w:cs="Calibri"/>
                <w:color w:val="000000"/>
                <w:sz w:val="16"/>
                <w:szCs w:val="16"/>
              </w:rPr>
            </w:pPr>
          </w:p>
        </w:tc>
      </w:tr>
      <w:tr w:rsidR="00C9554B" w14:paraId="5839CFC4" w14:textId="77777777" w:rsidTr="00C9554B">
        <w:trPr>
          <w:trHeight w:val="300"/>
        </w:trPr>
        <w:tc>
          <w:tcPr>
            <w:tcW w:w="3261" w:type="dxa"/>
            <w:tcBorders>
              <w:top w:val="nil"/>
              <w:left w:val="nil"/>
              <w:bottom w:val="nil"/>
              <w:right w:val="nil"/>
            </w:tcBorders>
            <w:shd w:val="clear" w:color="auto" w:fill="auto"/>
            <w:noWrap/>
            <w:vAlign w:val="center"/>
            <w:hideMark/>
          </w:tcPr>
          <w:p w14:paraId="35CAB0EC"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418" w:type="dxa"/>
            <w:tcBorders>
              <w:top w:val="nil"/>
              <w:left w:val="nil"/>
              <w:bottom w:val="nil"/>
              <w:right w:val="nil"/>
            </w:tcBorders>
            <w:shd w:val="clear" w:color="auto" w:fill="auto"/>
            <w:noWrap/>
            <w:vAlign w:val="center"/>
            <w:hideMark/>
          </w:tcPr>
          <w:p w14:paraId="3BF2106C"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2.607.268.664 </w:t>
            </w:r>
          </w:p>
        </w:tc>
        <w:tc>
          <w:tcPr>
            <w:tcW w:w="1237" w:type="dxa"/>
            <w:tcBorders>
              <w:top w:val="nil"/>
              <w:left w:val="nil"/>
              <w:bottom w:val="nil"/>
              <w:right w:val="nil"/>
            </w:tcBorders>
            <w:shd w:val="clear" w:color="auto" w:fill="auto"/>
            <w:noWrap/>
            <w:vAlign w:val="center"/>
            <w:hideMark/>
          </w:tcPr>
          <w:p w14:paraId="506CCC0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78DC5613"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37DF0AD1"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2AECDC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2.607.268.664 </w:t>
            </w:r>
          </w:p>
        </w:tc>
        <w:tc>
          <w:tcPr>
            <w:tcW w:w="743" w:type="dxa"/>
            <w:tcBorders>
              <w:top w:val="nil"/>
              <w:left w:val="nil"/>
              <w:bottom w:val="nil"/>
              <w:right w:val="nil"/>
            </w:tcBorders>
            <w:shd w:val="clear" w:color="auto" w:fill="auto"/>
            <w:noWrap/>
            <w:vAlign w:val="center"/>
            <w:hideMark/>
          </w:tcPr>
          <w:p w14:paraId="0718A9E1"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4 e 2,86</w:t>
            </w:r>
          </w:p>
        </w:tc>
      </w:tr>
      <w:tr w:rsidR="00C9554B" w14:paraId="48495DF2" w14:textId="77777777" w:rsidTr="00C9554B">
        <w:trPr>
          <w:trHeight w:val="300"/>
        </w:trPr>
        <w:tc>
          <w:tcPr>
            <w:tcW w:w="3261" w:type="dxa"/>
            <w:tcBorders>
              <w:top w:val="nil"/>
              <w:left w:val="nil"/>
              <w:bottom w:val="nil"/>
              <w:right w:val="nil"/>
            </w:tcBorders>
            <w:shd w:val="clear" w:color="auto" w:fill="auto"/>
            <w:noWrap/>
            <w:vAlign w:val="center"/>
            <w:hideMark/>
          </w:tcPr>
          <w:p w14:paraId="3CE4776C"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418" w:type="dxa"/>
            <w:tcBorders>
              <w:top w:val="nil"/>
              <w:left w:val="nil"/>
              <w:bottom w:val="nil"/>
              <w:right w:val="nil"/>
            </w:tcBorders>
            <w:shd w:val="clear" w:color="auto" w:fill="auto"/>
            <w:noWrap/>
            <w:vAlign w:val="center"/>
            <w:hideMark/>
          </w:tcPr>
          <w:p w14:paraId="23C6440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4.927.704.988 </w:t>
            </w:r>
          </w:p>
        </w:tc>
        <w:tc>
          <w:tcPr>
            <w:tcW w:w="1237" w:type="dxa"/>
            <w:tcBorders>
              <w:top w:val="nil"/>
              <w:left w:val="nil"/>
              <w:bottom w:val="nil"/>
              <w:right w:val="nil"/>
            </w:tcBorders>
            <w:shd w:val="clear" w:color="auto" w:fill="auto"/>
            <w:noWrap/>
            <w:vAlign w:val="center"/>
            <w:hideMark/>
          </w:tcPr>
          <w:p w14:paraId="082B7EB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07A89CE8"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6A9817C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67D4AFD7"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4.927.704.988 </w:t>
            </w:r>
          </w:p>
        </w:tc>
        <w:tc>
          <w:tcPr>
            <w:tcW w:w="743" w:type="dxa"/>
            <w:tcBorders>
              <w:top w:val="nil"/>
              <w:left w:val="nil"/>
              <w:bottom w:val="nil"/>
              <w:right w:val="nil"/>
            </w:tcBorders>
            <w:shd w:val="clear" w:color="auto" w:fill="auto"/>
            <w:noWrap/>
            <w:vAlign w:val="center"/>
            <w:hideMark/>
          </w:tcPr>
          <w:p w14:paraId="656AABB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4 e 2,86</w:t>
            </w:r>
          </w:p>
        </w:tc>
      </w:tr>
      <w:tr w:rsidR="00C9554B" w14:paraId="4E4C71A0" w14:textId="77777777" w:rsidTr="00C9554B">
        <w:trPr>
          <w:trHeight w:val="300"/>
        </w:trPr>
        <w:tc>
          <w:tcPr>
            <w:tcW w:w="3261" w:type="dxa"/>
            <w:tcBorders>
              <w:top w:val="nil"/>
              <w:left w:val="nil"/>
              <w:bottom w:val="nil"/>
              <w:right w:val="nil"/>
            </w:tcBorders>
            <w:shd w:val="clear" w:color="auto" w:fill="auto"/>
            <w:noWrap/>
            <w:vAlign w:val="center"/>
            <w:hideMark/>
          </w:tcPr>
          <w:p w14:paraId="41A5F30B"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FNS - Ouro Verde/GO - Estrela D'Oeste/SP</w:t>
            </w:r>
          </w:p>
        </w:tc>
        <w:tc>
          <w:tcPr>
            <w:tcW w:w="1418" w:type="dxa"/>
            <w:tcBorders>
              <w:top w:val="nil"/>
              <w:left w:val="nil"/>
              <w:bottom w:val="nil"/>
              <w:right w:val="nil"/>
            </w:tcBorders>
            <w:shd w:val="clear" w:color="auto" w:fill="auto"/>
            <w:noWrap/>
            <w:vAlign w:val="center"/>
            <w:hideMark/>
          </w:tcPr>
          <w:p w14:paraId="1669B69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4.746.343.535 </w:t>
            </w:r>
          </w:p>
        </w:tc>
        <w:tc>
          <w:tcPr>
            <w:tcW w:w="1237" w:type="dxa"/>
            <w:tcBorders>
              <w:top w:val="nil"/>
              <w:left w:val="nil"/>
              <w:bottom w:val="nil"/>
              <w:right w:val="nil"/>
            </w:tcBorders>
            <w:shd w:val="clear" w:color="auto" w:fill="auto"/>
            <w:noWrap/>
            <w:vAlign w:val="center"/>
            <w:hideMark/>
          </w:tcPr>
          <w:p w14:paraId="708E0D7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14A7E6A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(522.734)</w:t>
            </w:r>
          </w:p>
        </w:tc>
        <w:tc>
          <w:tcPr>
            <w:tcW w:w="1359" w:type="dxa"/>
            <w:tcBorders>
              <w:top w:val="nil"/>
              <w:left w:val="nil"/>
              <w:bottom w:val="nil"/>
              <w:right w:val="nil"/>
            </w:tcBorders>
            <w:shd w:val="clear" w:color="auto" w:fill="auto"/>
            <w:noWrap/>
            <w:vAlign w:val="center"/>
            <w:hideMark/>
          </w:tcPr>
          <w:p w14:paraId="084751C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33192E5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4.745.820.801 </w:t>
            </w:r>
          </w:p>
        </w:tc>
        <w:tc>
          <w:tcPr>
            <w:tcW w:w="743" w:type="dxa"/>
            <w:tcBorders>
              <w:top w:val="nil"/>
              <w:left w:val="nil"/>
              <w:bottom w:val="nil"/>
              <w:right w:val="nil"/>
            </w:tcBorders>
            <w:shd w:val="clear" w:color="auto" w:fill="auto"/>
            <w:noWrap/>
            <w:vAlign w:val="bottom"/>
            <w:hideMark/>
          </w:tcPr>
          <w:p w14:paraId="68137A6C" w14:textId="77777777" w:rsidR="00C9554B" w:rsidRDefault="00C9554B">
            <w:pPr>
              <w:jc w:val="right"/>
              <w:rPr>
                <w:rFonts w:ascii="Calibri" w:hAnsi="Calibri" w:cs="Calibri"/>
                <w:color w:val="000000"/>
                <w:sz w:val="16"/>
                <w:szCs w:val="16"/>
              </w:rPr>
            </w:pPr>
          </w:p>
        </w:tc>
      </w:tr>
      <w:tr w:rsidR="00C9554B" w14:paraId="34BD4485" w14:textId="77777777" w:rsidTr="00C9554B">
        <w:trPr>
          <w:trHeight w:val="300"/>
        </w:trPr>
        <w:tc>
          <w:tcPr>
            <w:tcW w:w="3261" w:type="dxa"/>
            <w:tcBorders>
              <w:top w:val="nil"/>
              <w:left w:val="nil"/>
              <w:bottom w:val="nil"/>
              <w:right w:val="nil"/>
            </w:tcBorders>
            <w:shd w:val="clear" w:color="auto" w:fill="auto"/>
            <w:noWrap/>
            <w:vAlign w:val="center"/>
            <w:hideMark/>
          </w:tcPr>
          <w:p w14:paraId="65AFF2A5"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FIOL - Trecho I</w:t>
            </w:r>
          </w:p>
        </w:tc>
        <w:tc>
          <w:tcPr>
            <w:tcW w:w="1418" w:type="dxa"/>
            <w:tcBorders>
              <w:top w:val="nil"/>
              <w:left w:val="nil"/>
              <w:bottom w:val="nil"/>
              <w:right w:val="nil"/>
            </w:tcBorders>
            <w:shd w:val="clear" w:color="auto" w:fill="auto"/>
            <w:noWrap/>
            <w:vAlign w:val="center"/>
            <w:hideMark/>
          </w:tcPr>
          <w:p w14:paraId="29FC96E2"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3.498.893.434 </w:t>
            </w:r>
          </w:p>
        </w:tc>
        <w:tc>
          <w:tcPr>
            <w:tcW w:w="1237" w:type="dxa"/>
            <w:tcBorders>
              <w:top w:val="nil"/>
              <w:left w:val="nil"/>
              <w:bottom w:val="nil"/>
              <w:right w:val="nil"/>
            </w:tcBorders>
            <w:shd w:val="clear" w:color="auto" w:fill="auto"/>
            <w:noWrap/>
            <w:vAlign w:val="center"/>
            <w:hideMark/>
          </w:tcPr>
          <w:p w14:paraId="5A352801"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444C8847"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4714E46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78C4B9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3.498.893.434 </w:t>
            </w:r>
          </w:p>
        </w:tc>
        <w:tc>
          <w:tcPr>
            <w:tcW w:w="743" w:type="dxa"/>
            <w:tcBorders>
              <w:top w:val="nil"/>
              <w:left w:val="nil"/>
              <w:bottom w:val="nil"/>
              <w:right w:val="nil"/>
            </w:tcBorders>
            <w:shd w:val="clear" w:color="auto" w:fill="auto"/>
            <w:noWrap/>
            <w:vAlign w:val="bottom"/>
            <w:hideMark/>
          </w:tcPr>
          <w:p w14:paraId="2C3CD4D2" w14:textId="77777777" w:rsidR="00C9554B" w:rsidRDefault="00C9554B">
            <w:pPr>
              <w:jc w:val="right"/>
              <w:rPr>
                <w:rFonts w:ascii="Calibri" w:hAnsi="Calibri" w:cs="Calibri"/>
                <w:color w:val="000000"/>
                <w:sz w:val="16"/>
                <w:szCs w:val="16"/>
              </w:rPr>
            </w:pPr>
          </w:p>
        </w:tc>
      </w:tr>
      <w:tr w:rsidR="00C9554B" w14:paraId="6CFBD4B0" w14:textId="77777777" w:rsidTr="00C9554B">
        <w:trPr>
          <w:trHeight w:val="300"/>
        </w:trPr>
        <w:tc>
          <w:tcPr>
            <w:tcW w:w="3261" w:type="dxa"/>
            <w:tcBorders>
              <w:top w:val="nil"/>
              <w:left w:val="nil"/>
              <w:bottom w:val="nil"/>
              <w:right w:val="nil"/>
            </w:tcBorders>
            <w:shd w:val="clear" w:color="auto" w:fill="auto"/>
            <w:noWrap/>
            <w:vAlign w:val="center"/>
            <w:hideMark/>
          </w:tcPr>
          <w:p w14:paraId="5BFA800D"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418" w:type="dxa"/>
            <w:tcBorders>
              <w:top w:val="nil"/>
              <w:left w:val="nil"/>
              <w:bottom w:val="nil"/>
              <w:right w:val="nil"/>
            </w:tcBorders>
            <w:shd w:val="clear" w:color="auto" w:fill="auto"/>
            <w:noWrap/>
            <w:vAlign w:val="center"/>
            <w:hideMark/>
          </w:tcPr>
          <w:p w14:paraId="340F557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9.009.461 </w:t>
            </w:r>
          </w:p>
        </w:tc>
        <w:tc>
          <w:tcPr>
            <w:tcW w:w="1237" w:type="dxa"/>
            <w:tcBorders>
              <w:top w:val="nil"/>
              <w:left w:val="nil"/>
              <w:bottom w:val="nil"/>
              <w:right w:val="nil"/>
            </w:tcBorders>
            <w:shd w:val="clear" w:color="auto" w:fill="auto"/>
            <w:noWrap/>
            <w:vAlign w:val="center"/>
            <w:hideMark/>
          </w:tcPr>
          <w:p w14:paraId="4B4F1298"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338932E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3173828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3763DD2C"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9.009.461 </w:t>
            </w:r>
          </w:p>
        </w:tc>
        <w:tc>
          <w:tcPr>
            <w:tcW w:w="743" w:type="dxa"/>
            <w:tcBorders>
              <w:top w:val="nil"/>
              <w:left w:val="nil"/>
              <w:bottom w:val="nil"/>
              <w:right w:val="nil"/>
            </w:tcBorders>
            <w:shd w:val="clear" w:color="auto" w:fill="auto"/>
            <w:noWrap/>
            <w:vAlign w:val="center"/>
            <w:hideMark/>
          </w:tcPr>
          <w:p w14:paraId="0D28B03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5 a 30</w:t>
            </w:r>
          </w:p>
        </w:tc>
      </w:tr>
      <w:tr w:rsidR="00C9554B" w14:paraId="0EADB909" w14:textId="77777777" w:rsidTr="00C9554B">
        <w:trPr>
          <w:trHeight w:val="75"/>
        </w:trPr>
        <w:tc>
          <w:tcPr>
            <w:tcW w:w="3261" w:type="dxa"/>
            <w:tcBorders>
              <w:top w:val="nil"/>
              <w:left w:val="nil"/>
              <w:bottom w:val="nil"/>
              <w:right w:val="nil"/>
            </w:tcBorders>
            <w:shd w:val="clear" w:color="auto" w:fill="auto"/>
            <w:noWrap/>
            <w:vAlign w:val="bottom"/>
            <w:hideMark/>
          </w:tcPr>
          <w:p w14:paraId="141B4712" w14:textId="77777777" w:rsidR="00C9554B" w:rsidRDefault="00C9554B">
            <w:pPr>
              <w:jc w:val="right"/>
              <w:rPr>
                <w:rFonts w:ascii="Calibri" w:hAnsi="Calibri" w:cs="Calibri"/>
                <w:color w:val="000000"/>
                <w:sz w:val="16"/>
                <w:szCs w:val="16"/>
              </w:rPr>
            </w:pPr>
          </w:p>
        </w:tc>
        <w:tc>
          <w:tcPr>
            <w:tcW w:w="1418" w:type="dxa"/>
            <w:tcBorders>
              <w:top w:val="nil"/>
              <w:left w:val="nil"/>
              <w:bottom w:val="nil"/>
              <w:right w:val="nil"/>
            </w:tcBorders>
            <w:shd w:val="clear" w:color="auto" w:fill="auto"/>
            <w:noWrap/>
            <w:vAlign w:val="bottom"/>
            <w:hideMark/>
          </w:tcPr>
          <w:p w14:paraId="75823D00" w14:textId="77777777" w:rsidR="00C9554B" w:rsidRDefault="00C9554B">
            <w:pPr>
              <w:rPr>
                <w:sz w:val="20"/>
                <w:szCs w:val="20"/>
              </w:rPr>
            </w:pPr>
          </w:p>
        </w:tc>
        <w:tc>
          <w:tcPr>
            <w:tcW w:w="1237" w:type="dxa"/>
            <w:tcBorders>
              <w:top w:val="nil"/>
              <w:left w:val="nil"/>
              <w:bottom w:val="nil"/>
              <w:right w:val="nil"/>
            </w:tcBorders>
            <w:shd w:val="clear" w:color="auto" w:fill="auto"/>
            <w:noWrap/>
            <w:vAlign w:val="bottom"/>
            <w:hideMark/>
          </w:tcPr>
          <w:p w14:paraId="206B236F" w14:textId="77777777" w:rsidR="00C9554B" w:rsidRDefault="00C9554B">
            <w:pPr>
              <w:rPr>
                <w:sz w:val="20"/>
                <w:szCs w:val="20"/>
              </w:rPr>
            </w:pPr>
          </w:p>
        </w:tc>
        <w:tc>
          <w:tcPr>
            <w:tcW w:w="1128" w:type="dxa"/>
            <w:tcBorders>
              <w:top w:val="nil"/>
              <w:left w:val="nil"/>
              <w:bottom w:val="nil"/>
              <w:right w:val="nil"/>
            </w:tcBorders>
            <w:shd w:val="clear" w:color="auto" w:fill="auto"/>
            <w:noWrap/>
            <w:vAlign w:val="bottom"/>
            <w:hideMark/>
          </w:tcPr>
          <w:p w14:paraId="493B2BAC" w14:textId="77777777" w:rsidR="00C9554B" w:rsidRDefault="00C9554B">
            <w:pPr>
              <w:rPr>
                <w:sz w:val="20"/>
                <w:szCs w:val="20"/>
              </w:rPr>
            </w:pPr>
          </w:p>
        </w:tc>
        <w:tc>
          <w:tcPr>
            <w:tcW w:w="1359" w:type="dxa"/>
            <w:tcBorders>
              <w:top w:val="nil"/>
              <w:left w:val="nil"/>
              <w:bottom w:val="nil"/>
              <w:right w:val="nil"/>
            </w:tcBorders>
            <w:shd w:val="clear" w:color="auto" w:fill="auto"/>
            <w:noWrap/>
            <w:vAlign w:val="bottom"/>
            <w:hideMark/>
          </w:tcPr>
          <w:p w14:paraId="7E0730DC" w14:textId="77777777" w:rsidR="00C9554B" w:rsidRDefault="00C9554B">
            <w:pPr>
              <w:rPr>
                <w:sz w:val="20"/>
                <w:szCs w:val="20"/>
              </w:rPr>
            </w:pPr>
          </w:p>
        </w:tc>
        <w:tc>
          <w:tcPr>
            <w:tcW w:w="1490" w:type="dxa"/>
            <w:tcBorders>
              <w:top w:val="nil"/>
              <w:left w:val="nil"/>
              <w:bottom w:val="nil"/>
              <w:right w:val="nil"/>
            </w:tcBorders>
            <w:shd w:val="clear" w:color="auto" w:fill="auto"/>
            <w:noWrap/>
            <w:vAlign w:val="bottom"/>
            <w:hideMark/>
          </w:tcPr>
          <w:p w14:paraId="74EA5DC8" w14:textId="77777777" w:rsidR="00C9554B" w:rsidRDefault="00C9554B">
            <w:pPr>
              <w:rPr>
                <w:sz w:val="20"/>
                <w:szCs w:val="20"/>
              </w:rPr>
            </w:pPr>
          </w:p>
        </w:tc>
        <w:tc>
          <w:tcPr>
            <w:tcW w:w="743" w:type="dxa"/>
            <w:tcBorders>
              <w:top w:val="nil"/>
              <w:left w:val="nil"/>
              <w:bottom w:val="nil"/>
              <w:right w:val="nil"/>
            </w:tcBorders>
            <w:shd w:val="clear" w:color="auto" w:fill="auto"/>
            <w:noWrap/>
            <w:vAlign w:val="bottom"/>
            <w:hideMark/>
          </w:tcPr>
          <w:p w14:paraId="5E1CB738" w14:textId="77777777" w:rsidR="00C9554B" w:rsidRDefault="00C9554B">
            <w:pPr>
              <w:rPr>
                <w:sz w:val="20"/>
                <w:szCs w:val="20"/>
              </w:rPr>
            </w:pPr>
          </w:p>
        </w:tc>
      </w:tr>
      <w:tr w:rsidR="00C9554B" w14:paraId="1F29178A" w14:textId="77777777" w:rsidTr="00C9554B">
        <w:trPr>
          <w:trHeight w:val="315"/>
        </w:trPr>
        <w:tc>
          <w:tcPr>
            <w:tcW w:w="3261" w:type="dxa"/>
            <w:tcBorders>
              <w:top w:val="single" w:sz="8" w:space="0" w:color="auto"/>
              <w:left w:val="nil"/>
              <w:bottom w:val="single" w:sz="8" w:space="0" w:color="auto"/>
              <w:right w:val="nil"/>
            </w:tcBorders>
            <w:shd w:val="clear" w:color="auto" w:fill="auto"/>
            <w:noWrap/>
            <w:vAlign w:val="center"/>
            <w:hideMark/>
          </w:tcPr>
          <w:p w14:paraId="39A05201"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Total Bens Imóveis (2)</w:t>
            </w:r>
          </w:p>
        </w:tc>
        <w:tc>
          <w:tcPr>
            <w:tcW w:w="1418" w:type="dxa"/>
            <w:tcBorders>
              <w:top w:val="single" w:sz="8" w:space="0" w:color="auto"/>
              <w:left w:val="nil"/>
              <w:bottom w:val="single" w:sz="8" w:space="0" w:color="auto"/>
              <w:right w:val="nil"/>
            </w:tcBorders>
            <w:shd w:val="clear" w:color="auto" w:fill="auto"/>
            <w:noWrap/>
            <w:vAlign w:val="center"/>
            <w:hideMark/>
          </w:tcPr>
          <w:p w14:paraId="5676D1FE"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18.756.132.691 </w:t>
            </w:r>
          </w:p>
        </w:tc>
        <w:tc>
          <w:tcPr>
            <w:tcW w:w="1237" w:type="dxa"/>
            <w:tcBorders>
              <w:top w:val="single" w:sz="8" w:space="0" w:color="auto"/>
              <w:left w:val="nil"/>
              <w:bottom w:val="single" w:sz="8" w:space="0" w:color="auto"/>
              <w:right w:val="nil"/>
            </w:tcBorders>
            <w:shd w:val="clear" w:color="auto" w:fill="auto"/>
            <w:noWrap/>
            <w:vAlign w:val="center"/>
            <w:hideMark/>
          </w:tcPr>
          <w:p w14:paraId="2762F11D"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467.887.784 </w:t>
            </w:r>
          </w:p>
        </w:tc>
        <w:tc>
          <w:tcPr>
            <w:tcW w:w="1128" w:type="dxa"/>
            <w:tcBorders>
              <w:top w:val="single" w:sz="8" w:space="0" w:color="auto"/>
              <w:left w:val="nil"/>
              <w:bottom w:val="single" w:sz="8" w:space="0" w:color="auto"/>
              <w:right w:val="nil"/>
            </w:tcBorders>
            <w:shd w:val="clear" w:color="auto" w:fill="auto"/>
            <w:noWrap/>
            <w:vAlign w:val="center"/>
            <w:hideMark/>
          </w:tcPr>
          <w:p w14:paraId="19C8B855"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(687.754)</w:t>
            </w:r>
          </w:p>
        </w:tc>
        <w:tc>
          <w:tcPr>
            <w:tcW w:w="1359" w:type="dxa"/>
            <w:tcBorders>
              <w:top w:val="single" w:sz="8" w:space="0" w:color="auto"/>
              <w:left w:val="nil"/>
              <w:bottom w:val="single" w:sz="8" w:space="0" w:color="auto"/>
              <w:right w:val="nil"/>
            </w:tcBorders>
            <w:shd w:val="clear" w:color="auto" w:fill="auto"/>
            <w:noWrap/>
            <w:vAlign w:val="center"/>
            <w:hideMark/>
          </w:tcPr>
          <w:p w14:paraId="445463B4"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(484.735)</w:t>
            </w:r>
          </w:p>
        </w:tc>
        <w:tc>
          <w:tcPr>
            <w:tcW w:w="1490" w:type="dxa"/>
            <w:tcBorders>
              <w:top w:val="single" w:sz="8" w:space="0" w:color="auto"/>
              <w:left w:val="nil"/>
              <w:bottom w:val="single" w:sz="8" w:space="0" w:color="auto"/>
              <w:right w:val="nil"/>
            </w:tcBorders>
            <w:shd w:val="clear" w:color="auto" w:fill="auto"/>
            <w:noWrap/>
            <w:vAlign w:val="center"/>
            <w:hideMark/>
          </w:tcPr>
          <w:p w14:paraId="7481CD86"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19.222.847.985 </w:t>
            </w:r>
          </w:p>
        </w:tc>
        <w:tc>
          <w:tcPr>
            <w:tcW w:w="743" w:type="dxa"/>
            <w:tcBorders>
              <w:top w:val="single" w:sz="8" w:space="0" w:color="auto"/>
              <w:left w:val="nil"/>
              <w:bottom w:val="single" w:sz="8" w:space="0" w:color="auto"/>
              <w:right w:val="nil"/>
            </w:tcBorders>
            <w:shd w:val="clear" w:color="auto" w:fill="auto"/>
            <w:noWrap/>
            <w:vAlign w:val="center"/>
            <w:hideMark/>
          </w:tcPr>
          <w:p w14:paraId="32B6856B"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w:t>
            </w:r>
          </w:p>
        </w:tc>
      </w:tr>
      <w:tr w:rsidR="00C9554B" w14:paraId="09BC65D9" w14:textId="77777777" w:rsidTr="00C9554B">
        <w:trPr>
          <w:trHeight w:val="195"/>
        </w:trPr>
        <w:tc>
          <w:tcPr>
            <w:tcW w:w="3261" w:type="dxa"/>
            <w:tcBorders>
              <w:top w:val="nil"/>
              <w:left w:val="nil"/>
              <w:bottom w:val="nil"/>
              <w:right w:val="nil"/>
            </w:tcBorders>
            <w:shd w:val="clear" w:color="auto" w:fill="auto"/>
            <w:noWrap/>
            <w:vAlign w:val="bottom"/>
            <w:hideMark/>
          </w:tcPr>
          <w:p w14:paraId="0678CF6B" w14:textId="77777777" w:rsidR="00C9554B" w:rsidRDefault="00C9554B">
            <w:pPr>
              <w:jc w:val="right"/>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63B9FDE2" w14:textId="77777777" w:rsidR="00C9554B" w:rsidRDefault="00C9554B">
            <w:pPr>
              <w:rPr>
                <w:sz w:val="20"/>
                <w:szCs w:val="20"/>
              </w:rPr>
            </w:pPr>
          </w:p>
        </w:tc>
        <w:tc>
          <w:tcPr>
            <w:tcW w:w="1237" w:type="dxa"/>
            <w:tcBorders>
              <w:top w:val="nil"/>
              <w:left w:val="nil"/>
              <w:bottom w:val="nil"/>
              <w:right w:val="nil"/>
            </w:tcBorders>
            <w:shd w:val="clear" w:color="auto" w:fill="auto"/>
            <w:noWrap/>
            <w:vAlign w:val="bottom"/>
            <w:hideMark/>
          </w:tcPr>
          <w:p w14:paraId="714DA1E9" w14:textId="77777777" w:rsidR="00C9554B" w:rsidRDefault="00C9554B">
            <w:pPr>
              <w:rPr>
                <w:sz w:val="20"/>
                <w:szCs w:val="20"/>
              </w:rPr>
            </w:pPr>
          </w:p>
        </w:tc>
        <w:tc>
          <w:tcPr>
            <w:tcW w:w="1128" w:type="dxa"/>
            <w:tcBorders>
              <w:top w:val="nil"/>
              <w:left w:val="nil"/>
              <w:bottom w:val="nil"/>
              <w:right w:val="nil"/>
            </w:tcBorders>
            <w:shd w:val="clear" w:color="auto" w:fill="auto"/>
            <w:noWrap/>
            <w:vAlign w:val="bottom"/>
            <w:hideMark/>
          </w:tcPr>
          <w:p w14:paraId="4A496D8B" w14:textId="77777777" w:rsidR="00C9554B" w:rsidRDefault="00C9554B">
            <w:pPr>
              <w:rPr>
                <w:sz w:val="20"/>
                <w:szCs w:val="20"/>
              </w:rPr>
            </w:pPr>
          </w:p>
        </w:tc>
        <w:tc>
          <w:tcPr>
            <w:tcW w:w="1359" w:type="dxa"/>
            <w:tcBorders>
              <w:top w:val="nil"/>
              <w:left w:val="nil"/>
              <w:bottom w:val="nil"/>
              <w:right w:val="nil"/>
            </w:tcBorders>
            <w:shd w:val="clear" w:color="auto" w:fill="auto"/>
            <w:noWrap/>
            <w:vAlign w:val="bottom"/>
            <w:hideMark/>
          </w:tcPr>
          <w:p w14:paraId="7DFC37BF" w14:textId="77777777" w:rsidR="00C9554B" w:rsidRDefault="00C9554B">
            <w:pPr>
              <w:rPr>
                <w:sz w:val="20"/>
                <w:szCs w:val="20"/>
              </w:rPr>
            </w:pPr>
          </w:p>
        </w:tc>
        <w:tc>
          <w:tcPr>
            <w:tcW w:w="1490" w:type="dxa"/>
            <w:tcBorders>
              <w:top w:val="nil"/>
              <w:left w:val="nil"/>
              <w:bottom w:val="nil"/>
              <w:right w:val="nil"/>
            </w:tcBorders>
            <w:shd w:val="clear" w:color="auto" w:fill="auto"/>
            <w:noWrap/>
            <w:vAlign w:val="bottom"/>
            <w:hideMark/>
          </w:tcPr>
          <w:p w14:paraId="4FF39AD0" w14:textId="77777777" w:rsidR="00C9554B" w:rsidRDefault="00C9554B">
            <w:pPr>
              <w:rPr>
                <w:sz w:val="20"/>
                <w:szCs w:val="20"/>
              </w:rPr>
            </w:pPr>
          </w:p>
        </w:tc>
        <w:tc>
          <w:tcPr>
            <w:tcW w:w="743" w:type="dxa"/>
            <w:tcBorders>
              <w:top w:val="nil"/>
              <w:left w:val="nil"/>
              <w:bottom w:val="nil"/>
              <w:right w:val="nil"/>
            </w:tcBorders>
            <w:shd w:val="clear" w:color="auto" w:fill="auto"/>
            <w:noWrap/>
            <w:vAlign w:val="bottom"/>
            <w:hideMark/>
          </w:tcPr>
          <w:p w14:paraId="4F87044A" w14:textId="77777777" w:rsidR="00C9554B" w:rsidRDefault="00C9554B">
            <w:pPr>
              <w:rPr>
                <w:sz w:val="20"/>
                <w:szCs w:val="20"/>
              </w:rPr>
            </w:pPr>
          </w:p>
        </w:tc>
      </w:tr>
      <w:tr w:rsidR="00C9554B" w14:paraId="5B44ABBD" w14:textId="77777777" w:rsidTr="00C9554B">
        <w:trPr>
          <w:trHeight w:val="450"/>
        </w:trPr>
        <w:tc>
          <w:tcPr>
            <w:tcW w:w="3261" w:type="dxa"/>
            <w:tcBorders>
              <w:top w:val="nil"/>
              <w:left w:val="nil"/>
              <w:bottom w:val="single" w:sz="8" w:space="0" w:color="auto"/>
              <w:right w:val="nil"/>
            </w:tcBorders>
            <w:shd w:val="clear" w:color="auto" w:fill="auto"/>
            <w:vAlign w:val="center"/>
            <w:hideMark/>
          </w:tcPr>
          <w:p w14:paraId="1B9BFCF1"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DIREITO DE USO</w:t>
            </w:r>
          </w:p>
        </w:tc>
        <w:tc>
          <w:tcPr>
            <w:tcW w:w="1418" w:type="dxa"/>
            <w:tcBorders>
              <w:top w:val="nil"/>
              <w:left w:val="nil"/>
              <w:bottom w:val="single" w:sz="8" w:space="0" w:color="auto"/>
              <w:right w:val="nil"/>
            </w:tcBorders>
            <w:shd w:val="clear" w:color="auto" w:fill="auto"/>
            <w:vAlign w:val="center"/>
            <w:hideMark/>
          </w:tcPr>
          <w:p w14:paraId="4A436B7D"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1237" w:type="dxa"/>
            <w:tcBorders>
              <w:top w:val="nil"/>
              <w:left w:val="nil"/>
              <w:bottom w:val="single" w:sz="8" w:space="0" w:color="auto"/>
              <w:right w:val="nil"/>
            </w:tcBorders>
            <w:shd w:val="clear" w:color="auto" w:fill="auto"/>
            <w:vAlign w:val="center"/>
            <w:hideMark/>
          </w:tcPr>
          <w:p w14:paraId="177F6E42"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28" w:type="dxa"/>
            <w:tcBorders>
              <w:top w:val="nil"/>
              <w:left w:val="nil"/>
              <w:bottom w:val="single" w:sz="8" w:space="0" w:color="auto"/>
              <w:right w:val="nil"/>
            </w:tcBorders>
            <w:shd w:val="clear" w:color="auto" w:fill="auto"/>
            <w:vAlign w:val="center"/>
            <w:hideMark/>
          </w:tcPr>
          <w:p w14:paraId="0EB59745"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BAIXAS / PAGAMENTOS</w:t>
            </w:r>
          </w:p>
        </w:tc>
        <w:tc>
          <w:tcPr>
            <w:tcW w:w="1359" w:type="dxa"/>
            <w:tcBorders>
              <w:top w:val="nil"/>
              <w:left w:val="nil"/>
              <w:bottom w:val="single" w:sz="8" w:space="0" w:color="auto"/>
              <w:right w:val="nil"/>
            </w:tcBorders>
            <w:shd w:val="clear" w:color="auto" w:fill="auto"/>
            <w:vAlign w:val="center"/>
            <w:hideMark/>
          </w:tcPr>
          <w:p w14:paraId="6778FBDE"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AJUSTES/ AJUSTES VP</w:t>
            </w:r>
          </w:p>
        </w:tc>
        <w:tc>
          <w:tcPr>
            <w:tcW w:w="1490" w:type="dxa"/>
            <w:tcBorders>
              <w:top w:val="nil"/>
              <w:left w:val="nil"/>
              <w:bottom w:val="single" w:sz="8" w:space="0" w:color="auto"/>
              <w:right w:val="nil"/>
            </w:tcBorders>
            <w:shd w:val="clear" w:color="auto" w:fill="auto"/>
            <w:vAlign w:val="center"/>
            <w:hideMark/>
          </w:tcPr>
          <w:p w14:paraId="276370A1"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SALDO EM 30/09/2022</w:t>
            </w:r>
          </w:p>
        </w:tc>
        <w:tc>
          <w:tcPr>
            <w:tcW w:w="743" w:type="dxa"/>
            <w:tcBorders>
              <w:top w:val="nil"/>
              <w:left w:val="nil"/>
              <w:bottom w:val="single" w:sz="8" w:space="0" w:color="auto"/>
              <w:right w:val="nil"/>
            </w:tcBorders>
            <w:shd w:val="clear" w:color="auto" w:fill="auto"/>
            <w:vAlign w:val="center"/>
            <w:hideMark/>
          </w:tcPr>
          <w:p w14:paraId="2CE4A96E"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w:t>
            </w:r>
          </w:p>
        </w:tc>
      </w:tr>
      <w:tr w:rsidR="00C9554B" w14:paraId="7535D57C" w14:textId="77777777" w:rsidTr="00C9554B">
        <w:trPr>
          <w:trHeight w:val="300"/>
        </w:trPr>
        <w:tc>
          <w:tcPr>
            <w:tcW w:w="3261" w:type="dxa"/>
            <w:tcBorders>
              <w:top w:val="nil"/>
              <w:left w:val="nil"/>
              <w:bottom w:val="nil"/>
              <w:right w:val="nil"/>
            </w:tcBorders>
            <w:shd w:val="clear" w:color="auto" w:fill="auto"/>
            <w:noWrap/>
            <w:vAlign w:val="center"/>
            <w:hideMark/>
          </w:tcPr>
          <w:p w14:paraId="747D5623"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Direito de Uso de Veículos</w:t>
            </w:r>
          </w:p>
        </w:tc>
        <w:tc>
          <w:tcPr>
            <w:tcW w:w="1418" w:type="dxa"/>
            <w:tcBorders>
              <w:top w:val="nil"/>
              <w:left w:val="nil"/>
              <w:bottom w:val="nil"/>
              <w:right w:val="nil"/>
            </w:tcBorders>
            <w:shd w:val="clear" w:color="auto" w:fill="auto"/>
            <w:noWrap/>
            <w:vAlign w:val="center"/>
            <w:hideMark/>
          </w:tcPr>
          <w:p w14:paraId="075E6CD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2.700.800 </w:t>
            </w:r>
          </w:p>
        </w:tc>
        <w:tc>
          <w:tcPr>
            <w:tcW w:w="1237" w:type="dxa"/>
            <w:tcBorders>
              <w:top w:val="nil"/>
              <w:left w:val="nil"/>
              <w:bottom w:val="nil"/>
              <w:right w:val="nil"/>
            </w:tcBorders>
            <w:shd w:val="clear" w:color="auto" w:fill="auto"/>
            <w:noWrap/>
            <w:vAlign w:val="center"/>
            <w:hideMark/>
          </w:tcPr>
          <w:p w14:paraId="4C8110D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2.387.514 </w:t>
            </w:r>
          </w:p>
        </w:tc>
        <w:tc>
          <w:tcPr>
            <w:tcW w:w="1128" w:type="dxa"/>
            <w:tcBorders>
              <w:top w:val="nil"/>
              <w:left w:val="nil"/>
              <w:bottom w:val="nil"/>
              <w:right w:val="nil"/>
            </w:tcBorders>
            <w:shd w:val="clear" w:color="auto" w:fill="auto"/>
            <w:noWrap/>
            <w:vAlign w:val="center"/>
            <w:hideMark/>
          </w:tcPr>
          <w:p w14:paraId="0E7031E5" w14:textId="78A212DA"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(2.700.800)</w:t>
            </w:r>
          </w:p>
        </w:tc>
        <w:tc>
          <w:tcPr>
            <w:tcW w:w="1359" w:type="dxa"/>
            <w:tcBorders>
              <w:top w:val="nil"/>
              <w:left w:val="nil"/>
              <w:bottom w:val="nil"/>
              <w:right w:val="nil"/>
            </w:tcBorders>
            <w:shd w:val="clear" w:color="auto" w:fill="auto"/>
            <w:noWrap/>
            <w:vAlign w:val="center"/>
            <w:hideMark/>
          </w:tcPr>
          <w:p w14:paraId="0136E89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(2.387.514)</w:t>
            </w:r>
          </w:p>
        </w:tc>
        <w:tc>
          <w:tcPr>
            <w:tcW w:w="1490" w:type="dxa"/>
            <w:tcBorders>
              <w:top w:val="nil"/>
              <w:left w:val="nil"/>
              <w:bottom w:val="nil"/>
              <w:right w:val="nil"/>
            </w:tcBorders>
            <w:shd w:val="clear" w:color="auto" w:fill="auto"/>
            <w:noWrap/>
            <w:vAlign w:val="center"/>
            <w:hideMark/>
          </w:tcPr>
          <w:p w14:paraId="3285F738"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743" w:type="dxa"/>
            <w:tcBorders>
              <w:top w:val="nil"/>
              <w:left w:val="nil"/>
              <w:bottom w:val="nil"/>
              <w:right w:val="nil"/>
            </w:tcBorders>
            <w:shd w:val="clear" w:color="auto" w:fill="auto"/>
            <w:noWrap/>
            <w:vAlign w:val="center"/>
            <w:hideMark/>
          </w:tcPr>
          <w:p w14:paraId="5869FDAE"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w:t>
            </w:r>
          </w:p>
        </w:tc>
      </w:tr>
      <w:tr w:rsidR="00C9554B" w14:paraId="72C5C8A7" w14:textId="77777777" w:rsidTr="00C9554B">
        <w:trPr>
          <w:trHeight w:val="300"/>
        </w:trPr>
        <w:tc>
          <w:tcPr>
            <w:tcW w:w="3261" w:type="dxa"/>
            <w:tcBorders>
              <w:top w:val="nil"/>
              <w:left w:val="nil"/>
              <w:bottom w:val="nil"/>
              <w:right w:val="nil"/>
            </w:tcBorders>
            <w:shd w:val="clear" w:color="auto" w:fill="auto"/>
            <w:noWrap/>
            <w:vAlign w:val="center"/>
            <w:hideMark/>
          </w:tcPr>
          <w:p w14:paraId="2D4BF354"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Direito de Uso de Imóveis</w:t>
            </w:r>
          </w:p>
        </w:tc>
        <w:tc>
          <w:tcPr>
            <w:tcW w:w="1418" w:type="dxa"/>
            <w:tcBorders>
              <w:top w:val="nil"/>
              <w:left w:val="nil"/>
              <w:bottom w:val="nil"/>
              <w:right w:val="nil"/>
            </w:tcBorders>
            <w:shd w:val="clear" w:color="auto" w:fill="auto"/>
            <w:noWrap/>
            <w:vAlign w:val="center"/>
            <w:hideMark/>
          </w:tcPr>
          <w:p w14:paraId="55C2ABF7"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54.506.527 </w:t>
            </w:r>
          </w:p>
        </w:tc>
        <w:tc>
          <w:tcPr>
            <w:tcW w:w="1237" w:type="dxa"/>
            <w:tcBorders>
              <w:top w:val="nil"/>
              <w:left w:val="nil"/>
              <w:bottom w:val="nil"/>
              <w:right w:val="nil"/>
            </w:tcBorders>
            <w:shd w:val="clear" w:color="auto" w:fill="auto"/>
            <w:noWrap/>
            <w:vAlign w:val="center"/>
            <w:hideMark/>
          </w:tcPr>
          <w:p w14:paraId="284C036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11.141.936 </w:t>
            </w:r>
          </w:p>
        </w:tc>
        <w:tc>
          <w:tcPr>
            <w:tcW w:w="1128" w:type="dxa"/>
            <w:tcBorders>
              <w:top w:val="nil"/>
              <w:left w:val="nil"/>
              <w:bottom w:val="nil"/>
              <w:right w:val="nil"/>
            </w:tcBorders>
            <w:shd w:val="clear" w:color="auto" w:fill="auto"/>
            <w:noWrap/>
            <w:vAlign w:val="center"/>
            <w:hideMark/>
          </w:tcPr>
          <w:p w14:paraId="072AD2F2" w14:textId="7CBA394A"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(2.417.585)</w:t>
            </w:r>
          </w:p>
        </w:tc>
        <w:tc>
          <w:tcPr>
            <w:tcW w:w="1359" w:type="dxa"/>
            <w:tcBorders>
              <w:top w:val="nil"/>
              <w:left w:val="nil"/>
              <w:bottom w:val="nil"/>
              <w:right w:val="nil"/>
            </w:tcBorders>
            <w:shd w:val="clear" w:color="auto" w:fill="auto"/>
            <w:noWrap/>
            <w:vAlign w:val="center"/>
            <w:hideMark/>
          </w:tcPr>
          <w:p w14:paraId="10EB498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(39.158.621)</w:t>
            </w:r>
          </w:p>
        </w:tc>
        <w:tc>
          <w:tcPr>
            <w:tcW w:w="1490" w:type="dxa"/>
            <w:tcBorders>
              <w:top w:val="nil"/>
              <w:left w:val="nil"/>
              <w:bottom w:val="nil"/>
              <w:right w:val="nil"/>
            </w:tcBorders>
            <w:shd w:val="clear" w:color="auto" w:fill="auto"/>
            <w:noWrap/>
            <w:vAlign w:val="center"/>
            <w:hideMark/>
          </w:tcPr>
          <w:p w14:paraId="2D71BCE8"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24.072.257 </w:t>
            </w:r>
          </w:p>
        </w:tc>
        <w:tc>
          <w:tcPr>
            <w:tcW w:w="743" w:type="dxa"/>
            <w:tcBorders>
              <w:top w:val="nil"/>
              <w:left w:val="nil"/>
              <w:bottom w:val="nil"/>
              <w:right w:val="nil"/>
            </w:tcBorders>
            <w:shd w:val="clear" w:color="auto" w:fill="auto"/>
            <w:noWrap/>
            <w:vAlign w:val="center"/>
            <w:hideMark/>
          </w:tcPr>
          <w:p w14:paraId="7F68CE78"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10</w:t>
            </w:r>
          </w:p>
        </w:tc>
      </w:tr>
      <w:tr w:rsidR="00C9554B" w14:paraId="44D5798F" w14:textId="77777777" w:rsidTr="00C9554B">
        <w:trPr>
          <w:trHeight w:val="315"/>
        </w:trPr>
        <w:tc>
          <w:tcPr>
            <w:tcW w:w="3261" w:type="dxa"/>
            <w:tcBorders>
              <w:top w:val="single" w:sz="8" w:space="0" w:color="auto"/>
              <w:left w:val="nil"/>
              <w:bottom w:val="single" w:sz="8" w:space="0" w:color="auto"/>
              <w:right w:val="nil"/>
            </w:tcBorders>
            <w:shd w:val="clear" w:color="auto" w:fill="auto"/>
            <w:noWrap/>
            <w:vAlign w:val="center"/>
            <w:hideMark/>
          </w:tcPr>
          <w:p w14:paraId="28AFA0A3"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Total Direito de Uso (3)</w:t>
            </w:r>
          </w:p>
        </w:tc>
        <w:tc>
          <w:tcPr>
            <w:tcW w:w="1418" w:type="dxa"/>
            <w:tcBorders>
              <w:top w:val="single" w:sz="8" w:space="0" w:color="auto"/>
              <w:left w:val="nil"/>
              <w:bottom w:val="single" w:sz="8" w:space="0" w:color="auto"/>
              <w:right w:val="nil"/>
            </w:tcBorders>
            <w:shd w:val="clear" w:color="auto" w:fill="auto"/>
            <w:noWrap/>
            <w:vAlign w:val="center"/>
            <w:hideMark/>
          </w:tcPr>
          <w:p w14:paraId="74B24B54"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57.207.327 </w:t>
            </w:r>
          </w:p>
        </w:tc>
        <w:tc>
          <w:tcPr>
            <w:tcW w:w="1237" w:type="dxa"/>
            <w:tcBorders>
              <w:top w:val="single" w:sz="8" w:space="0" w:color="auto"/>
              <w:left w:val="nil"/>
              <w:bottom w:val="single" w:sz="8" w:space="0" w:color="auto"/>
              <w:right w:val="nil"/>
            </w:tcBorders>
            <w:shd w:val="clear" w:color="auto" w:fill="auto"/>
            <w:noWrap/>
            <w:vAlign w:val="center"/>
            <w:hideMark/>
          </w:tcPr>
          <w:p w14:paraId="7700C59B"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13.529.450 </w:t>
            </w:r>
          </w:p>
        </w:tc>
        <w:tc>
          <w:tcPr>
            <w:tcW w:w="1128" w:type="dxa"/>
            <w:tcBorders>
              <w:top w:val="single" w:sz="8" w:space="0" w:color="auto"/>
              <w:left w:val="nil"/>
              <w:bottom w:val="single" w:sz="8" w:space="0" w:color="auto"/>
              <w:right w:val="nil"/>
            </w:tcBorders>
            <w:shd w:val="clear" w:color="auto" w:fill="auto"/>
            <w:noWrap/>
            <w:vAlign w:val="center"/>
            <w:hideMark/>
          </w:tcPr>
          <w:p w14:paraId="73A9C151" w14:textId="0F34D514"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(5.118.385)</w:t>
            </w:r>
          </w:p>
        </w:tc>
        <w:tc>
          <w:tcPr>
            <w:tcW w:w="1359" w:type="dxa"/>
            <w:tcBorders>
              <w:top w:val="single" w:sz="8" w:space="0" w:color="auto"/>
              <w:left w:val="nil"/>
              <w:bottom w:val="single" w:sz="8" w:space="0" w:color="auto"/>
              <w:right w:val="nil"/>
            </w:tcBorders>
            <w:shd w:val="clear" w:color="auto" w:fill="auto"/>
            <w:noWrap/>
            <w:vAlign w:val="center"/>
            <w:hideMark/>
          </w:tcPr>
          <w:p w14:paraId="526A43ED"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(41.546.135)</w:t>
            </w:r>
          </w:p>
        </w:tc>
        <w:tc>
          <w:tcPr>
            <w:tcW w:w="1490" w:type="dxa"/>
            <w:tcBorders>
              <w:top w:val="single" w:sz="8" w:space="0" w:color="auto"/>
              <w:left w:val="nil"/>
              <w:bottom w:val="single" w:sz="8" w:space="0" w:color="auto"/>
              <w:right w:val="nil"/>
            </w:tcBorders>
            <w:shd w:val="clear" w:color="auto" w:fill="auto"/>
            <w:noWrap/>
            <w:vAlign w:val="center"/>
            <w:hideMark/>
          </w:tcPr>
          <w:p w14:paraId="51BCAC8B"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24.072.257 </w:t>
            </w:r>
          </w:p>
        </w:tc>
        <w:tc>
          <w:tcPr>
            <w:tcW w:w="743" w:type="dxa"/>
            <w:tcBorders>
              <w:top w:val="single" w:sz="8" w:space="0" w:color="auto"/>
              <w:left w:val="nil"/>
              <w:bottom w:val="single" w:sz="8" w:space="0" w:color="auto"/>
              <w:right w:val="nil"/>
            </w:tcBorders>
            <w:shd w:val="clear" w:color="auto" w:fill="auto"/>
            <w:noWrap/>
            <w:vAlign w:val="center"/>
            <w:hideMark/>
          </w:tcPr>
          <w:p w14:paraId="4E343B58"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w:t>
            </w:r>
          </w:p>
        </w:tc>
      </w:tr>
      <w:tr w:rsidR="00C9554B" w14:paraId="68140F52" w14:textId="77777777" w:rsidTr="00C9554B">
        <w:trPr>
          <w:trHeight w:val="135"/>
        </w:trPr>
        <w:tc>
          <w:tcPr>
            <w:tcW w:w="3261" w:type="dxa"/>
            <w:tcBorders>
              <w:top w:val="nil"/>
              <w:left w:val="nil"/>
              <w:bottom w:val="nil"/>
              <w:right w:val="nil"/>
            </w:tcBorders>
            <w:shd w:val="clear" w:color="auto" w:fill="auto"/>
            <w:noWrap/>
            <w:vAlign w:val="bottom"/>
            <w:hideMark/>
          </w:tcPr>
          <w:p w14:paraId="4CA52D94" w14:textId="77777777" w:rsidR="00C9554B" w:rsidRDefault="00C9554B">
            <w:pPr>
              <w:jc w:val="right"/>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77D25D4E" w14:textId="77777777" w:rsidR="00C9554B" w:rsidRDefault="00C9554B">
            <w:pPr>
              <w:rPr>
                <w:sz w:val="20"/>
                <w:szCs w:val="20"/>
              </w:rPr>
            </w:pPr>
          </w:p>
        </w:tc>
        <w:tc>
          <w:tcPr>
            <w:tcW w:w="1237" w:type="dxa"/>
            <w:tcBorders>
              <w:top w:val="nil"/>
              <w:left w:val="nil"/>
              <w:bottom w:val="nil"/>
              <w:right w:val="nil"/>
            </w:tcBorders>
            <w:shd w:val="clear" w:color="auto" w:fill="auto"/>
            <w:noWrap/>
            <w:vAlign w:val="bottom"/>
            <w:hideMark/>
          </w:tcPr>
          <w:p w14:paraId="5C5271AB" w14:textId="77777777" w:rsidR="00C9554B" w:rsidRDefault="00C9554B">
            <w:pPr>
              <w:rPr>
                <w:sz w:val="20"/>
                <w:szCs w:val="20"/>
              </w:rPr>
            </w:pPr>
          </w:p>
        </w:tc>
        <w:tc>
          <w:tcPr>
            <w:tcW w:w="1128" w:type="dxa"/>
            <w:tcBorders>
              <w:top w:val="nil"/>
              <w:left w:val="nil"/>
              <w:bottom w:val="nil"/>
              <w:right w:val="nil"/>
            </w:tcBorders>
            <w:shd w:val="clear" w:color="auto" w:fill="auto"/>
            <w:noWrap/>
            <w:vAlign w:val="bottom"/>
            <w:hideMark/>
          </w:tcPr>
          <w:p w14:paraId="61DFA288" w14:textId="77777777" w:rsidR="00C9554B" w:rsidRDefault="00C9554B">
            <w:pPr>
              <w:rPr>
                <w:sz w:val="20"/>
                <w:szCs w:val="20"/>
              </w:rPr>
            </w:pPr>
          </w:p>
        </w:tc>
        <w:tc>
          <w:tcPr>
            <w:tcW w:w="1359" w:type="dxa"/>
            <w:tcBorders>
              <w:top w:val="nil"/>
              <w:left w:val="nil"/>
              <w:bottom w:val="nil"/>
              <w:right w:val="nil"/>
            </w:tcBorders>
            <w:shd w:val="clear" w:color="auto" w:fill="auto"/>
            <w:noWrap/>
            <w:vAlign w:val="bottom"/>
            <w:hideMark/>
          </w:tcPr>
          <w:p w14:paraId="5B6B2D72" w14:textId="77777777" w:rsidR="00C9554B" w:rsidRDefault="00C9554B">
            <w:pPr>
              <w:rPr>
                <w:sz w:val="20"/>
                <w:szCs w:val="20"/>
              </w:rPr>
            </w:pPr>
          </w:p>
        </w:tc>
        <w:tc>
          <w:tcPr>
            <w:tcW w:w="1490" w:type="dxa"/>
            <w:tcBorders>
              <w:top w:val="nil"/>
              <w:left w:val="nil"/>
              <w:bottom w:val="nil"/>
              <w:right w:val="nil"/>
            </w:tcBorders>
            <w:shd w:val="clear" w:color="auto" w:fill="auto"/>
            <w:noWrap/>
            <w:vAlign w:val="bottom"/>
            <w:hideMark/>
          </w:tcPr>
          <w:p w14:paraId="39BB59C9" w14:textId="77777777" w:rsidR="00C9554B" w:rsidRDefault="00C9554B">
            <w:pPr>
              <w:rPr>
                <w:sz w:val="20"/>
                <w:szCs w:val="20"/>
              </w:rPr>
            </w:pPr>
          </w:p>
        </w:tc>
        <w:tc>
          <w:tcPr>
            <w:tcW w:w="743" w:type="dxa"/>
            <w:tcBorders>
              <w:top w:val="nil"/>
              <w:left w:val="nil"/>
              <w:bottom w:val="nil"/>
              <w:right w:val="nil"/>
            </w:tcBorders>
            <w:shd w:val="clear" w:color="auto" w:fill="auto"/>
            <w:noWrap/>
            <w:vAlign w:val="bottom"/>
            <w:hideMark/>
          </w:tcPr>
          <w:p w14:paraId="63705905" w14:textId="77777777" w:rsidR="00C9554B" w:rsidRDefault="00C9554B">
            <w:pPr>
              <w:rPr>
                <w:sz w:val="20"/>
                <w:szCs w:val="20"/>
              </w:rPr>
            </w:pPr>
          </w:p>
        </w:tc>
      </w:tr>
      <w:tr w:rsidR="00C9554B" w14:paraId="0290FBF0" w14:textId="77777777" w:rsidTr="00C9554B">
        <w:trPr>
          <w:trHeight w:val="315"/>
        </w:trPr>
        <w:tc>
          <w:tcPr>
            <w:tcW w:w="3261" w:type="dxa"/>
            <w:tcBorders>
              <w:top w:val="single" w:sz="8" w:space="0" w:color="auto"/>
              <w:left w:val="nil"/>
              <w:bottom w:val="single" w:sz="8" w:space="0" w:color="auto"/>
              <w:right w:val="nil"/>
            </w:tcBorders>
            <w:shd w:val="clear" w:color="auto" w:fill="auto"/>
            <w:noWrap/>
            <w:vAlign w:val="center"/>
            <w:hideMark/>
          </w:tcPr>
          <w:p w14:paraId="649CBC51"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(Redução ao Valor Recuperável - FNS) (4)</w:t>
            </w:r>
          </w:p>
        </w:tc>
        <w:tc>
          <w:tcPr>
            <w:tcW w:w="1418" w:type="dxa"/>
            <w:tcBorders>
              <w:top w:val="single" w:sz="8" w:space="0" w:color="auto"/>
              <w:left w:val="nil"/>
              <w:bottom w:val="single" w:sz="8" w:space="0" w:color="auto"/>
              <w:right w:val="nil"/>
            </w:tcBorders>
            <w:shd w:val="clear" w:color="auto" w:fill="auto"/>
            <w:noWrap/>
            <w:vAlign w:val="center"/>
            <w:hideMark/>
          </w:tcPr>
          <w:p w14:paraId="6BF14F1B"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(11.364.641.404)</w:t>
            </w:r>
          </w:p>
        </w:tc>
        <w:tc>
          <w:tcPr>
            <w:tcW w:w="1237" w:type="dxa"/>
            <w:tcBorders>
              <w:top w:val="single" w:sz="8" w:space="0" w:color="auto"/>
              <w:left w:val="nil"/>
              <w:bottom w:val="single" w:sz="8" w:space="0" w:color="auto"/>
              <w:right w:val="nil"/>
            </w:tcBorders>
            <w:shd w:val="clear" w:color="auto" w:fill="auto"/>
            <w:noWrap/>
            <w:vAlign w:val="center"/>
            <w:hideMark/>
          </w:tcPr>
          <w:p w14:paraId="2374BD4A" w14:textId="0502CAE3" w:rsidR="00C9554B" w:rsidRDefault="00C9554B" w:rsidP="00C9554B">
            <w:pPr>
              <w:rPr>
                <w:rFonts w:ascii="Calibri" w:hAnsi="Calibri" w:cs="Calibri"/>
                <w:b/>
                <w:bCs/>
                <w:color w:val="000000"/>
                <w:sz w:val="16"/>
                <w:szCs w:val="16"/>
              </w:rPr>
            </w:pPr>
            <w:r>
              <w:rPr>
                <w:rFonts w:ascii="Calibri" w:hAnsi="Calibri" w:cs="Calibri"/>
                <w:b/>
                <w:bCs/>
                <w:color w:val="000000"/>
                <w:sz w:val="16"/>
                <w:szCs w:val="16"/>
              </w:rPr>
              <w:t xml:space="preserve">                            -   </w:t>
            </w:r>
          </w:p>
        </w:tc>
        <w:tc>
          <w:tcPr>
            <w:tcW w:w="1128" w:type="dxa"/>
            <w:tcBorders>
              <w:top w:val="single" w:sz="8" w:space="0" w:color="auto"/>
              <w:left w:val="nil"/>
              <w:bottom w:val="single" w:sz="8" w:space="0" w:color="auto"/>
              <w:right w:val="nil"/>
            </w:tcBorders>
            <w:shd w:val="clear" w:color="auto" w:fill="auto"/>
            <w:noWrap/>
            <w:vAlign w:val="center"/>
            <w:hideMark/>
          </w:tcPr>
          <w:p w14:paraId="508E8ABC" w14:textId="572E154B"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522.734 </w:t>
            </w:r>
          </w:p>
        </w:tc>
        <w:tc>
          <w:tcPr>
            <w:tcW w:w="1359" w:type="dxa"/>
            <w:tcBorders>
              <w:top w:val="single" w:sz="8" w:space="0" w:color="auto"/>
              <w:left w:val="nil"/>
              <w:bottom w:val="single" w:sz="8" w:space="0" w:color="auto"/>
              <w:right w:val="nil"/>
            </w:tcBorders>
            <w:shd w:val="clear" w:color="auto" w:fill="auto"/>
            <w:noWrap/>
            <w:vAlign w:val="center"/>
            <w:hideMark/>
          </w:tcPr>
          <w:p w14:paraId="076D39BF" w14:textId="0D134A94"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single" w:sz="8" w:space="0" w:color="auto"/>
              <w:left w:val="nil"/>
              <w:bottom w:val="single" w:sz="8" w:space="0" w:color="auto"/>
              <w:right w:val="nil"/>
            </w:tcBorders>
            <w:shd w:val="clear" w:color="auto" w:fill="auto"/>
            <w:noWrap/>
            <w:vAlign w:val="center"/>
            <w:hideMark/>
          </w:tcPr>
          <w:p w14:paraId="044D1A00"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(11.364.118.669)</w:t>
            </w:r>
          </w:p>
        </w:tc>
        <w:tc>
          <w:tcPr>
            <w:tcW w:w="743" w:type="dxa"/>
            <w:tcBorders>
              <w:top w:val="single" w:sz="8" w:space="0" w:color="auto"/>
              <w:left w:val="nil"/>
              <w:bottom w:val="single" w:sz="8" w:space="0" w:color="auto"/>
              <w:right w:val="nil"/>
            </w:tcBorders>
            <w:shd w:val="clear" w:color="auto" w:fill="auto"/>
            <w:noWrap/>
            <w:vAlign w:val="center"/>
            <w:hideMark/>
          </w:tcPr>
          <w:p w14:paraId="1CEB1BAA"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w:t>
            </w:r>
          </w:p>
        </w:tc>
      </w:tr>
      <w:tr w:rsidR="00C9554B" w14:paraId="4616B6BF" w14:textId="77777777" w:rsidTr="00C9554B">
        <w:trPr>
          <w:trHeight w:val="300"/>
        </w:trPr>
        <w:tc>
          <w:tcPr>
            <w:tcW w:w="3261" w:type="dxa"/>
            <w:tcBorders>
              <w:top w:val="nil"/>
              <w:left w:val="nil"/>
              <w:bottom w:val="nil"/>
              <w:right w:val="nil"/>
            </w:tcBorders>
            <w:shd w:val="clear" w:color="auto" w:fill="auto"/>
            <w:noWrap/>
            <w:vAlign w:val="center"/>
            <w:hideMark/>
          </w:tcPr>
          <w:p w14:paraId="0F1DDBFD"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Ativos de Concessão Imóveis - FNS</w:t>
            </w:r>
          </w:p>
        </w:tc>
        <w:tc>
          <w:tcPr>
            <w:tcW w:w="1418" w:type="dxa"/>
            <w:tcBorders>
              <w:top w:val="nil"/>
              <w:left w:val="nil"/>
              <w:bottom w:val="nil"/>
              <w:right w:val="nil"/>
            </w:tcBorders>
            <w:shd w:val="clear" w:color="auto" w:fill="auto"/>
            <w:noWrap/>
            <w:vAlign w:val="center"/>
            <w:hideMark/>
          </w:tcPr>
          <w:p w14:paraId="078D3C6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(12.281.317.186)</w:t>
            </w:r>
          </w:p>
        </w:tc>
        <w:tc>
          <w:tcPr>
            <w:tcW w:w="1237" w:type="dxa"/>
            <w:tcBorders>
              <w:top w:val="nil"/>
              <w:left w:val="nil"/>
              <w:bottom w:val="nil"/>
              <w:right w:val="nil"/>
            </w:tcBorders>
            <w:shd w:val="clear" w:color="auto" w:fill="auto"/>
            <w:noWrap/>
            <w:vAlign w:val="center"/>
            <w:hideMark/>
          </w:tcPr>
          <w:p w14:paraId="5053DEF7" w14:textId="788215BA"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3C9D7A81" w14:textId="593A6649"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522.734 </w:t>
            </w:r>
          </w:p>
        </w:tc>
        <w:tc>
          <w:tcPr>
            <w:tcW w:w="1359" w:type="dxa"/>
            <w:tcBorders>
              <w:top w:val="nil"/>
              <w:left w:val="nil"/>
              <w:bottom w:val="nil"/>
              <w:right w:val="nil"/>
            </w:tcBorders>
            <w:shd w:val="clear" w:color="auto" w:fill="auto"/>
            <w:noWrap/>
            <w:vAlign w:val="center"/>
            <w:hideMark/>
          </w:tcPr>
          <w:p w14:paraId="0071795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1C4997B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(12.280.794.452)</w:t>
            </w:r>
          </w:p>
        </w:tc>
        <w:tc>
          <w:tcPr>
            <w:tcW w:w="743" w:type="dxa"/>
            <w:tcBorders>
              <w:top w:val="nil"/>
              <w:left w:val="nil"/>
              <w:bottom w:val="nil"/>
              <w:right w:val="nil"/>
            </w:tcBorders>
            <w:shd w:val="clear" w:color="auto" w:fill="auto"/>
            <w:noWrap/>
            <w:vAlign w:val="center"/>
            <w:hideMark/>
          </w:tcPr>
          <w:p w14:paraId="4E4EF4EB" w14:textId="77777777" w:rsidR="00C9554B" w:rsidRDefault="00C9554B">
            <w:pPr>
              <w:jc w:val="right"/>
              <w:rPr>
                <w:rFonts w:ascii="Calibri" w:hAnsi="Calibri" w:cs="Calibri"/>
                <w:color w:val="000000"/>
                <w:sz w:val="16"/>
                <w:szCs w:val="16"/>
              </w:rPr>
            </w:pPr>
          </w:p>
        </w:tc>
      </w:tr>
      <w:tr w:rsidR="00C9554B" w14:paraId="0B4D1EB0" w14:textId="77777777" w:rsidTr="00C9554B">
        <w:trPr>
          <w:trHeight w:val="315"/>
        </w:trPr>
        <w:tc>
          <w:tcPr>
            <w:tcW w:w="3261" w:type="dxa"/>
            <w:tcBorders>
              <w:top w:val="nil"/>
              <w:left w:val="nil"/>
              <w:bottom w:val="nil"/>
              <w:right w:val="nil"/>
            </w:tcBorders>
            <w:shd w:val="clear" w:color="auto" w:fill="auto"/>
            <w:noWrap/>
            <w:vAlign w:val="center"/>
            <w:hideMark/>
          </w:tcPr>
          <w:p w14:paraId="706D9799"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Depreciação Acumulada das Ferrovias - FNS</w:t>
            </w:r>
          </w:p>
        </w:tc>
        <w:tc>
          <w:tcPr>
            <w:tcW w:w="1418" w:type="dxa"/>
            <w:tcBorders>
              <w:top w:val="nil"/>
              <w:left w:val="nil"/>
              <w:bottom w:val="nil"/>
              <w:right w:val="nil"/>
            </w:tcBorders>
            <w:shd w:val="clear" w:color="auto" w:fill="auto"/>
            <w:noWrap/>
            <w:vAlign w:val="center"/>
            <w:hideMark/>
          </w:tcPr>
          <w:p w14:paraId="375DBD1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916.675.782 </w:t>
            </w:r>
          </w:p>
        </w:tc>
        <w:tc>
          <w:tcPr>
            <w:tcW w:w="1237" w:type="dxa"/>
            <w:tcBorders>
              <w:top w:val="nil"/>
              <w:left w:val="nil"/>
              <w:bottom w:val="nil"/>
              <w:right w:val="nil"/>
            </w:tcBorders>
            <w:shd w:val="clear" w:color="auto" w:fill="auto"/>
            <w:noWrap/>
            <w:vAlign w:val="center"/>
            <w:hideMark/>
          </w:tcPr>
          <w:p w14:paraId="222C2CF1" w14:textId="6A990DFC"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13C4F09F" w14:textId="4E4CAE98"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054FB9CA" w14:textId="7071399D"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E972C6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916.675.782 </w:t>
            </w:r>
          </w:p>
        </w:tc>
        <w:tc>
          <w:tcPr>
            <w:tcW w:w="743" w:type="dxa"/>
            <w:tcBorders>
              <w:top w:val="nil"/>
              <w:left w:val="nil"/>
              <w:bottom w:val="nil"/>
              <w:right w:val="nil"/>
            </w:tcBorders>
            <w:shd w:val="clear" w:color="auto" w:fill="auto"/>
            <w:noWrap/>
            <w:vAlign w:val="center"/>
            <w:hideMark/>
          </w:tcPr>
          <w:p w14:paraId="6890850C" w14:textId="77777777" w:rsidR="00C9554B" w:rsidRDefault="00C9554B">
            <w:pPr>
              <w:jc w:val="right"/>
              <w:rPr>
                <w:rFonts w:ascii="Calibri" w:hAnsi="Calibri" w:cs="Calibri"/>
                <w:color w:val="000000"/>
                <w:sz w:val="16"/>
                <w:szCs w:val="16"/>
              </w:rPr>
            </w:pPr>
          </w:p>
        </w:tc>
      </w:tr>
      <w:tr w:rsidR="00C9554B" w14:paraId="459E2A53" w14:textId="77777777" w:rsidTr="00C9554B">
        <w:trPr>
          <w:trHeight w:val="135"/>
        </w:trPr>
        <w:tc>
          <w:tcPr>
            <w:tcW w:w="3261" w:type="dxa"/>
            <w:tcBorders>
              <w:top w:val="single" w:sz="8" w:space="0" w:color="auto"/>
              <w:left w:val="nil"/>
              <w:bottom w:val="single" w:sz="8" w:space="0" w:color="auto"/>
              <w:right w:val="nil"/>
            </w:tcBorders>
            <w:shd w:val="clear" w:color="auto" w:fill="auto"/>
            <w:noWrap/>
            <w:vAlign w:val="bottom"/>
            <w:hideMark/>
          </w:tcPr>
          <w:p w14:paraId="289F0D0C" w14:textId="77777777" w:rsidR="00C9554B" w:rsidRDefault="00C9554B">
            <w:pPr>
              <w:rPr>
                <w:color w:val="000000"/>
                <w:sz w:val="20"/>
                <w:szCs w:val="20"/>
              </w:rPr>
            </w:pPr>
            <w:r>
              <w:rPr>
                <w:color w:val="000000"/>
                <w:sz w:val="20"/>
                <w:szCs w:val="20"/>
              </w:rPr>
              <w:t> </w:t>
            </w:r>
          </w:p>
        </w:tc>
        <w:tc>
          <w:tcPr>
            <w:tcW w:w="1418" w:type="dxa"/>
            <w:tcBorders>
              <w:top w:val="single" w:sz="8" w:space="0" w:color="auto"/>
              <w:left w:val="nil"/>
              <w:bottom w:val="single" w:sz="8" w:space="0" w:color="auto"/>
              <w:right w:val="nil"/>
            </w:tcBorders>
            <w:shd w:val="clear" w:color="auto" w:fill="auto"/>
            <w:noWrap/>
            <w:vAlign w:val="bottom"/>
            <w:hideMark/>
          </w:tcPr>
          <w:p w14:paraId="78C4474B" w14:textId="77777777" w:rsidR="00C9554B" w:rsidRDefault="00C9554B">
            <w:pPr>
              <w:rPr>
                <w:color w:val="000000"/>
                <w:sz w:val="20"/>
                <w:szCs w:val="20"/>
              </w:rPr>
            </w:pPr>
            <w:r>
              <w:rPr>
                <w:color w:val="000000"/>
                <w:sz w:val="20"/>
                <w:szCs w:val="20"/>
              </w:rPr>
              <w:t> </w:t>
            </w:r>
          </w:p>
        </w:tc>
        <w:tc>
          <w:tcPr>
            <w:tcW w:w="1237" w:type="dxa"/>
            <w:tcBorders>
              <w:top w:val="single" w:sz="8" w:space="0" w:color="auto"/>
              <w:left w:val="nil"/>
              <w:bottom w:val="single" w:sz="8" w:space="0" w:color="auto"/>
              <w:right w:val="nil"/>
            </w:tcBorders>
            <w:shd w:val="clear" w:color="auto" w:fill="auto"/>
            <w:noWrap/>
            <w:vAlign w:val="bottom"/>
            <w:hideMark/>
          </w:tcPr>
          <w:p w14:paraId="1CF00275" w14:textId="77777777" w:rsidR="00C9554B" w:rsidRDefault="00C9554B">
            <w:pPr>
              <w:rPr>
                <w:color w:val="000000"/>
                <w:sz w:val="20"/>
                <w:szCs w:val="20"/>
              </w:rPr>
            </w:pPr>
            <w:r>
              <w:rPr>
                <w:color w:val="000000"/>
                <w:sz w:val="20"/>
                <w:szCs w:val="20"/>
              </w:rPr>
              <w:t> </w:t>
            </w:r>
          </w:p>
        </w:tc>
        <w:tc>
          <w:tcPr>
            <w:tcW w:w="1128" w:type="dxa"/>
            <w:tcBorders>
              <w:top w:val="single" w:sz="8" w:space="0" w:color="auto"/>
              <w:left w:val="nil"/>
              <w:bottom w:val="single" w:sz="8" w:space="0" w:color="auto"/>
              <w:right w:val="nil"/>
            </w:tcBorders>
            <w:shd w:val="clear" w:color="auto" w:fill="auto"/>
            <w:noWrap/>
            <w:vAlign w:val="bottom"/>
            <w:hideMark/>
          </w:tcPr>
          <w:p w14:paraId="3E9AFFDF" w14:textId="77777777" w:rsidR="00C9554B" w:rsidRDefault="00C9554B">
            <w:pPr>
              <w:rPr>
                <w:color w:val="000000"/>
                <w:sz w:val="20"/>
                <w:szCs w:val="20"/>
              </w:rPr>
            </w:pPr>
            <w:r>
              <w:rPr>
                <w:color w:val="000000"/>
                <w:sz w:val="20"/>
                <w:szCs w:val="20"/>
              </w:rPr>
              <w:t> </w:t>
            </w:r>
          </w:p>
        </w:tc>
        <w:tc>
          <w:tcPr>
            <w:tcW w:w="1359" w:type="dxa"/>
            <w:tcBorders>
              <w:top w:val="single" w:sz="8" w:space="0" w:color="auto"/>
              <w:left w:val="nil"/>
              <w:bottom w:val="single" w:sz="8" w:space="0" w:color="auto"/>
              <w:right w:val="nil"/>
            </w:tcBorders>
            <w:shd w:val="clear" w:color="auto" w:fill="auto"/>
            <w:noWrap/>
            <w:vAlign w:val="bottom"/>
            <w:hideMark/>
          </w:tcPr>
          <w:p w14:paraId="5B56DEC8" w14:textId="77777777" w:rsidR="00C9554B" w:rsidRDefault="00C9554B">
            <w:pPr>
              <w:rPr>
                <w:color w:val="000000"/>
                <w:sz w:val="20"/>
                <w:szCs w:val="20"/>
              </w:rPr>
            </w:pPr>
            <w:r>
              <w:rPr>
                <w:color w:val="000000"/>
                <w:sz w:val="20"/>
                <w:szCs w:val="20"/>
              </w:rPr>
              <w:t> </w:t>
            </w:r>
          </w:p>
        </w:tc>
        <w:tc>
          <w:tcPr>
            <w:tcW w:w="1490" w:type="dxa"/>
            <w:tcBorders>
              <w:top w:val="single" w:sz="8" w:space="0" w:color="auto"/>
              <w:left w:val="nil"/>
              <w:bottom w:val="single" w:sz="8" w:space="0" w:color="auto"/>
              <w:right w:val="nil"/>
            </w:tcBorders>
            <w:shd w:val="clear" w:color="auto" w:fill="auto"/>
            <w:noWrap/>
            <w:vAlign w:val="bottom"/>
            <w:hideMark/>
          </w:tcPr>
          <w:p w14:paraId="2EAD9784" w14:textId="77777777" w:rsidR="00C9554B" w:rsidRDefault="00C9554B">
            <w:pPr>
              <w:rPr>
                <w:color w:val="000000"/>
                <w:sz w:val="20"/>
                <w:szCs w:val="20"/>
              </w:rPr>
            </w:pPr>
            <w:r>
              <w:rPr>
                <w:color w:val="000000"/>
                <w:sz w:val="20"/>
                <w:szCs w:val="20"/>
              </w:rPr>
              <w:t> </w:t>
            </w:r>
          </w:p>
        </w:tc>
        <w:tc>
          <w:tcPr>
            <w:tcW w:w="743" w:type="dxa"/>
            <w:tcBorders>
              <w:top w:val="single" w:sz="8" w:space="0" w:color="auto"/>
              <w:left w:val="nil"/>
              <w:bottom w:val="single" w:sz="8" w:space="0" w:color="auto"/>
              <w:right w:val="nil"/>
            </w:tcBorders>
            <w:shd w:val="clear" w:color="auto" w:fill="auto"/>
            <w:noWrap/>
            <w:vAlign w:val="bottom"/>
            <w:hideMark/>
          </w:tcPr>
          <w:p w14:paraId="549A7C44" w14:textId="77777777" w:rsidR="00C9554B" w:rsidRDefault="00C9554B">
            <w:pPr>
              <w:rPr>
                <w:color w:val="000000"/>
                <w:sz w:val="20"/>
                <w:szCs w:val="20"/>
              </w:rPr>
            </w:pPr>
            <w:r>
              <w:rPr>
                <w:color w:val="000000"/>
                <w:sz w:val="20"/>
                <w:szCs w:val="20"/>
              </w:rPr>
              <w:t> </w:t>
            </w:r>
          </w:p>
        </w:tc>
      </w:tr>
      <w:tr w:rsidR="00C9554B" w14:paraId="649C3478" w14:textId="77777777" w:rsidTr="00C9554B">
        <w:trPr>
          <w:trHeight w:val="315"/>
        </w:trPr>
        <w:tc>
          <w:tcPr>
            <w:tcW w:w="3261" w:type="dxa"/>
            <w:tcBorders>
              <w:top w:val="nil"/>
              <w:left w:val="nil"/>
              <w:bottom w:val="single" w:sz="8" w:space="0" w:color="auto"/>
              <w:right w:val="nil"/>
            </w:tcBorders>
            <w:shd w:val="clear" w:color="auto" w:fill="auto"/>
            <w:noWrap/>
            <w:vAlign w:val="center"/>
            <w:hideMark/>
          </w:tcPr>
          <w:p w14:paraId="5FCA8206"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(Redução ao Valor Recuperável - FIOL I) (5)</w:t>
            </w:r>
          </w:p>
        </w:tc>
        <w:tc>
          <w:tcPr>
            <w:tcW w:w="1418" w:type="dxa"/>
            <w:tcBorders>
              <w:top w:val="nil"/>
              <w:left w:val="nil"/>
              <w:bottom w:val="single" w:sz="8" w:space="0" w:color="auto"/>
              <w:right w:val="nil"/>
            </w:tcBorders>
            <w:shd w:val="clear" w:color="auto" w:fill="auto"/>
            <w:noWrap/>
            <w:vAlign w:val="center"/>
            <w:hideMark/>
          </w:tcPr>
          <w:p w14:paraId="76EB1225"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(3.217.521.279)</w:t>
            </w:r>
          </w:p>
        </w:tc>
        <w:tc>
          <w:tcPr>
            <w:tcW w:w="1237" w:type="dxa"/>
            <w:tcBorders>
              <w:top w:val="nil"/>
              <w:left w:val="nil"/>
              <w:bottom w:val="single" w:sz="8" w:space="0" w:color="auto"/>
              <w:right w:val="nil"/>
            </w:tcBorders>
            <w:shd w:val="clear" w:color="auto" w:fill="auto"/>
            <w:noWrap/>
            <w:vAlign w:val="center"/>
            <w:hideMark/>
          </w:tcPr>
          <w:p w14:paraId="3323F9D9"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128" w:type="dxa"/>
            <w:tcBorders>
              <w:top w:val="nil"/>
              <w:left w:val="nil"/>
              <w:bottom w:val="single" w:sz="8" w:space="0" w:color="auto"/>
              <w:right w:val="nil"/>
            </w:tcBorders>
            <w:shd w:val="clear" w:color="auto" w:fill="auto"/>
            <w:noWrap/>
            <w:vAlign w:val="center"/>
            <w:hideMark/>
          </w:tcPr>
          <w:p w14:paraId="0634BC99"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359" w:type="dxa"/>
            <w:tcBorders>
              <w:top w:val="nil"/>
              <w:left w:val="nil"/>
              <w:bottom w:val="single" w:sz="8" w:space="0" w:color="auto"/>
              <w:right w:val="nil"/>
            </w:tcBorders>
            <w:shd w:val="clear" w:color="auto" w:fill="auto"/>
            <w:noWrap/>
            <w:vAlign w:val="center"/>
            <w:hideMark/>
          </w:tcPr>
          <w:p w14:paraId="3033E6FD"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nil"/>
              <w:left w:val="nil"/>
              <w:bottom w:val="single" w:sz="8" w:space="0" w:color="auto"/>
              <w:right w:val="nil"/>
            </w:tcBorders>
            <w:shd w:val="clear" w:color="auto" w:fill="auto"/>
            <w:noWrap/>
            <w:vAlign w:val="center"/>
            <w:hideMark/>
          </w:tcPr>
          <w:p w14:paraId="52315498"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(3.217.521.279)</w:t>
            </w:r>
          </w:p>
        </w:tc>
        <w:tc>
          <w:tcPr>
            <w:tcW w:w="743" w:type="dxa"/>
            <w:tcBorders>
              <w:top w:val="nil"/>
              <w:left w:val="nil"/>
              <w:bottom w:val="single" w:sz="8" w:space="0" w:color="auto"/>
              <w:right w:val="nil"/>
            </w:tcBorders>
            <w:shd w:val="clear" w:color="auto" w:fill="auto"/>
            <w:noWrap/>
            <w:vAlign w:val="bottom"/>
            <w:hideMark/>
          </w:tcPr>
          <w:p w14:paraId="49873F82" w14:textId="77777777" w:rsidR="00C9554B" w:rsidRDefault="00C9554B">
            <w:pPr>
              <w:rPr>
                <w:color w:val="000000"/>
                <w:sz w:val="20"/>
                <w:szCs w:val="20"/>
              </w:rPr>
            </w:pPr>
            <w:r>
              <w:rPr>
                <w:color w:val="000000"/>
                <w:sz w:val="20"/>
                <w:szCs w:val="20"/>
              </w:rPr>
              <w:t> </w:t>
            </w:r>
          </w:p>
        </w:tc>
      </w:tr>
      <w:tr w:rsidR="00C9554B" w14:paraId="0288C11F" w14:textId="77777777" w:rsidTr="00C9554B">
        <w:trPr>
          <w:trHeight w:val="315"/>
        </w:trPr>
        <w:tc>
          <w:tcPr>
            <w:tcW w:w="3261" w:type="dxa"/>
            <w:tcBorders>
              <w:top w:val="nil"/>
              <w:left w:val="nil"/>
              <w:bottom w:val="nil"/>
              <w:right w:val="nil"/>
            </w:tcBorders>
            <w:shd w:val="clear" w:color="auto" w:fill="auto"/>
            <w:noWrap/>
            <w:vAlign w:val="center"/>
            <w:hideMark/>
          </w:tcPr>
          <w:p w14:paraId="5795BC0E"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Ativos de Concessão Imóveis - FIOL I</w:t>
            </w:r>
          </w:p>
        </w:tc>
        <w:tc>
          <w:tcPr>
            <w:tcW w:w="1418" w:type="dxa"/>
            <w:tcBorders>
              <w:top w:val="nil"/>
              <w:left w:val="nil"/>
              <w:bottom w:val="single" w:sz="8" w:space="0" w:color="auto"/>
              <w:right w:val="nil"/>
            </w:tcBorders>
            <w:shd w:val="clear" w:color="auto" w:fill="auto"/>
            <w:noWrap/>
            <w:vAlign w:val="center"/>
            <w:hideMark/>
          </w:tcPr>
          <w:p w14:paraId="265C447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(3.217.521.279)</w:t>
            </w:r>
          </w:p>
        </w:tc>
        <w:tc>
          <w:tcPr>
            <w:tcW w:w="1237" w:type="dxa"/>
            <w:tcBorders>
              <w:top w:val="nil"/>
              <w:left w:val="nil"/>
              <w:bottom w:val="single" w:sz="8" w:space="0" w:color="auto"/>
              <w:right w:val="nil"/>
            </w:tcBorders>
            <w:shd w:val="clear" w:color="auto" w:fill="auto"/>
            <w:noWrap/>
            <w:vAlign w:val="center"/>
            <w:hideMark/>
          </w:tcPr>
          <w:p w14:paraId="3CBB9233"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single" w:sz="8" w:space="0" w:color="auto"/>
              <w:right w:val="nil"/>
            </w:tcBorders>
            <w:shd w:val="clear" w:color="auto" w:fill="auto"/>
            <w:noWrap/>
            <w:vAlign w:val="center"/>
            <w:hideMark/>
          </w:tcPr>
          <w:p w14:paraId="02E489D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single" w:sz="8" w:space="0" w:color="auto"/>
              <w:right w:val="nil"/>
            </w:tcBorders>
            <w:shd w:val="clear" w:color="auto" w:fill="auto"/>
            <w:noWrap/>
            <w:vAlign w:val="center"/>
            <w:hideMark/>
          </w:tcPr>
          <w:p w14:paraId="1489CD3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single" w:sz="8" w:space="0" w:color="auto"/>
              <w:right w:val="nil"/>
            </w:tcBorders>
            <w:shd w:val="clear" w:color="auto" w:fill="auto"/>
            <w:noWrap/>
            <w:vAlign w:val="center"/>
            <w:hideMark/>
          </w:tcPr>
          <w:p w14:paraId="05934A7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(3.217.521.279)</w:t>
            </w:r>
          </w:p>
        </w:tc>
        <w:tc>
          <w:tcPr>
            <w:tcW w:w="743" w:type="dxa"/>
            <w:tcBorders>
              <w:top w:val="nil"/>
              <w:left w:val="nil"/>
              <w:bottom w:val="single" w:sz="8" w:space="0" w:color="auto"/>
              <w:right w:val="nil"/>
            </w:tcBorders>
            <w:shd w:val="clear" w:color="auto" w:fill="auto"/>
            <w:noWrap/>
            <w:vAlign w:val="bottom"/>
            <w:hideMark/>
          </w:tcPr>
          <w:p w14:paraId="7E9DB07E" w14:textId="77777777" w:rsidR="00C9554B" w:rsidRDefault="00C9554B">
            <w:pPr>
              <w:rPr>
                <w:color w:val="000000"/>
                <w:sz w:val="20"/>
                <w:szCs w:val="20"/>
              </w:rPr>
            </w:pPr>
            <w:r>
              <w:rPr>
                <w:color w:val="000000"/>
                <w:sz w:val="20"/>
                <w:szCs w:val="20"/>
              </w:rPr>
              <w:t> </w:t>
            </w:r>
          </w:p>
        </w:tc>
      </w:tr>
      <w:tr w:rsidR="00C9554B" w14:paraId="3C476043" w14:textId="77777777" w:rsidTr="00C9554B">
        <w:trPr>
          <w:trHeight w:val="135"/>
        </w:trPr>
        <w:tc>
          <w:tcPr>
            <w:tcW w:w="3261" w:type="dxa"/>
            <w:tcBorders>
              <w:top w:val="single" w:sz="8" w:space="0" w:color="auto"/>
              <w:left w:val="nil"/>
              <w:bottom w:val="single" w:sz="8" w:space="0" w:color="auto"/>
              <w:right w:val="nil"/>
            </w:tcBorders>
            <w:shd w:val="clear" w:color="auto" w:fill="auto"/>
            <w:noWrap/>
            <w:vAlign w:val="bottom"/>
            <w:hideMark/>
          </w:tcPr>
          <w:p w14:paraId="536572BD" w14:textId="77777777" w:rsidR="00C9554B" w:rsidRDefault="00C9554B">
            <w:pPr>
              <w:rPr>
                <w:color w:val="000000"/>
                <w:sz w:val="20"/>
                <w:szCs w:val="20"/>
              </w:rPr>
            </w:pPr>
            <w:r>
              <w:rPr>
                <w:color w:val="000000"/>
                <w:sz w:val="20"/>
                <w:szCs w:val="20"/>
              </w:rPr>
              <w:t> </w:t>
            </w:r>
          </w:p>
        </w:tc>
        <w:tc>
          <w:tcPr>
            <w:tcW w:w="1418" w:type="dxa"/>
            <w:tcBorders>
              <w:top w:val="nil"/>
              <w:left w:val="nil"/>
              <w:bottom w:val="single" w:sz="8" w:space="0" w:color="auto"/>
              <w:right w:val="nil"/>
            </w:tcBorders>
            <w:shd w:val="clear" w:color="auto" w:fill="auto"/>
            <w:noWrap/>
            <w:vAlign w:val="bottom"/>
            <w:hideMark/>
          </w:tcPr>
          <w:p w14:paraId="75EFAA81" w14:textId="77777777" w:rsidR="00C9554B" w:rsidRDefault="00C9554B">
            <w:pPr>
              <w:rPr>
                <w:color w:val="000000"/>
                <w:sz w:val="20"/>
                <w:szCs w:val="20"/>
              </w:rPr>
            </w:pPr>
            <w:r>
              <w:rPr>
                <w:color w:val="000000"/>
                <w:sz w:val="20"/>
                <w:szCs w:val="20"/>
              </w:rPr>
              <w:t> </w:t>
            </w:r>
          </w:p>
        </w:tc>
        <w:tc>
          <w:tcPr>
            <w:tcW w:w="1237" w:type="dxa"/>
            <w:tcBorders>
              <w:top w:val="nil"/>
              <w:left w:val="nil"/>
              <w:bottom w:val="single" w:sz="8" w:space="0" w:color="auto"/>
              <w:right w:val="nil"/>
            </w:tcBorders>
            <w:shd w:val="clear" w:color="auto" w:fill="auto"/>
            <w:noWrap/>
            <w:vAlign w:val="bottom"/>
            <w:hideMark/>
          </w:tcPr>
          <w:p w14:paraId="066D12A6" w14:textId="77777777" w:rsidR="00C9554B" w:rsidRDefault="00C9554B">
            <w:pPr>
              <w:rPr>
                <w:color w:val="000000"/>
                <w:sz w:val="20"/>
                <w:szCs w:val="20"/>
              </w:rPr>
            </w:pPr>
            <w:r>
              <w:rPr>
                <w:color w:val="000000"/>
                <w:sz w:val="20"/>
                <w:szCs w:val="20"/>
              </w:rPr>
              <w:t> </w:t>
            </w:r>
          </w:p>
        </w:tc>
        <w:tc>
          <w:tcPr>
            <w:tcW w:w="1128" w:type="dxa"/>
            <w:tcBorders>
              <w:top w:val="nil"/>
              <w:left w:val="nil"/>
              <w:bottom w:val="single" w:sz="8" w:space="0" w:color="auto"/>
              <w:right w:val="nil"/>
            </w:tcBorders>
            <w:shd w:val="clear" w:color="auto" w:fill="auto"/>
            <w:noWrap/>
            <w:vAlign w:val="bottom"/>
            <w:hideMark/>
          </w:tcPr>
          <w:p w14:paraId="2171207B" w14:textId="77777777" w:rsidR="00C9554B" w:rsidRDefault="00C9554B">
            <w:pPr>
              <w:rPr>
                <w:color w:val="000000"/>
                <w:sz w:val="20"/>
                <w:szCs w:val="20"/>
              </w:rPr>
            </w:pPr>
            <w:r>
              <w:rPr>
                <w:color w:val="000000"/>
                <w:sz w:val="20"/>
                <w:szCs w:val="20"/>
              </w:rPr>
              <w:t> </w:t>
            </w:r>
          </w:p>
        </w:tc>
        <w:tc>
          <w:tcPr>
            <w:tcW w:w="1359" w:type="dxa"/>
            <w:tcBorders>
              <w:top w:val="nil"/>
              <w:left w:val="nil"/>
              <w:bottom w:val="single" w:sz="8" w:space="0" w:color="auto"/>
              <w:right w:val="nil"/>
            </w:tcBorders>
            <w:shd w:val="clear" w:color="auto" w:fill="auto"/>
            <w:noWrap/>
            <w:vAlign w:val="bottom"/>
            <w:hideMark/>
          </w:tcPr>
          <w:p w14:paraId="0BF7CEAD" w14:textId="77777777" w:rsidR="00C9554B" w:rsidRDefault="00C9554B">
            <w:pPr>
              <w:rPr>
                <w:color w:val="000000"/>
                <w:sz w:val="20"/>
                <w:szCs w:val="20"/>
              </w:rPr>
            </w:pPr>
            <w:r>
              <w:rPr>
                <w:color w:val="000000"/>
                <w:sz w:val="20"/>
                <w:szCs w:val="20"/>
              </w:rPr>
              <w:t> </w:t>
            </w:r>
          </w:p>
        </w:tc>
        <w:tc>
          <w:tcPr>
            <w:tcW w:w="1490" w:type="dxa"/>
            <w:tcBorders>
              <w:top w:val="nil"/>
              <w:left w:val="nil"/>
              <w:bottom w:val="single" w:sz="8" w:space="0" w:color="auto"/>
              <w:right w:val="nil"/>
            </w:tcBorders>
            <w:shd w:val="clear" w:color="auto" w:fill="auto"/>
            <w:noWrap/>
            <w:vAlign w:val="bottom"/>
            <w:hideMark/>
          </w:tcPr>
          <w:p w14:paraId="3CC07AF8" w14:textId="77777777" w:rsidR="00C9554B" w:rsidRDefault="00C9554B">
            <w:pPr>
              <w:rPr>
                <w:color w:val="000000"/>
                <w:sz w:val="20"/>
                <w:szCs w:val="20"/>
              </w:rPr>
            </w:pPr>
            <w:r>
              <w:rPr>
                <w:color w:val="000000"/>
                <w:sz w:val="20"/>
                <w:szCs w:val="20"/>
              </w:rPr>
              <w:t> </w:t>
            </w:r>
          </w:p>
        </w:tc>
        <w:tc>
          <w:tcPr>
            <w:tcW w:w="743" w:type="dxa"/>
            <w:tcBorders>
              <w:top w:val="nil"/>
              <w:left w:val="nil"/>
              <w:bottom w:val="single" w:sz="8" w:space="0" w:color="auto"/>
              <w:right w:val="nil"/>
            </w:tcBorders>
            <w:shd w:val="clear" w:color="auto" w:fill="auto"/>
            <w:noWrap/>
            <w:vAlign w:val="bottom"/>
            <w:hideMark/>
          </w:tcPr>
          <w:p w14:paraId="3F3A57CE" w14:textId="77777777" w:rsidR="00C9554B" w:rsidRDefault="00C9554B">
            <w:pPr>
              <w:rPr>
                <w:color w:val="000000"/>
                <w:sz w:val="20"/>
                <w:szCs w:val="20"/>
              </w:rPr>
            </w:pPr>
            <w:r>
              <w:rPr>
                <w:color w:val="000000"/>
                <w:sz w:val="20"/>
                <w:szCs w:val="20"/>
              </w:rPr>
              <w:t> </w:t>
            </w:r>
          </w:p>
        </w:tc>
      </w:tr>
      <w:tr w:rsidR="00C9554B" w14:paraId="0FE87A77" w14:textId="77777777" w:rsidTr="00C9554B">
        <w:trPr>
          <w:trHeight w:val="300"/>
        </w:trPr>
        <w:tc>
          <w:tcPr>
            <w:tcW w:w="3261" w:type="dxa"/>
            <w:tcBorders>
              <w:top w:val="nil"/>
              <w:left w:val="nil"/>
              <w:bottom w:val="single" w:sz="8" w:space="0" w:color="auto"/>
              <w:right w:val="nil"/>
            </w:tcBorders>
            <w:shd w:val="clear" w:color="auto" w:fill="auto"/>
            <w:noWrap/>
            <w:vAlign w:val="center"/>
            <w:hideMark/>
          </w:tcPr>
          <w:p w14:paraId="1944CFCC"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Depreciação de Bens Móveis e Imóveis (6)</w:t>
            </w:r>
          </w:p>
        </w:tc>
        <w:tc>
          <w:tcPr>
            <w:tcW w:w="1418" w:type="dxa"/>
            <w:tcBorders>
              <w:top w:val="nil"/>
              <w:left w:val="nil"/>
              <w:bottom w:val="single" w:sz="8" w:space="0" w:color="auto"/>
              <w:right w:val="nil"/>
            </w:tcBorders>
            <w:shd w:val="clear" w:color="auto" w:fill="auto"/>
            <w:noWrap/>
            <w:vAlign w:val="center"/>
            <w:hideMark/>
          </w:tcPr>
          <w:p w14:paraId="7FE47655"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(984.976.696)</w:t>
            </w:r>
          </w:p>
        </w:tc>
        <w:tc>
          <w:tcPr>
            <w:tcW w:w="1237" w:type="dxa"/>
            <w:tcBorders>
              <w:top w:val="nil"/>
              <w:left w:val="nil"/>
              <w:bottom w:val="single" w:sz="8" w:space="0" w:color="auto"/>
              <w:right w:val="nil"/>
            </w:tcBorders>
            <w:shd w:val="clear" w:color="auto" w:fill="auto"/>
            <w:noWrap/>
            <w:vAlign w:val="center"/>
            <w:hideMark/>
          </w:tcPr>
          <w:p w14:paraId="7A9CA80A"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(24.817.452)</w:t>
            </w:r>
          </w:p>
        </w:tc>
        <w:tc>
          <w:tcPr>
            <w:tcW w:w="1128" w:type="dxa"/>
            <w:tcBorders>
              <w:top w:val="nil"/>
              <w:left w:val="nil"/>
              <w:bottom w:val="single" w:sz="8" w:space="0" w:color="auto"/>
              <w:right w:val="nil"/>
            </w:tcBorders>
            <w:shd w:val="clear" w:color="auto" w:fill="auto"/>
            <w:noWrap/>
            <w:vAlign w:val="center"/>
            <w:hideMark/>
          </w:tcPr>
          <w:p w14:paraId="66E78FED"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226.615 </w:t>
            </w:r>
          </w:p>
        </w:tc>
        <w:tc>
          <w:tcPr>
            <w:tcW w:w="1359" w:type="dxa"/>
            <w:tcBorders>
              <w:top w:val="nil"/>
              <w:left w:val="nil"/>
              <w:bottom w:val="single" w:sz="8" w:space="0" w:color="auto"/>
              <w:right w:val="nil"/>
            </w:tcBorders>
            <w:shd w:val="clear" w:color="auto" w:fill="auto"/>
            <w:noWrap/>
            <w:vAlign w:val="center"/>
            <w:hideMark/>
          </w:tcPr>
          <w:p w14:paraId="5C896085"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35.160.374 </w:t>
            </w:r>
          </w:p>
        </w:tc>
        <w:tc>
          <w:tcPr>
            <w:tcW w:w="1490" w:type="dxa"/>
            <w:tcBorders>
              <w:top w:val="nil"/>
              <w:left w:val="nil"/>
              <w:bottom w:val="single" w:sz="8" w:space="0" w:color="auto"/>
              <w:right w:val="nil"/>
            </w:tcBorders>
            <w:shd w:val="clear" w:color="auto" w:fill="auto"/>
            <w:noWrap/>
            <w:vAlign w:val="center"/>
            <w:hideMark/>
          </w:tcPr>
          <w:p w14:paraId="1D48BDF6"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(974.407.158)</w:t>
            </w:r>
          </w:p>
        </w:tc>
        <w:tc>
          <w:tcPr>
            <w:tcW w:w="743" w:type="dxa"/>
            <w:tcBorders>
              <w:top w:val="nil"/>
              <w:left w:val="nil"/>
              <w:bottom w:val="single" w:sz="8" w:space="0" w:color="auto"/>
              <w:right w:val="nil"/>
            </w:tcBorders>
            <w:shd w:val="clear" w:color="auto" w:fill="auto"/>
            <w:noWrap/>
            <w:vAlign w:val="center"/>
            <w:hideMark/>
          </w:tcPr>
          <w:p w14:paraId="0AAC5293"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w:t>
            </w:r>
          </w:p>
        </w:tc>
      </w:tr>
      <w:tr w:rsidR="00C9554B" w14:paraId="563227C5" w14:textId="77777777" w:rsidTr="00C9554B">
        <w:trPr>
          <w:trHeight w:val="300"/>
        </w:trPr>
        <w:tc>
          <w:tcPr>
            <w:tcW w:w="3261" w:type="dxa"/>
            <w:tcBorders>
              <w:top w:val="nil"/>
              <w:left w:val="nil"/>
              <w:bottom w:val="nil"/>
              <w:right w:val="nil"/>
            </w:tcBorders>
            <w:shd w:val="clear" w:color="auto" w:fill="auto"/>
            <w:noWrap/>
            <w:vAlign w:val="center"/>
            <w:hideMark/>
          </w:tcPr>
          <w:p w14:paraId="64AEEF62"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 xml:space="preserve">Depreciação de Bens Móveis </w:t>
            </w:r>
          </w:p>
        </w:tc>
        <w:tc>
          <w:tcPr>
            <w:tcW w:w="1418" w:type="dxa"/>
            <w:tcBorders>
              <w:top w:val="nil"/>
              <w:left w:val="nil"/>
              <w:bottom w:val="nil"/>
              <w:right w:val="nil"/>
            </w:tcBorders>
            <w:shd w:val="clear" w:color="auto" w:fill="auto"/>
            <w:noWrap/>
            <w:vAlign w:val="center"/>
            <w:hideMark/>
          </w:tcPr>
          <w:p w14:paraId="26227FBC"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(29.429.165)</w:t>
            </w:r>
          </w:p>
        </w:tc>
        <w:tc>
          <w:tcPr>
            <w:tcW w:w="1237" w:type="dxa"/>
            <w:tcBorders>
              <w:top w:val="nil"/>
              <w:left w:val="nil"/>
              <w:bottom w:val="nil"/>
              <w:right w:val="nil"/>
            </w:tcBorders>
            <w:shd w:val="clear" w:color="auto" w:fill="auto"/>
            <w:noWrap/>
            <w:vAlign w:val="center"/>
            <w:hideMark/>
          </w:tcPr>
          <w:p w14:paraId="148B0FD0"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(16.420.166)</w:t>
            </w:r>
          </w:p>
        </w:tc>
        <w:tc>
          <w:tcPr>
            <w:tcW w:w="1128" w:type="dxa"/>
            <w:tcBorders>
              <w:top w:val="nil"/>
              <w:left w:val="nil"/>
              <w:bottom w:val="nil"/>
              <w:right w:val="nil"/>
            </w:tcBorders>
            <w:shd w:val="clear" w:color="auto" w:fill="auto"/>
            <w:noWrap/>
            <w:vAlign w:val="center"/>
            <w:hideMark/>
          </w:tcPr>
          <w:p w14:paraId="35EA611A"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61.596 </w:t>
            </w:r>
          </w:p>
        </w:tc>
        <w:tc>
          <w:tcPr>
            <w:tcW w:w="1359" w:type="dxa"/>
            <w:tcBorders>
              <w:top w:val="nil"/>
              <w:left w:val="nil"/>
              <w:bottom w:val="nil"/>
              <w:right w:val="nil"/>
            </w:tcBorders>
            <w:shd w:val="clear" w:color="auto" w:fill="auto"/>
            <w:noWrap/>
            <w:vAlign w:val="center"/>
            <w:hideMark/>
          </w:tcPr>
          <w:p w14:paraId="7B9BE14F"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261F7CC0"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(45.787.735)</w:t>
            </w:r>
          </w:p>
        </w:tc>
        <w:tc>
          <w:tcPr>
            <w:tcW w:w="743" w:type="dxa"/>
            <w:tcBorders>
              <w:top w:val="nil"/>
              <w:left w:val="nil"/>
              <w:bottom w:val="nil"/>
              <w:right w:val="nil"/>
            </w:tcBorders>
            <w:shd w:val="clear" w:color="auto" w:fill="auto"/>
            <w:noWrap/>
            <w:vAlign w:val="center"/>
            <w:hideMark/>
          </w:tcPr>
          <w:p w14:paraId="21019EB4" w14:textId="77777777" w:rsidR="00C9554B" w:rsidRDefault="00C9554B">
            <w:pPr>
              <w:jc w:val="right"/>
              <w:rPr>
                <w:rFonts w:ascii="Calibri" w:hAnsi="Calibri" w:cs="Calibri"/>
                <w:b/>
                <w:bCs/>
                <w:color w:val="000000"/>
                <w:sz w:val="16"/>
                <w:szCs w:val="16"/>
              </w:rPr>
            </w:pPr>
          </w:p>
        </w:tc>
      </w:tr>
      <w:tr w:rsidR="00C9554B" w14:paraId="5026CD87" w14:textId="77777777" w:rsidTr="00C9554B">
        <w:trPr>
          <w:trHeight w:val="300"/>
        </w:trPr>
        <w:tc>
          <w:tcPr>
            <w:tcW w:w="3261" w:type="dxa"/>
            <w:tcBorders>
              <w:top w:val="nil"/>
              <w:left w:val="nil"/>
              <w:bottom w:val="nil"/>
              <w:right w:val="nil"/>
            </w:tcBorders>
            <w:shd w:val="clear" w:color="auto" w:fill="auto"/>
            <w:noWrap/>
            <w:vAlign w:val="center"/>
            <w:hideMark/>
          </w:tcPr>
          <w:p w14:paraId="5D2C9C3D"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lastRenderedPageBreak/>
              <w:t xml:space="preserve">Depreciação de Bens Imóveis </w:t>
            </w:r>
          </w:p>
        </w:tc>
        <w:tc>
          <w:tcPr>
            <w:tcW w:w="1418" w:type="dxa"/>
            <w:tcBorders>
              <w:top w:val="nil"/>
              <w:left w:val="nil"/>
              <w:bottom w:val="nil"/>
              <w:right w:val="nil"/>
            </w:tcBorders>
            <w:shd w:val="clear" w:color="auto" w:fill="auto"/>
            <w:noWrap/>
            <w:vAlign w:val="center"/>
            <w:hideMark/>
          </w:tcPr>
          <w:p w14:paraId="1372AAAD"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(920.011.504)</w:t>
            </w:r>
          </w:p>
        </w:tc>
        <w:tc>
          <w:tcPr>
            <w:tcW w:w="1237" w:type="dxa"/>
            <w:tcBorders>
              <w:top w:val="nil"/>
              <w:left w:val="nil"/>
              <w:bottom w:val="nil"/>
              <w:right w:val="nil"/>
            </w:tcBorders>
            <w:shd w:val="clear" w:color="auto" w:fill="auto"/>
            <w:noWrap/>
            <w:vAlign w:val="center"/>
            <w:hideMark/>
          </w:tcPr>
          <w:p w14:paraId="310A7282" w14:textId="53E49196"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(335.105)</w:t>
            </w:r>
          </w:p>
        </w:tc>
        <w:tc>
          <w:tcPr>
            <w:tcW w:w="1128" w:type="dxa"/>
            <w:tcBorders>
              <w:top w:val="nil"/>
              <w:left w:val="nil"/>
              <w:bottom w:val="nil"/>
              <w:right w:val="nil"/>
            </w:tcBorders>
            <w:shd w:val="clear" w:color="auto" w:fill="auto"/>
            <w:noWrap/>
            <w:vAlign w:val="center"/>
            <w:hideMark/>
          </w:tcPr>
          <w:p w14:paraId="78D7BFE3" w14:textId="02B21770"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165.019 </w:t>
            </w:r>
          </w:p>
        </w:tc>
        <w:tc>
          <w:tcPr>
            <w:tcW w:w="1359" w:type="dxa"/>
            <w:tcBorders>
              <w:top w:val="nil"/>
              <w:left w:val="nil"/>
              <w:bottom w:val="nil"/>
              <w:right w:val="nil"/>
            </w:tcBorders>
            <w:shd w:val="clear" w:color="auto" w:fill="auto"/>
            <w:noWrap/>
            <w:vAlign w:val="center"/>
            <w:hideMark/>
          </w:tcPr>
          <w:p w14:paraId="07E95F6E"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1EFEAB19"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(920.181.591)</w:t>
            </w:r>
          </w:p>
        </w:tc>
        <w:tc>
          <w:tcPr>
            <w:tcW w:w="743" w:type="dxa"/>
            <w:tcBorders>
              <w:top w:val="nil"/>
              <w:left w:val="nil"/>
              <w:bottom w:val="nil"/>
              <w:right w:val="nil"/>
            </w:tcBorders>
            <w:shd w:val="clear" w:color="auto" w:fill="auto"/>
            <w:noWrap/>
            <w:vAlign w:val="center"/>
            <w:hideMark/>
          </w:tcPr>
          <w:p w14:paraId="2AF69109" w14:textId="77777777" w:rsidR="00C9554B" w:rsidRDefault="00C9554B">
            <w:pPr>
              <w:jc w:val="right"/>
              <w:rPr>
                <w:rFonts w:ascii="Calibri" w:hAnsi="Calibri" w:cs="Calibri"/>
                <w:b/>
                <w:bCs/>
                <w:color w:val="000000"/>
                <w:sz w:val="16"/>
                <w:szCs w:val="16"/>
              </w:rPr>
            </w:pPr>
          </w:p>
        </w:tc>
      </w:tr>
      <w:tr w:rsidR="00C9554B" w14:paraId="0DFF64F9" w14:textId="77777777" w:rsidTr="00C9554B">
        <w:trPr>
          <w:trHeight w:val="300"/>
        </w:trPr>
        <w:tc>
          <w:tcPr>
            <w:tcW w:w="3261" w:type="dxa"/>
            <w:tcBorders>
              <w:top w:val="nil"/>
              <w:left w:val="nil"/>
              <w:bottom w:val="nil"/>
              <w:right w:val="nil"/>
            </w:tcBorders>
            <w:shd w:val="clear" w:color="auto" w:fill="auto"/>
            <w:noWrap/>
            <w:vAlign w:val="center"/>
            <w:hideMark/>
          </w:tcPr>
          <w:p w14:paraId="7BA783EA"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Salas e Escritórios</w:t>
            </w:r>
          </w:p>
        </w:tc>
        <w:tc>
          <w:tcPr>
            <w:tcW w:w="1418" w:type="dxa"/>
            <w:tcBorders>
              <w:top w:val="nil"/>
              <w:left w:val="nil"/>
              <w:bottom w:val="nil"/>
              <w:right w:val="nil"/>
            </w:tcBorders>
            <w:shd w:val="clear" w:color="auto" w:fill="auto"/>
            <w:noWrap/>
            <w:vAlign w:val="center"/>
            <w:hideMark/>
          </w:tcPr>
          <w:p w14:paraId="647C99F9" w14:textId="0539E56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(2.160.227)</w:t>
            </w:r>
          </w:p>
        </w:tc>
        <w:tc>
          <w:tcPr>
            <w:tcW w:w="1237" w:type="dxa"/>
            <w:tcBorders>
              <w:top w:val="nil"/>
              <w:left w:val="nil"/>
              <w:bottom w:val="nil"/>
              <w:right w:val="nil"/>
            </w:tcBorders>
            <w:shd w:val="clear" w:color="auto" w:fill="auto"/>
            <w:noWrap/>
            <w:vAlign w:val="center"/>
            <w:hideMark/>
          </w:tcPr>
          <w:p w14:paraId="1B2BC9F0" w14:textId="56B12D12"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(63.837)</w:t>
            </w:r>
          </w:p>
        </w:tc>
        <w:tc>
          <w:tcPr>
            <w:tcW w:w="1128" w:type="dxa"/>
            <w:tcBorders>
              <w:top w:val="nil"/>
              <w:left w:val="nil"/>
              <w:bottom w:val="nil"/>
              <w:right w:val="nil"/>
            </w:tcBorders>
            <w:shd w:val="clear" w:color="auto" w:fill="auto"/>
            <w:noWrap/>
            <w:vAlign w:val="center"/>
            <w:hideMark/>
          </w:tcPr>
          <w:p w14:paraId="79EEC5EA" w14:textId="661AE244"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165.019 </w:t>
            </w:r>
          </w:p>
        </w:tc>
        <w:tc>
          <w:tcPr>
            <w:tcW w:w="1359" w:type="dxa"/>
            <w:tcBorders>
              <w:top w:val="nil"/>
              <w:left w:val="nil"/>
              <w:bottom w:val="nil"/>
              <w:right w:val="nil"/>
            </w:tcBorders>
            <w:shd w:val="clear" w:color="auto" w:fill="auto"/>
            <w:noWrap/>
            <w:vAlign w:val="center"/>
            <w:hideMark/>
          </w:tcPr>
          <w:p w14:paraId="582B980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1B73D4F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(2.059.045)</w:t>
            </w:r>
          </w:p>
        </w:tc>
        <w:tc>
          <w:tcPr>
            <w:tcW w:w="743" w:type="dxa"/>
            <w:tcBorders>
              <w:top w:val="nil"/>
              <w:left w:val="nil"/>
              <w:bottom w:val="nil"/>
              <w:right w:val="nil"/>
            </w:tcBorders>
            <w:shd w:val="clear" w:color="auto" w:fill="auto"/>
            <w:noWrap/>
            <w:vAlign w:val="center"/>
            <w:hideMark/>
          </w:tcPr>
          <w:p w14:paraId="45BD6603" w14:textId="77777777" w:rsidR="00C9554B" w:rsidRDefault="00C9554B">
            <w:pPr>
              <w:jc w:val="right"/>
              <w:rPr>
                <w:rFonts w:ascii="Calibri" w:hAnsi="Calibri" w:cs="Calibri"/>
                <w:color w:val="000000"/>
                <w:sz w:val="16"/>
                <w:szCs w:val="16"/>
              </w:rPr>
            </w:pPr>
          </w:p>
        </w:tc>
      </w:tr>
      <w:tr w:rsidR="00C9554B" w14:paraId="63065D37" w14:textId="77777777" w:rsidTr="00C9554B">
        <w:trPr>
          <w:trHeight w:val="300"/>
        </w:trPr>
        <w:tc>
          <w:tcPr>
            <w:tcW w:w="3261" w:type="dxa"/>
            <w:tcBorders>
              <w:top w:val="nil"/>
              <w:left w:val="nil"/>
              <w:bottom w:val="nil"/>
              <w:right w:val="nil"/>
            </w:tcBorders>
            <w:shd w:val="clear" w:color="auto" w:fill="auto"/>
            <w:noWrap/>
            <w:vAlign w:val="center"/>
            <w:hideMark/>
          </w:tcPr>
          <w:p w14:paraId="19D15CCE"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FNS - Açailândia/MA - Palmas/TO</w:t>
            </w:r>
          </w:p>
        </w:tc>
        <w:tc>
          <w:tcPr>
            <w:tcW w:w="1418" w:type="dxa"/>
            <w:tcBorders>
              <w:top w:val="nil"/>
              <w:left w:val="nil"/>
              <w:bottom w:val="nil"/>
              <w:right w:val="nil"/>
            </w:tcBorders>
            <w:shd w:val="clear" w:color="auto" w:fill="auto"/>
            <w:noWrap/>
            <w:vAlign w:val="center"/>
            <w:hideMark/>
          </w:tcPr>
          <w:p w14:paraId="0FE21518"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(293.414.823)</w:t>
            </w:r>
          </w:p>
        </w:tc>
        <w:tc>
          <w:tcPr>
            <w:tcW w:w="1237" w:type="dxa"/>
            <w:tcBorders>
              <w:top w:val="nil"/>
              <w:left w:val="nil"/>
              <w:bottom w:val="nil"/>
              <w:right w:val="nil"/>
            </w:tcBorders>
            <w:shd w:val="clear" w:color="auto" w:fill="auto"/>
            <w:noWrap/>
            <w:vAlign w:val="center"/>
            <w:hideMark/>
          </w:tcPr>
          <w:p w14:paraId="6F4FED6B" w14:textId="6E7A87F9"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68540872" w14:textId="6D366152"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7AD4F0E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629BE0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(293.414.823)</w:t>
            </w:r>
          </w:p>
        </w:tc>
        <w:tc>
          <w:tcPr>
            <w:tcW w:w="743" w:type="dxa"/>
            <w:tcBorders>
              <w:top w:val="nil"/>
              <w:left w:val="nil"/>
              <w:bottom w:val="nil"/>
              <w:right w:val="nil"/>
            </w:tcBorders>
            <w:shd w:val="clear" w:color="auto" w:fill="auto"/>
            <w:noWrap/>
            <w:vAlign w:val="center"/>
            <w:hideMark/>
          </w:tcPr>
          <w:p w14:paraId="1A6D0285" w14:textId="77777777" w:rsidR="00C9554B" w:rsidRDefault="00C9554B">
            <w:pPr>
              <w:jc w:val="right"/>
              <w:rPr>
                <w:rFonts w:ascii="Calibri" w:hAnsi="Calibri" w:cs="Calibri"/>
                <w:color w:val="000000"/>
                <w:sz w:val="16"/>
                <w:szCs w:val="16"/>
              </w:rPr>
            </w:pPr>
          </w:p>
        </w:tc>
      </w:tr>
      <w:tr w:rsidR="00C9554B" w14:paraId="4E3C3F24" w14:textId="77777777" w:rsidTr="00C9554B">
        <w:trPr>
          <w:trHeight w:val="300"/>
        </w:trPr>
        <w:tc>
          <w:tcPr>
            <w:tcW w:w="3261" w:type="dxa"/>
            <w:tcBorders>
              <w:top w:val="nil"/>
              <w:left w:val="nil"/>
              <w:bottom w:val="nil"/>
              <w:right w:val="nil"/>
            </w:tcBorders>
            <w:shd w:val="clear" w:color="auto" w:fill="auto"/>
            <w:noWrap/>
            <w:vAlign w:val="center"/>
            <w:hideMark/>
          </w:tcPr>
          <w:p w14:paraId="0632E9F7"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FNS - Porto Nacional/TO - Anápolis/GO</w:t>
            </w:r>
          </w:p>
        </w:tc>
        <w:tc>
          <w:tcPr>
            <w:tcW w:w="1418" w:type="dxa"/>
            <w:tcBorders>
              <w:top w:val="nil"/>
              <w:left w:val="nil"/>
              <w:bottom w:val="nil"/>
              <w:right w:val="nil"/>
            </w:tcBorders>
            <w:shd w:val="clear" w:color="auto" w:fill="auto"/>
            <w:noWrap/>
            <w:vAlign w:val="center"/>
            <w:hideMark/>
          </w:tcPr>
          <w:p w14:paraId="6A465A2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(623.260.959)</w:t>
            </w:r>
          </w:p>
        </w:tc>
        <w:tc>
          <w:tcPr>
            <w:tcW w:w="1237" w:type="dxa"/>
            <w:tcBorders>
              <w:top w:val="nil"/>
              <w:left w:val="nil"/>
              <w:bottom w:val="nil"/>
              <w:right w:val="nil"/>
            </w:tcBorders>
            <w:shd w:val="clear" w:color="auto" w:fill="auto"/>
            <w:noWrap/>
            <w:vAlign w:val="center"/>
            <w:hideMark/>
          </w:tcPr>
          <w:p w14:paraId="27FE926B" w14:textId="6AC43ED4"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6C43E87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0438FB2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1908321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(623.260.959)</w:t>
            </w:r>
          </w:p>
        </w:tc>
        <w:tc>
          <w:tcPr>
            <w:tcW w:w="743" w:type="dxa"/>
            <w:tcBorders>
              <w:top w:val="nil"/>
              <w:left w:val="nil"/>
              <w:bottom w:val="nil"/>
              <w:right w:val="nil"/>
            </w:tcBorders>
            <w:shd w:val="clear" w:color="auto" w:fill="auto"/>
            <w:noWrap/>
            <w:vAlign w:val="center"/>
            <w:hideMark/>
          </w:tcPr>
          <w:p w14:paraId="6A760F77" w14:textId="77777777" w:rsidR="00C9554B" w:rsidRDefault="00C9554B">
            <w:pPr>
              <w:jc w:val="right"/>
              <w:rPr>
                <w:rFonts w:ascii="Calibri" w:hAnsi="Calibri" w:cs="Calibri"/>
                <w:color w:val="000000"/>
                <w:sz w:val="16"/>
                <w:szCs w:val="16"/>
              </w:rPr>
            </w:pPr>
          </w:p>
        </w:tc>
      </w:tr>
      <w:tr w:rsidR="00C9554B" w14:paraId="1A0FEE36" w14:textId="77777777" w:rsidTr="00C9554B">
        <w:trPr>
          <w:trHeight w:val="300"/>
        </w:trPr>
        <w:tc>
          <w:tcPr>
            <w:tcW w:w="3261" w:type="dxa"/>
            <w:tcBorders>
              <w:top w:val="nil"/>
              <w:left w:val="nil"/>
              <w:bottom w:val="nil"/>
              <w:right w:val="nil"/>
            </w:tcBorders>
            <w:shd w:val="clear" w:color="auto" w:fill="auto"/>
            <w:vAlign w:val="center"/>
            <w:hideMark/>
          </w:tcPr>
          <w:p w14:paraId="784F2C08"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Pátio Porto Franco</w:t>
            </w:r>
          </w:p>
        </w:tc>
        <w:tc>
          <w:tcPr>
            <w:tcW w:w="1418" w:type="dxa"/>
            <w:tcBorders>
              <w:top w:val="nil"/>
              <w:left w:val="nil"/>
              <w:bottom w:val="nil"/>
              <w:right w:val="nil"/>
            </w:tcBorders>
            <w:shd w:val="clear" w:color="auto" w:fill="auto"/>
            <w:noWrap/>
            <w:vAlign w:val="center"/>
            <w:hideMark/>
          </w:tcPr>
          <w:p w14:paraId="10591496" w14:textId="12F0C8E1"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(1.175.496)</w:t>
            </w:r>
          </w:p>
        </w:tc>
        <w:tc>
          <w:tcPr>
            <w:tcW w:w="1237" w:type="dxa"/>
            <w:tcBorders>
              <w:top w:val="nil"/>
              <w:left w:val="nil"/>
              <w:bottom w:val="nil"/>
              <w:right w:val="nil"/>
            </w:tcBorders>
            <w:shd w:val="clear" w:color="auto" w:fill="auto"/>
            <w:noWrap/>
            <w:vAlign w:val="center"/>
            <w:hideMark/>
          </w:tcPr>
          <w:p w14:paraId="447784B3" w14:textId="3A5715B0"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(271.268)</w:t>
            </w:r>
          </w:p>
        </w:tc>
        <w:tc>
          <w:tcPr>
            <w:tcW w:w="1128" w:type="dxa"/>
            <w:tcBorders>
              <w:top w:val="nil"/>
              <w:left w:val="nil"/>
              <w:bottom w:val="nil"/>
              <w:right w:val="nil"/>
            </w:tcBorders>
            <w:shd w:val="clear" w:color="auto" w:fill="auto"/>
            <w:noWrap/>
            <w:vAlign w:val="center"/>
            <w:hideMark/>
          </w:tcPr>
          <w:p w14:paraId="382AA86F" w14:textId="2DA5C2D6"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578C8942"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457A8823"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(1.446.764)</w:t>
            </w:r>
          </w:p>
        </w:tc>
        <w:tc>
          <w:tcPr>
            <w:tcW w:w="743" w:type="dxa"/>
            <w:tcBorders>
              <w:top w:val="nil"/>
              <w:left w:val="nil"/>
              <w:bottom w:val="nil"/>
              <w:right w:val="nil"/>
            </w:tcBorders>
            <w:shd w:val="clear" w:color="auto" w:fill="auto"/>
            <w:noWrap/>
            <w:vAlign w:val="center"/>
            <w:hideMark/>
          </w:tcPr>
          <w:p w14:paraId="08C5746B" w14:textId="77777777" w:rsidR="00C9554B" w:rsidRDefault="00C9554B">
            <w:pPr>
              <w:jc w:val="right"/>
              <w:rPr>
                <w:rFonts w:ascii="Calibri" w:hAnsi="Calibri" w:cs="Calibri"/>
                <w:color w:val="000000"/>
                <w:sz w:val="16"/>
                <w:szCs w:val="16"/>
              </w:rPr>
            </w:pPr>
          </w:p>
        </w:tc>
      </w:tr>
      <w:tr w:rsidR="00C9554B" w14:paraId="29318ACF" w14:textId="77777777" w:rsidTr="00C9554B">
        <w:trPr>
          <w:trHeight w:val="300"/>
        </w:trPr>
        <w:tc>
          <w:tcPr>
            <w:tcW w:w="3261" w:type="dxa"/>
            <w:tcBorders>
              <w:top w:val="nil"/>
              <w:left w:val="nil"/>
              <w:bottom w:val="nil"/>
              <w:right w:val="nil"/>
            </w:tcBorders>
            <w:shd w:val="clear" w:color="auto" w:fill="auto"/>
            <w:noWrap/>
            <w:vAlign w:val="center"/>
            <w:hideMark/>
          </w:tcPr>
          <w:p w14:paraId="70325013"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Depreciação Direito de Uso</w:t>
            </w:r>
          </w:p>
        </w:tc>
        <w:tc>
          <w:tcPr>
            <w:tcW w:w="1418" w:type="dxa"/>
            <w:tcBorders>
              <w:top w:val="nil"/>
              <w:left w:val="nil"/>
              <w:bottom w:val="nil"/>
              <w:right w:val="nil"/>
            </w:tcBorders>
            <w:shd w:val="clear" w:color="auto" w:fill="auto"/>
            <w:noWrap/>
            <w:vAlign w:val="center"/>
            <w:hideMark/>
          </w:tcPr>
          <w:p w14:paraId="5536ED8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(35.536.027)</w:t>
            </w:r>
          </w:p>
        </w:tc>
        <w:tc>
          <w:tcPr>
            <w:tcW w:w="1237" w:type="dxa"/>
            <w:tcBorders>
              <w:top w:val="nil"/>
              <w:left w:val="nil"/>
              <w:bottom w:val="nil"/>
              <w:right w:val="nil"/>
            </w:tcBorders>
            <w:shd w:val="clear" w:color="auto" w:fill="auto"/>
            <w:noWrap/>
            <w:vAlign w:val="center"/>
            <w:hideMark/>
          </w:tcPr>
          <w:p w14:paraId="37431B0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(8.062.180)</w:t>
            </w:r>
          </w:p>
        </w:tc>
        <w:tc>
          <w:tcPr>
            <w:tcW w:w="1128" w:type="dxa"/>
            <w:tcBorders>
              <w:top w:val="nil"/>
              <w:left w:val="nil"/>
              <w:bottom w:val="nil"/>
              <w:right w:val="nil"/>
            </w:tcBorders>
            <w:shd w:val="clear" w:color="auto" w:fill="auto"/>
            <w:noWrap/>
            <w:vAlign w:val="center"/>
            <w:hideMark/>
          </w:tcPr>
          <w:p w14:paraId="246FA95E" w14:textId="78FDBA3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6AC130D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35.160.374 </w:t>
            </w:r>
          </w:p>
        </w:tc>
        <w:tc>
          <w:tcPr>
            <w:tcW w:w="1490" w:type="dxa"/>
            <w:tcBorders>
              <w:top w:val="nil"/>
              <w:left w:val="nil"/>
              <w:bottom w:val="nil"/>
              <w:right w:val="nil"/>
            </w:tcBorders>
            <w:shd w:val="clear" w:color="auto" w:fill="auto"/>
            <w:noWrap/>
            <w:vAlign w:val="center"/>
            <w:hideMark/>
          </w:tcPr>
          <w:p w14:paraId="107CBDEC"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(8.437.833)</w:t>
            </w:r>
          </w:p>
        </w:tc>
        <w:tc>
          <w:tcPr>
            <w:tcW w:w="743" w:type="dxa"/>
            <w:tcBorders>
              <w:top w:val="nil"/>
              <w:left w:val="nil"/>
              <w:bottom w:val="nil"/>
              <w:right w:val="nil"/>
            </w:tcBorders>
            <w:shd w:val="clear" w:color="auto" w:fill="auto"/>
            <w:noWrap/>
            <w:vAlign w:val="center"/>
            <w:hideMark/>
          </w:tcPr>
          <w:p w14:paraId="1C8EB139" w14:textId="77777777" w:rsidR="00C9554B" w:rsidRDefault="00C9554B">
            <w:pPr>
              <w:jc w:val="right"/>
              <w:rPr>
                <w:rFonts w:ascii="Calibri" w:hAnsi="Calibri" w:cs="Calibri"/>
                <w:color w:val="000000"/>
                <w:sz w:val="16"/>
                <w:szCs w:val="16"/>
              </w:rPr>
            </w:pPr>
          </w:p>
        </w:tc>
      </w:tr>
      <w:tr w:rsidR="00C9554B" w14:paraId="2C6FED5A" w14:textId="77777777" w:rsidTr="00C9554B">
        <w:trPr>
          <w:trHeight w:val="300"/>
        </w:trPr>
        <w:tc>
          <w:tcPr>
            <w:tcW w:w="3261" w:type="dxa"/>
            <w:tcBorders>
              <w:top w:val="nil"/>
              <w:left w:val="nil"/>
              <w:bottom w:val="nil"/>
              <w:right w:val="nil"/>
            </w:tcBorders>
            <w:shd w:val="clear" w:color="auto" w:fill="auto"/>
            <w:noWrap/>
            <w:vAlign w:val="center"/>
            <w:hideMark/>
          </w:tcPr>
          <w:p w14:paraId="6CA6FC64"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Direito de Uso de Veículos</w:t>
            </w:r>
          </w:p>
        </w:tc>
        <w:tc>
          <w:tcPr>
            <w:tcW w:w="1418" w:type="dxa"/>
            <w:tcBorders>
              <w:top w:val="nil"/>
              <w:left w:val="nil"/>
              <w:bottom w:val="nil"/>
              <w:right w:val="nil"/>
            </w:tcBorders>
            <w:shd w:val="clear" w:color="auto" w:fill="auto"/>
            <w:noWrap/>
            <w:vAlign w:val="center"/>
            <w:hideMark/>
          </w:tcPr>
          <w:p w14:paraId="5D2D7652" w14:textId="38DDDA99"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(979.500)</w:t>
            </w:r>
          </w:p>
        </w:tc>
        <w:tc>
          <w:tcPr>
            <w:tcW w:w="1237" w:type="dxa"/>
            <w:tcBorders>
              <w:top w:val="nil"/>
              <w:left w:val="nil"/>
              <w:bottom w:val="nil"/>
              <w:right w:val="nil"/>
            </w:tcBorders>
            <w:shd w:val="clear" w:color="auto" w:fill="auto"/>
            <w:noWrap/>
            <w:vAlign w:val="center"/>
            <w:hideMark/>
          </w:tcPr>
          <w:p w14:paraId="34211A81" w14:textId="5D01F351"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(74.347)</w:t>
            </w:r>
          </w:p>
        </w:tc>
        <w:tc>
          <w:tcPr>
            <w:tcW w:w="1128" w:type="dxa"/>
            <w:tcBorders>
              <w:top w:val="nil"/>
              <w:left w:val="nil"/>
              <w:bottom w:val="nil"/>
              <w:right w:val="nil"/>
            </w:tcBorders>
            <w:shd w:val="clear" w:color="auto" w:fill="auto"/>
            <w:noWrap/>
            <w:vAlign w:val="center"/>
            <w:hideMark/>
          </w:tcPr>
          <w:p w14:paraId="7502A439" w14:textId="741E6831"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016304F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1.053.847 </w:t>
            </w:r>
          </w:p>
        </w:tc>
        <w:tc>
          <w:tcPr>
            <w:tcW w:w="1490" w:type="dxa"/>
            <w:tcBorders>
              <w:top w:val="nil"/>
              <w:left w:val="nil"/>
              <w:bottom w:val="nil"/>
              <w:right w:val="nil"/>
            </w:tcBorders>
            <w:shd w:val="clear" w:color="auto" w:fill="auto"/>
            <w:noWrap/>
            <w:vAlign w:val="center"/>
            <w:hideMark/>
          </w:tcPr>
          <w:p w14:paraId="4EC30F23" w14:textId="64E8E311"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743" w:type="dxa"/>
            <w:tcBorders>
              <w:top w:val="nil"/>
              <w:left w:val="nil"/>
              <w:bottom w:val="nil"/>
              <w:right w:val="nil"/>
            </w:tcBorders>
            <w:shd w:val="clear" w:color="auto" w:fill="auto"/>
            <w:noWrap/>
            <w:vAlign w:val="center"/>
            <w:hideMark/>
          </w:tcPr>
          <w:p w14:paraId="2C289885" w14:textId="77777777" w:rsidR="00C9554B" w:rsidRDefault="00C9554B">
            <w:pPr>
              <w:jc w:val="right"/>
              <w:rPr>
                <w:rFonts w:ascii="Calibri" w:hAnsi="Calibri" w:cs="Calibri"/>
                <w:color w:val="000000"/>
                <w:sz w:val="16"/>
                <w:szCs w:val="16"/>
              </w:rPr>
            </w:pPr>
          </w:p>
        </w:tc>
      </w:tr>
      <w:tr w:rsidR="00C9554B" w14:paraId="636F4E53" w14:textId="77777777" w:rsidTr="00C9554B">
        <w:trPr>
          <w:trHeight w:val="300"/>
        </w:trPr>
        <w:tc>
          <w:tcPr>
            <w:tcW w:w="3261" w:type="dxa"/>
            <w:tcBorders>
              <w:top w:val="nil"/>
              <w:left w:val="nil"/>
              <w:bottom w:val="nil"/>
              <w:right w:val="nil"/>
            </w:tcBorders>
            <w:shd w:val="clear" w:color="auto" w:fill="auto"/>
            <w:vAlign w:val="center"/>
            <w:hideMark/>
          </w:tcPr>
          <w:p w14:paraId="5CF150AA"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Direito de Uso de Imóveis</w:t>
            </w:r>
          </w:p>
        </w:tc>
        <w:tc>
          <w:tcPr>
            <w:tcW w:w="1418" w:type="dxa"/>
            <w:tcBorders>
              <w:top w:val="nil"/>
              <w:left w:val="nil"/>
              <w:bottom w:val="nil"/>
              <w:right w:val="nil"/>
            </w:tcBorders>
            <w:shd w:val="clear" w:color="auto" w:fill="auto"/>
            <w:noWrap/>
            <w:vAlign w:val="center"/>
            <w:hideMark/>
          </w:tcPr>
          <w:p w14:paraId="30B061B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(34.556.527)</w:t>
            </w:r>
          </w:p>
        </w:tc>
        <w:tc>
          <w:tcPr>
            <w:tcW w:w="1237" w:type="dxa"/>
            <w:tcBorders>
              <w:top w:val="nil"/>
              <w:left w:val="nil"/>
              <w:bottom w:val="nil"/>
              <w:right w:val="nil"/>
            </w:tcBorders>
            <w:shd w:val="clear" w:color="auto" w:fill="auto"/>
            <w:noWrap/>
            <w:vAlign w:val="center"/>
            <w:hideMark/>
          </w:tcPr>
          <w:p w14:paraId="79A1D97C"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(7.987.833)</w:t>
            </w:r>
          </w:p>
        </w:tc>
        <w:tc>
          <w:tcPr>
            <w:tcW w:w="1128" w:type="dxa"/>
            <w:tcBorders>
              <w:top w:val="nil"/>
              <w:left w:val="nil"/>
              <w:bottom w:val="nil"/>
              <w:right w:val="nil"/>
            </w:tcBorders>
            <w:shd w:val="clear" w:color="auto" w:fill="auto"/>
            <w:noWrap/>
            <w:vAlign w:val="center"/>
            <w:hideMark/>
          </w:tcPr>
          <w:p w14:paraId="51215DBC" w14:textId="00A9F9B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0815E08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34.106.527 </w:t>
            </w:r>
          </w:p>
        </w:tc>
        <w:tc>
          <w:tcPr>
            <w:tcW w:w="1490" w:type="dxa"/>
            <w:tcBorders>
              <w:top w:val="nil"/>
              <w:left w:val="nil"/>
              <w:bottom w:val="nil"/>
              <w:right w:val="nil"/>
            </w:tcBorders>
            <w:shd w:val="clear" w:color="auto" w:fill="auto"/>
            <w:noWrap/>
            <w:vAlign w:val="center"/>
            <w:hideMark/>
          </w:tcPr>
          <w:p w14:paraId="4A532562"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(8.437.833)</w:t>
            </w:r>
          </w:p>
        </w:tc>
        <w:tc>
          <w:tcPr>
            <w:tcW w:w="743" w:type="dxa"/>
            <w:tcBorders>
              <w:top w:val="nil"/>
              <w:left w:val="nil"/>
              <w:bottom w:val="nil"/>
              <w:right w:val="nil"/>
            </w:tcBorders>
            <w:shd w:val="clear" w:color="auto" w:fill="auto"/>
            <w:noWrap/>
            <w:vAlign w:val="center"/>
            <w:hideMark/>
          </w:tcPr>
          <w:p w14:paraId="72CDFCFC" w14:textId="77777777" w:rsidR="00C9554B" w:rsidRDefault="00C9554B">
            <w:pPr>
              <w:jc w:val="right"/>
              <w:rPr>
                <w:rFonts w:ascii="Calibri" w:hAnsi="Calibri" w:cs="Calibri"/>
                <w:color w:val="000000"/>
                <w:sz w:val="16"/>
                <w:szCs w:val="16"/>
              </w:rPr>
            </w:pPr>
          </w:p>
        </w:tc>
      </w:tr>
      <w:tr w:rsidR="00C9554B" w14:paraId="7B7747E7" w14:textId="77777777" w:rsidTr="00C9554B">
        <w:trPr>
          <w:trHeight w:val="150"/>
        </w:trPr>
        <w:tc>
          <w:tcPr>
            <w:tcW w:w="3261" w:type="dxa"/>
            <w:tcBorders>
              <w:top w:val="single" w:sz="8" w:space="0" w:color="auto"/>
              <w:left w:val="nil"/>
              <w:bottom w:val="single" w:sz="8" w:space="0" w:color="auto"/>
              <w:right w:val="nil"/>
            </w:tcBorders>
            <w:shd w:val="clear" w:color="auto" w:fill="auto"/>
            <w:vAlign w:val="center"/>
            <w:hideMark/>
          </w:tcPr>
          <w:p w14:paraId="401CACE1" w14:textId="77777777" w:rsidR="00C9554B" w:rsidRDefault="00C9554B">
            <w:pPr>
              <w:rPr>
                <w:rFonts w:ascii="Calibri" w:hAnsi="Calibri" w:cs="Calibri"/>
                <w:color w:val="000000"/>
                <w:sz w:val="16"/>
                <w:szCs w:val="16"/>
              </w:rPr>
            </w:pPr>
            <w:r>
              <w:rPr>
                <w:rFonts w:ascii="Calibri" w:hAnsi="Calibri" w:cs="Calibri"/>
                <w:color w:val="000000"/>
                <w:sz w:val="16"/>
                <w:szCs w:val="16"/>
              </w:rPr>
              <w:t> </w:t>
            </w:r>
          </w:p>
        </w:tc>
        <w:tc>
          <w:tcPr>
            <w:tcW w:w="1418" w:type="dxa"/>
            <w:tcBorders>
              <w:top w:val="single" w:sz="8" w:space="0" w:color="auto"/>
              <w:left w:val="nil"/>
              <w:bottom w:val="single" w:sz="8" w:space="0" w:color="auto"/>
              <w:right w:val="nil"/>
            </w:tcBorders>
            <w:shd w:val="clear" w:color="auto" w:fill="auto"/>
            <w:noWrap/>
            <w:vAlign w:val="center"/>
            <w:hideMark/>
          </w:tcPr>
          <w:p w14:paraId="27210EB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w:t>
            </w:r>
          </w:p>
        </w:tc>
        <w:tc>
          <w:tcPr>
            <w:tcW w:w="1237" w:type="dxa"/>
            <w:tcBorders>
              <w:top w:val="single" w:sz="8" w:space="0" w:color="auto"/>
              <w:left w:val="nil"/>
              <w:bottom w:val="single" w:sz="8" w:space="0" w:color="auto"/>
              <w:right w:val="nil"/>
            </w:tcBorders>
            <w:shd w:val="clear" w:color="auto" w:fill="auto"/>
            <w:noWrap/>
            <w:vAlign w:val="center"/>
            <w:hideMark/>
          </w:tcPr>
          <w:p w14:paraId="3A3DD680"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w:t>
            </w:r>
          </w:p>
        </w:tc>
        <w:tc>
          <w:tcPr>
            <w:tcW w:w="1128" w:type="dxa"/>
            <w:tcBorders>
              <w:top w:val="single" w:sz="8" w:space="0" w:color="auto"/>
              <w:left w:val="nil"/>
              <w:bottom w:val="single" w:sz="8" w:space="0" w:color="auto"/>
              <w:right w:val="nil"/>
            </w:tcBorders>
            <w:shd w:val="clear" w:color="auto" w:fill="auto"/>
            <w:noWrap/>
            <w:vAlign w:val="center"/>
            <w:hideMark/>
          </w:tcPr>
          <w:p w14:paraId="715AAE6F"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w:t>
            </w:r>
          </w:p>
        </w:tc>
        <w:tc>
          <w:tcPr>
            <w:tcW w:w="1359" w:type="dxa"/>
            <w:tcBorders>
              <w:top w:val="single" w:sz="8" w:space="0" w:color="auto"/>
              <w:left w:val="nil"/>
              <w:bottom w:val="single" w:sz="8" w:space="0" w:color="auto"/>
              <w:right w:val="nil"/>
            </w:tcBorders>
            <w:shd w:val="clear" w:color="auto" w:fill="auto"/>
            <w:noWrap/>
            <w:vAlign w:val="center"/>
            <w:hideMark/>
          </w:tcPr>
          <w:p w14:paraId="3EE2D288"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w:t>
            </w:r>
          </w:p>
        </w:tc>
        <w:tc>
          <w:tcPr>
            <w:tcW w:w="1490" w:type="dxa"/>
            <w:tcBorders>
              <w:top w:val="single" w:sz="8" w:space="0" w:color="auto"/>
              <w:left w:val="nil"/>
              <w:bottom w:val="single" w:sz="8" w:space="0" w:color="auto"/>
              <w:right w:val="nil"/>
            </w:tcBorders>
            <w:shd w:val="clear" w:color="auto" w:fill="auto"/>
            <w:noWrap/>
            <w:vAlign w:val="center"/>
            <w:hideMark/>
          </w:tcPr>
          <w:p w14:paraId="1EB38F23"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w:t>
            </w:r>
          </w:p>
        </w:tc>
        <w:tc>
          <w:tcPr>
            <w:tcW w:w="743" w:type="dxa"/>
            <w:tcBorders>
              <w:top w:val="single" w:sz="8" w:space="0" w:color="auto"/>
              <w:left w:val="nil"/>
              <w:bottom w:val="single" w:sz="8" w:space="0" w:color="auto"/>
              <w:right w:val="nil"/>
            </w:tcBorders>
            <w:shd w:val="clear" w:color="auto" w:fill="auto"/>
            <w:noWrap/>
            <w:vAlign w:val="center"/>
            <w:hideMark/>
          </w:tcPr>
          <w:p w14:paraId="6987027C" w14:textId="77777777" w:rsidR="00C9554B" w:rsidRDefault="00C9554B">
            <w:pPr>
              <w:jc w:val="center"/>
              <w:rPr>
                <w:rFonts w:ascii="Calibri" w:hAnsi="Calibri" w:cs="Calibri"/>
                <w:color w:val="000000"/>
                <w:sz w:val="16"/>
                <w:szCs w:val="16"/>
              </w:rPr>
            </w:pPr>
            <w:r>
              <w:rPr>
                <w:rFonts w:ascii="Calibri" w:hAnsi="Calibri" w:cs="Calibri"/>
                <w:color w:val="000000"/>
                <w:sz w:val="16"/>
                <w:szCs w:val="16"/>
              </w:rPr>
              <w:t> </w:t>
            </w:r>
          </w:p>
        </w:tc>
      </w:tr>
      <w:tr w:rsidR="00C9554B" w14:paraId="38A1A37D" w14:textId="77777777" w:rsidTr="00C9554B">
        <w:trPr>
          <w:trHeight w:val="315"/>
        </w:trPr>
        <w:tc>
          <w:tcPr>
            <w:tcW w:w="3261" w:type="dxa"/>
            <w:tcBorders>
              <w:top w:val="nil"/>
              <w:left w:val="nil"/>
              <w:bottom w:val="single" w:sz="8" w:space="0" w:color="auto"/>
              <w:right w:val="nil"/>
            </w:tcBorders>
            <w:shd w:val="clear" w:color="auto" w:fill="auto"/>
            <w:noWrap/>
            <w:vAlign w:val="center"/>
            <w:hideMark/>
          </w:tcPr>
          <w:p w14:paraId="2A0E6899"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Total Líquido (7) =1+ 2+3+4+5+6</w:t>
            </w:r>
          </w:p>
        </w:tc>
        <w:tc>
          <w:tcPr>
            <w:tcW w:w="1418" w:type="dxa"/>
            <w:tcBorders>
              <w:top w:val="nil"/>
              <w:left w:val="nil"/>
              <w:bottom w:val="single" w:sz="8" w:space="0" w:color="auto"/>
              <w:right w:val="nil"/>
            </w:tcBorders>
            <w:shd w:val="clear" w:color="auto" w:fill="auto"/>
            <w:noWrap/>
            <w:vAlign w:val="center"/>
            <w:hideMark/>
          </w:tcPr>
          <w:p w14:paraId="05CF7CD8"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3.284.926.865 </w:t>
            </w:r>
          </w:p>
        </w:tc>
        <w:tc>
          <w:tcPr>
            <w:tcW w:w="1237" w:type="dxa"/>
            <w:tcBorders>
              <w:top w:val="nil"/>
              <w:left w:val="nil"/>
              <w:bottom w:val="single" w:sz="8" w:space="0" w:color="auto"/>
              <w:right w:val="nil"/>
            </w:tcBorders>
            <w:shd w:val="clear" w:color="auto" w:fill="auto"/>
            <w:noWrap/>
            <w:vAlign w:val="center"/>
            <w:hideMark/>
          </w:tcPr>
          <w:p w14:paraId="03F513FC"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472.234.377 </w:t>
            </w:r>
          </w:p>
        </w:tc>
        <w:tc>
          <w:tcPr>
            <w:tcW w:w="1128" w:type="dxa"/>
            <w:tcBorders>
              <w:top w:val="nil"/>
              <w:left w:val="nil"/>
              <w:bottom w:val="single" w:sz="8" w:space="0" w:color="auto"/>
              <w:right w:val="nil"/>
            </w:tcBorders>
            <w:shd w:val="clear" w:color="auto" w:fill="auto"/>
            <w:noWrap/>
            <w:vAlign w:val="center"/>
            <w:hideMark/>
          </w:tcPr>
          <w:p w14:paraId="6C0C4FC9" w14:textId="13DD9509"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(5.118.385)</w:t>
            </w:r>
          </w:p>
        </w:tc>
        <w:tc>
          <w:tcPr>
            <w:tcW w:w="1359" w:type="dxa"/>
            <w:tcBorders>
              <w:top w:val="nil"/>
              <w:left w:val="nil"/>
              <w:bottom w:val="single" w:sz="8" w:space="0" w:color="auto"/>
              <w:right w:val="nil"/>
            </w:tcBorders>
            <w:shd w:val="clear" w:color="auto" w:fill="auto"/>
            <w:noWrap/>
            <w:vAlign w:val="center"/>
            <w:hideMark/>
          </w:tcPr>
          <w:p w14:paraId="2F5DB66D" w14:textId="5FD8D7A1"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(6.385.760)</w:t>
            </w:r>
          </w:p>
        </w:tc>
        <w:tc>
          <w:tcPr>
            <w:tcW w:w="1490" w:type="dxa"/>
            <w:tcBorders>
              <w:top w:val="nil"/>
              <w:left w:val="nil"/>
              <w:bottom w:val="single" w:sz="8" w:space="0" w:color="auto"/>
              <w:right w:val="nil"/>
            </w:tcBorders>
            <w:shd w:val="clear" w:color="auto" w:fill="auto"/>
            <w:noWrap/>
            <w:vAlign w:val="center"/>
            <w:hideMark/>
          </w:tcPr>
          <w:p w14:paraId="392C365C"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3.745.657.095 </w:t>
            </w:r>
          </w:p>
        </w:tc>
        <w:tc>
          <w:tcPr>
            <w:tcW w:w="743" w:type="dxa"/>
            <w:tcBorders>
              <w:top w:val="nil"/>
              <w:left w:val="nil"/>
              <w:bottom w:val="single" w:sz="8" w:space="0" w:color="auto"/>
              <w:right w:val="nil"/>
            </w:tcBorders>
            <w:shd w:val="clear" w:color="auto" w:fill="auto"/>
            <w:noWrap/>
            <w:vAlign w:val="center"/>
            <w:hideMark/>
          </w:tcPr>
          <w:p w14:paraId="702E3B30"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 xml:space="preserve"> </w:t>
            </w:r>
          </w:p>
        </w:tc>
      </w:tr>
      <w:tr w:rsidR="00C9554B" w14:paraId="0918F4CF" w14:textId="77777777" w:rsidTr="00C9554B">
        <w:trPr>
          <w:trHeight w:val="105"/>
        </w:trPr>
        <w:tc>
          <w:tcPr>
            <w:tcW w:w="3261" w:type="dxa"/>
            <w:tcBorders>
              <w:top w:val="nil"/>
              <w:left w:val="nil"/>
              <w:bottom w:val="nil"/>
              <w:right w:val="nil"/>
            </w:tcBorders>
            <w:shd w:val="clear" w:color="auto" w:fill="auto"/>
            <w:noWrap/>
            <w:vAlign w:val="bottom"/>
            <w:hideMark/>
          </w:tcPr>
          <w:p w14:paraId="2C09C069" w14:textId="77777777" w:rsidR="00C9554B" w:rsidRDefault="00C9554B">
            <w:pPr>
              <w:rPr>
                <w:rFonts w:ascii="Calibri" w:hAnsi="Calibri" w:cs="Calibri"/>
                <w:b/>
                <w:bCs/>
                <w:color w:val="000000"/>
                <w:sz w:val="16"/>
                <w:szCs w:val="16"/>
              </w:rPr>
            </w:pPr>
          </w:p>
        </w:tc>
        <w:tc>
          <w:tcPr>
            <w:tcW w:w="1418" w:type="dxa"/>
            <w:tcBorders>
              <w:top w:val="nil"/>
              <w:left w:val="nil"/>
              <w:bottom w:val="nil"/>
              <w:right w:val="nil"/>
            </w:tcBorders>
            <w:shd w:val="clear" w:color="auto" w:fill="auto"/>
            <w:noWrap/>
            <w:vAlign w:val="bottom"/>
            <w:hideMark/>
          </w:tcPr>
          <w:p w14:paraId="0D27595C" w14:textId="77777777" w:rsidR="00C9554B" w:rsidRDefault="00C9554B">
            <w:pPr>
              <w:rPr>
                <w:sz w:val="20"/>
                <w:szCs w:val="20"/>
              </w:rPr>
            </w:pPr>
          </w:p>
        </w:tc>
        <w:tc>
          <w:tcPr>
            <w:tcW w:w="1237" w:type="dxa"/>
            <w:tcBorders>
              <w:top w:val="nil"/>
              <w:left w:val="nil"/>
              <w:bottom w:val="nil"/>
              <w:right w:val="nil"/>
            </w:tcBorders>
            <w:shd w:val="clear" w:color="auto" w:fill="auto"/>
            <w:noWrap/>
            <w:vAlign w:val="bottom"/>
            <w:hideMark/>
          </w:tcPr>
          <w:p w14:paraId="399BD066" w14:textId="77777777" w:rsidR="00C9554B" w:rsidRDefault="00C9554B">
            <w:pPr>
              <w:rPr>
                <w:sz w:val="20"/>
                <w:szCs w:val="20"/>
              </w:rPr>
            </w:pPr>
          </w:p>
        </w:tc>
        <w:tc>
          <w:tcPr>
            <w:tcW w:w="1128" w:type="dxa"/>
            <w:tcBorders>
              <w:top w:val="nil"/>
              <w:left w:val="nil"/>
              <w:bottom w:val="nil"/>
              <w:right w:val="nil"/>
            </w:tcBorders>
            <w:shd w:val="clear" w:color="auto" w:fill="auto"/>
            <w:noWrap/>
            <w:vAlign w:val="bottom"/>
            <w:hideMark/>
          </w:tcPr>
          <w:p w14:paraId="2996B8D1" w14:textId="77777777" w:rsidR="00C9554B" w:rsidRDefault="00C9554B">
            <w:pPr>
              <w:rPr>
                <w:sz w:val="20"/>
                <w:szCs w:val="20"/>
              </w:rPr>
            </w:pPr>
          </w:p>
        </w:tc>
        <w:tc>
          <w:tcPr>
            <w:tcW w:w="1359" w:type="dxa"/>
            <w:tcBorders>
              <w:top w:val="nil"/>
              <w:left w:val="nil"/>
              <w:bottom w:val="nil"/>
              <w:right w:val="nil"/>
            </w:tcBorders>
            <w:shd w:val="clear" w:color="auto" w:fill="auto"/>
            <w:noWrap/>
            <w:vAlign w:val="bottom"/>
            <w:hideMark/>
          </w:tcPr>
          <w:p w14:paraId="163CE2A6" w14:textId="77777777" w:rsidR="00C9554B" w:rsidRDefault="00C9554B">
            <w:pPr>
              <w:rPr>
                <w:sz w:val="20"/>
                <w:szCs w:val="20"/>
              </w:rPr>
            </w:pPr>
          </w:p>
        </w:tc>
        <w:tc>
          <w:tcPr>
            <w:tcW w:w="1490" w:type="dxa"/>
            <w:tcBorders>
              <w:top w:val="nil"/>
              <w:left w:val="nil"/>
              <w:bottom w:val="nil"/>
              <w:right w:val="nil"/>
            </w:tcBorders>
            <w:shd w:val="clear" w:color="auto" w:fill="auto"/>
            <w:noWrap/>
            <w:vAlign w:val="bottom"/>
            <w:hideMark/>
          </w:tcPr>
          <w:p w14:paraId="38CFC10A" w14:textId="77777777" w:rsidR="00C9554B" w:rsidRDefault="00C9554B">
            <w:pPr>
              <w:rPr>
                <w:sz w:val="20"/>
                <w:szCs w:val="20"/>
              </w:rPr>
            </w:pPr>
          </w:p>
        </w:tc>
        <w:tc>
          <w:tcPr>
            <w:tcW w:w="743" w:type="dxa"/>
            <w:tcBorders>
              <w:top w:val="nil"/>
              <w:left w:val="nil"/>
              <w:bottom w:val="nil"/>
              <w:right w:val="nil"/>
            </w:tcBorders>
            <w:shd w:val="clear" w:color="auto" w:fill="auto"/>
            <w:noWrap/>
            <w:vAlign w:val="bottom"/>
            <w:hideMark/>
          </w:tcPr>
          <w:p w14:paraId="152D6218" w14:textId="77777777" w:rsidR="00C9554B" w:rsidRDefault="00C9554B">
            <w:pPr>
              <w:rPr>
                <w:sz w:val="20"/>
                <w:szCs w:val="20"/>
              </w:rPr>
            </w:pPr>
          </w:p>
        </w:tc>
      </w:tr>
      <w:tr w:rsidR="00C9554B" w14:paraId="4D12C485" w14:textId="77777777" w:rsidTr="00C9554B">
        <w:trPr>
          <w:trHeight w:val="465"/>
        </w:trPr>
        <w:tc>
          <w:tcPr>
            <w:tcW w:w="3261" w:type="dxa"/>
            <w:tcBorders>
              <w:top w:val="nil"/>
              <w:left w:val="nil"/>
              <w:bottom w:val="single" w:sz="8" w:space="0" w:color="auto"/>
              <w:right w:val="nil"/>
            </w:tcBorders>
            <w:shd w:val="clear" w:color="auto" w:fill="auto"/>
            <w:vAlign w:val="center"/>
            <w:hideMark/>
          </w:tcPr>
          <w:p w14:paraId="1D74649F"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IMOBILIZADO CONSOLIDADO</w:t>
            </w:r>
          </w:p>
        </w:tc>
        <w:tc>
          <w:tcPr>
            <w:tcW w:w="1418" w:type="dxa"/>
            <w:tcBorders>
              <w:top w:val="nil"/>
              <w:left w:val="nil"/>
              <w:bottom w:val="single" w:sz="8" w:space="0" w:color="auto"/>
              <w:right w:val="nil"/>
            </w:tcBorders>
            <w:shd w:val="clear" w:color="auto" w:fill="auto"/>
            <w:vAlign w:val="center"/>
            <w:hideMark/>
          </w:tcPr>
          <w:p w14:paraId="1544DCD0"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1237" w:type="dxa"/>
            <w:tcBorders>
              <w:top w:val="nil"/>
              <w:left w:val="nil"/>
              <w:bottom w:val="single" w:sz="8" w:space="0" w:color="auto"/>
              <w:right w:val="nil"/>
            </w:tcBorders>
            <w:shd w:val="clear" w:color="auto" w:fill="auto"/>
            <w:vAlign w:val="center"/>
            <w:hideMark/>
          </w:tcPr>
          <w:p w14:paraId="0DD7E21F"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1128" w:type="dxa"/>
            <w:tcBorders>
              <w:top w:val="nil"/>
              <w:left w:val="nil"/>
              <w:bottom w:val="single" w:sz="8" w:space="0" w:color="auto"/>
              <w:right w:val="nil"/>
            </w:tcBorders>
            <w:shd w:val="clear" w:color="auto" w:fill="auto"/>
            <w:vAlign w:val="center"/>
            <w:hideMark/>
          </w:tcPr>
          <w:p w14:paraId="2E0A6879"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BAIXAS</w:t>
            </w:r>
          </w:p>
        </w:tc>
        <w:tc>
          <w:tcPr>
            <w:tcW w:w="1359" w:type="dxa"/>
            <w:tcBorders>
              <w:top w:val="nil"/>
              <w:left w:val="nil"/>
              <w:bottom w:val="single" w:sz="8" w:space="0" w:color="auto"/>
              <w:right w:val="nil"/>
            </w:tcBorders>
            <w:shd w:val="clear" w:color="auto" w:fill="auto"/>
            <w:vAlign w:val="center"/>
            <w:hideMark/>
          </w:tcPr>
          <w:p w14:paraId="6056C00C"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TRANSF.</w:t>
            </w:r>
          </w:p>
        </w:tc>
        <w:tc>
          <w:tcPr>
            <w:tcW w:w="1490" w:type="dxa"/>
            <w:tcBorders>
              <w:top w:val="nil"/>
              <w:left w:val="nil"/>
              <w:bottom w:val="single" w:sz="8" w:space="0" w:color="auto"/>
              <w:right w:val="nil"/>
            </w:tcBorders>
            <w:shd w:val="clear" w:color="auto" w:fill="auto"/>
            <w:vAlign w:val="center"/>
            <w:hideMark/>
          </w:tcPr>
          <w:p w14:paraId="7B12813F"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SALDO EM 30/09/2022</w:t>
            </w:r>
          </w:p>
        </w:tc>
        <w:tc>
          <w:tcPr>
            <w:tcW w:w="743" w:type="dxa"/>
            <w:tcBorders>
              <w:top w:val="nil"/>
              <w:left w:val="nil"/>
              <w:bottom w:val="single" w:sz="8" w:space="0" w:color="auto"/>
              <w:right w:val="nil"/>
            </w:tcBorders>
            <w:shd w:val="clear" w:color="auto" w:fill="auto"/>
            <w:vAlign w:val="center"/>
            <w:hideMark/>
          </w:tcPr>
          <w:p w14:paraId="0FF53584"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w:t>
            </w:r>
          </w:p>
        </w:tc>
      </w:tr>
      <w:tr w:rsidR="00C9554B" w14:paraId="2DCBDB8D" w14:textId="77777777" w:rsidTr="00C9554B">
        <w:trPr>
          <w:trHeight w:val="300"/>
        </w:trPr>
        <w:tc>
          <w:tcPr>
            <w:tcW w:w="3261" w:type="dxa"/>
            <w:tcBorders>
              <w:top w:val="nil"/>
              <w:left w:val="nil"/>
              <w:bottom w:val="nil"/>
              <w:right w:val="nil"/>
            </w:tcBorders>
            <w:shd w:val="clear" w:color="auto" w:fill="auto"/>
            <w:noWrap/>
            <w:vAlign w:val="center"/>
            <w:hideMark/>
          </w:tcPr>
          <w:p w14:paraId="640A0BAA" w14:textId="77777777" w:rsidR="00C9554B" w:rsidRDefault="00C9554B">
            <w:pPr>
              <w:rPr>
                <w:rFonts w:ascii="Calibri" w:hAnsi="Calibri" w:cs="Calibri"/>
                <w:color w:val="000000"/>
                <w:sz w:val="16"/>
                <w:szCs w:val="16"/>
              </w:rPr>
            </w:pPr>
            <w:r>
              <w:rPr>
                <w:rFonts w:ascii="Calibri" w:hAnsi="Calibri" w:cs="Calibri"/>
                <w:color w:val="000000"/>
                <w:sz w:val="16"/>
                <w:szCs w:val="16"/>
              </w:rPr>
              <w:t>Total Bens Móveis (1)</w:t>
            </w:r>
          </w:p>
        </w:tc>
        <w:tc>
          <w:tcPr>
            <w:tcW w:w="1418" w:type="dxa"/>
            <w:tcBorders>
              <w:top w:val="nil"/>
              <w:left w:val="nil"/>
              <w:bottom w:val="nil"/>
              <w:right w:val="nil"/>
            </w:tcBorders>
            <w:shd w:val="clear" w:color="auto" w:fill="auto"/>
            <w:noWrap/>
            <w:vAlign w:val="center"/>
            <w:hideMark/>
          </w:tcPr>
          <w:p w14:paraId="706E616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38.726.226 </w:t>
            </w:r>
          </w:p>
        </w:tc>
        <w:tc>
          <w:tcPr>
            <w:tcW w:w="1237" w:type="dxa"/>
            <w:tcBorders>
              <w:top w:val="nil"/>
              <w:left w:val="nil"/>
              <w:bottom w:val="nil"/>
              <w:right w:val="nil"/>
            </w:tcBorders>
            <w:shd w:val="clear" w:color="auto" w:fill="auto"/>
            <w:noWrap/>
            <w:vAlign w:val="center"/>
            <w:hideMark/>
          </w:tcPr>
          <w:p w14:paraId="559CAFA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15.634.594 </w:t>
            </w:r>
          </w:p>
        </w:tc>
        <w:tc>
          <w:tcPr>
            <w:tcW w:w="1128" w:type="dxa"/>
            <w:tcBorders>
              <w:top w:val="nil"/>
              <w:left w:val="nil"/>
              <w:bottom w:val="nil"/>
              <w:right w:val="nil"/>
            </w:tcBorders>
            <w:shd w:val="clear" w:color="auto" w:fill="auto"/>
            <w:noWrap/>
            <w:vAlign w:val="center"/>
            <w:hideMark/>
          </w:tcPr>
          <w:p w14:paraId="770B425A" w14:textId="3621635E"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(61.596)</w:t>
            </w:r>
          </w:p>
        </w:tc>
        <w:tc>
          <w:tcPr>
            <w:tcW w:w="1359" w:type="dxa"/>
            <w:tcBorders>
              <w:top w:val="nil"/>
              <w:left w:val="nil"/>
              <w:bottom w:val="nil"/>
              <w:right w:val="nil"/>
            </w:tcBorders>
            <w:shd w:val="clear" w:color="auto" w:fill="auto"/>
            <w:noWrap/>
            <w:vAlign w:val="center"/>
            <w:hideMark/>
          </w:tcPr>
          <w:p w14:paraId="05FD68B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484.735 </w:t>
            </w:r>
          </w:p>
        </w:tc>
        <w:tc>
          <w:tcPr>
            <w:tcW w:w="1490" w:type="dxa"/>
            <w:tcBorders>
              <w:top w:val="nil"/>
              <w:left w:val="nil"/>
              <w:bottom w:val="nil"/>
              <w:right w:val="nil"/>
            </w:tcBorders>
            <w:shd w:val="clear" w:color="auto" w:fill="auto"/>
            <w:noWrap/>
            <w:vAlign w:val="center"/>
            <w:hideMark/>
          </w:tcPr>
          <w:p w14:paraId="65A7DFD1"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54.783.960 </w:t>
            </w:r>
          </w:p>
        </w:tc>
        <w:tc>
          <w:tcPr>
            <w:tcW w:w="743" w:type="dxa"/>
            <w:tcBorders>
              <w:top w:val="nil"/>
              <w:left w:val="nil"/>
              <w:bottom w:val="nil"/>
              <w:right w:val="nil"/>
            </w:tcBorders>
            <w:shd w:val="clear" w:color="auto" w:fill="auto"/>
            <w:noWrap/>
            <w:vAlign w:val="bottom"/>
            <w:hideMark/>
          </w:tcPr>
          <w:p w14:paraId="744247DD" w14:textId="77777777" w:rsidR="00C9554B" w:rsidRDefault="00C9554B">
            <w:pPr>
              <w:jc w:val="right"/>
              <w:rPr>
                <w:rFonts w:ascii="Calibri" w:hAnsi="Calibri" w:cs="Calibri"/>
                <w:color w:val="000000"/>
                <w:sz w:val="16"/>
                <w:szCs w:val="16"/>
              </w:rPr>
            </w:pPr>
          </w:p>
        </w:tc>
      </w:tr>
      <w:tr w:rsidR="00C9554B" w14:paraId="25708206" w14:textId="77777777" w:rsidTr="00C9554B">
        <w:trPr>
          <w:trHeight w:val="300"/>
        </w:trPr>
        <w:tc>
          <w:tcPr>
            <w:tcW w:w="3261" w:type="dxa"/>
            <w:tcBorders>
              <w:top w:val="nil"/>
              <w:left w:val="nil"/>
              <w:bottom w:val="nil"/>
              <w:right w:val="nil"/>
            </w:tcBorders>
            <w:shd w:val="clear" w:color="auto" w:fill="auto"/>
            <w:noWrap/>
            <w:vAlign w:val="center"/>
            <w:hideMark/>
          </w:tcPr>
          <w:p w14:paraId="00B28A37" w14:textId="77777777" w:rsidR="00C9554B" w:rsidRDefault="00C9554B">
            <w:pPr>
              <w:rPr>
                <w:rFonts w:ascii="Calibri" w:hAnsi="Calibri" w:cs="Calibri"/>
                <w:color w:val="000000"/>
                <w:sz w:val="16"/>
                <w:szCs w:val="16"/>
              </w:rPr>
            </w:pPr>
            <w:r>
              <w:rPr>
                <w:rFonts w:ascii="Calibri" w:hAnsi="Calibri" w:cs="Calibri"/>
                <w:color w:val="000000"/>
                <w:sz w:val="16"/>
                <w:szCs w:val="16"/>
              </w:rPr>
              <w:t>Total Bens Imóveis (2)</w:t>
            </w:r>
          </w:p>
        </w:tc>
        <w:tc>
          <w:tcPr>
            <w:tcW w:w="1418" w:type="dxa"/>
            <w:tcBorders>
              <w:top w:val="nil"/>
              <w:left w:val="nil"/>
              <w:bottom w:val="nil"/>
              <w:right w:val="nil"/>
            </w:tcBorders>
            <w:shd w:val="clear" w:color="auto" w:fill="auto"/>
            <w:noWrap/>
            <w:vAlign w:val="center"/>
            <w:hideMark/>
          </w:tcPr>
          <w:p w14:paraId="5C6D193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18.756.132.691 </w:t>
            </w:r>
          </w:p>
        </w:tc>
        <w:tc>
          <w:tcPr>
            <w:tcW w:w="1237" w:type="dxa"/>
            <w:tcBorders>
              <w:top w:val="nil"/>
              <w:left w:val="nil"/>
              <w:bottom w:val="nil"/>
              <w:right w:val="nil"/>
            </w:tcBorders>
            <w:shd w:val="clear" w:color="auto" w:fill="auto"/>
            <w:noWrap/>
            <w:vAlign w:val="center"/>
            <w:hideMark/>
          </w:tcPr>
          <w:p w14:paraId="606D9738"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467.887.784 </w:t>
            </w:r>
          </w:p>
        </w:tc>
        <w:tc>
          <w:tcPr>
            <w:tcW w:w="1128" w:type="dxa"/>
            <w:tcBorders>
              <w:top w:val="nil"/>
              <w:left w:val="nil"/>
              <w:bottom w:val="nil"/>
              <w:right w:val="nil"/>
            </w:tcBorders>
            <w:shd w:val="clear" w:color="auto" w:fill="auto"/>
            <w:noWrap/>
            <w:vAlign w:val="center"/>
            <w:hideMark/>
          </w:tcPr>
          <w:p w14:paraId="674F19C8" w14:textId="39EDECE8"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(687.754)</w:t>
            </w:r>
          </w:p>
        </w:tc>
        <w:tc>
          <w:tcPr>
            <w:tcW w:w="1359" w:type="dxa"/>
            <w:tcBorders>
              <w:top w:val="nil"/>
              <w:left w:val="nil"/>
              <w:bottom w:val="nil"/>
              <w:right w:val="nil"/>
            </w:tcBorders>
            <w:shd w:val="clear" w:color="auto" w:fill="auto"/>
            <w:noWrap/>
            <w:vAlign w:val="center"/>
            <w:hideMark/>
          </w:tcPr>
          <w:p w14:paraId="609CF0B6" w14:textId="77A65F5D"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(484.735)</w:t>
            </w:r>
          </w:p>
        </w:tc>
        <w:tc>
          <w:tcPr>
            <w:tcW w:w="1490" w:type="dxa"/>
            <w:tcBorders>
              <w:top w:val="nil"/>
              <w:left w:val="nil"/>
              <w:bottom w:val="nil"/>
              <w:right w:val="nil"/>
            </w:tcBorders>
            <w:shd w:val="clear" w:color="auto" w:fill="auto"/>
            <w:noWrap/>
            <w:vAlign w:val="center"/>
            <w:hideMark/>
          </w:tcPr>
          <w:p w14:paraId="7FCB54E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19.222.847.985 </w:t>
            </w:r>
          </w:p>
        </w:tc>
        <w:tc>
          <w:tcPr>
            <w:tcW w:w="743" w:type="dxa"/>
            <w:tcBorders>
              <w:top w:val="nil"/>
              <w:left w:val="nil"/>
              <w:bottom w:val="nil"/>
              <w:right w:val="nil"/>
            </w:tcBorders>
            <w:shd w:val="clear" w:color="auto" w:fill="auto"/>
            <w:noWrap/>
            <w:vAlign w:val="bottom"/>
            <w:hideMark/>
          </w:tcPr>
          <w:p w14:paraId="3684F324" w14:textId="77777777" w:rsidR="00C9554B" w:rsidRDefault="00C9554B">
            <w:pPr>
              <w:jc w:val="right"/>
              <w:rPr>
                <w:rFonts w:ascii="Calibri" w:hAnsi="Calibri" w:cs="Calibri"/>
                <w:color w:val="000000"/>
                <w:sz w:val="16"/>
                <w:szCs w:val="16"/>
              </w:rPr>
            </w:pPr>
          </w:p>
        </w:tc>
      </w:tr>
      <w:tr w:rsidR="00C9554B" w14:paraId="7BA197BA" w14:textId="77777777" w:rsidTr="00C9554B">
        <w:trPr>
          <w:trHeight w:val="300"/>
        </w:trPr>
        <w:tc>
          <w:tcPr>
            <w:tcW w:w="3261" w:type="dxa"/>
            <w:tcBorders>
              <w:top w:val="nil"/>
              <w:left w:val="nil"/>
              <w:bottom w:val="nil"/>
              <w:right w:val="nil"/>
            </w:tcBorders>
            <w:shd w:val="clear" w:color="auto" w:fill="auto"/>
            <w:noWrap/>
            <w:vAlign w:val="center"/>
            <w:hideMark/>
          </w:tcPr>
          <w:p w14:paraId="6838E0C4" w14:textId="77777777" w:rsidR="00C9554B" w:rsidRDefault="00C9554B">
            <w:pPr>
              <w:rPr>
                <w:rFonts w:ascii="Calibri" w:hAnsi="Calibri" w:cs="Calibri"/>
                <w:color w:val="000000"/>
                <w:sz w:val="16"/>
                <w:szCs w:val="16"/>
              </w:rPr>
            </w:pPr>
            <w:r>
              <w:rPr>
                <w:rFonts w:ascii="Calibri" w:hAnsi="Calibri" w:cs="Calibri"/>
                <w:color w:val="000000"/>
                <w:sz w:val="16"/>
                <w:szCs w:val="16"/>
              </w:rPr>
              <w:t>Total Direito de Uso (3)</w:t>
            </w:r>
          </w:p>
        </w:tc>
        <w:tc>
          <w:tcPr>
            <w:tcW w:w="1418" w:type="dxa"/>
            <w:tcBorders>
              <w:top w:val="nil"/>
              <w:left w:val="nil"/>
              <w:bottom w:val="nil"/>
              <w:right w:val="nil"/>
            </w:tcBorders>
            <w:shd w:val="clear" w:color="auto" w:fill="auto"/>
            <w:noWrap/>
            <w:vAlign w:val="center"/>
            <w:hideMark/>
          </w:tcPr>
          <w:p w14:paraId="6913AF12"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57.207.327 </w:t>
            </w:r>
          </w:p>
        </w:tc>
        <w:tc>
          <w:tcPr>
            <w:tcW w:w="1237" w:type="dxa"/>
            <w:tcBorders>
              <w:top w:val="nil"/>
              <w:left w:val="nil"/>
              <w:bottom w:val="nil"/>
              <w:right w:val="nil"/>
            </w:tcBorders>
            <w:shd w:val="clear" w:color="auto" w:fill="auto"/>
            <w:noWrap/>
            <w:vAlign w:val="center"/>
            <w:hideMark/>
          </w:tcPr>
          <w:p w14:paraId="333026A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13.529.450 </w:t>
            </w:r>
          </w:p>
        </w:tc>
        <w:tc>
          <w:tcPr>
            <w:tcW w:w="1128" w:type="dxa"/>
            <w:tcBorders>
              <w:top w:val="nil"/>
              <w:left w:val="nil"/>
              <w:bottom w:val="nil"/>
              <w:right w:val="nil"/>
            </w:tcBorders>
            <w:shd w:val="clear" w:color="auto" w:fill="auto"/>
            <w:noWrap/>
            <w:vAlign w:val="center"/>
            <w:hideMark/>
          </w:tcPr>
          <w:p w14:paraId="5947715D" w14:textId="44A55FE1"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(5.118.385)</w:t>
            </w:r>
          </w:p>
        </w:tc>
        <w:tc>
          <w:tcPr>
            <w:tcW w:w="1359" w:type="dxa"/>
            <w:tcBorders>
              <w:top w:val="nil"/>
              <w:left w:val="nil"/>
              <w:bottom w:val="nil"/>
              <w:right w:val="nil"/>
            </w:tcBorders>
            <w:shd w:val="clear" w:color="auto" w:fill="auto"/>
            <w:noWrap/>
            <w:vAlign w:val="center"/>
            <w:hideMark/>
          </w:tcPr>
          <w:p w14:paraId="24D4EC6E"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(41.546.135)</w:t>
            </w:r>
          </w:p>
        </w:tc>
        <w:tc>
          <w:tcPr>
            <w:tcW w:w="1490" w:type="dxa"/>
            <w:tcBorders>
              <w:top w:val="nil"/>
              <w:left w:val="nil"/>
              <w:bottom w:val="nil"/>
              <w:right w:val="nil"/>
            </w:tcBorders>
            <w:shd w:val="clear" w:color="auto" w:fill="auto"/>
            <w:noWrap/>
            <w:vAlign w:val="center"/>
            <w:hideMark/>
          </w:tcPr>
          <w:p w14:paraId="177F042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24.072.257 </w:t>
            </w:r>
          </w:p>
        </w:tc>
        <w:tc>
          <w:tcPr>
            <w:tcW w:w="743" w:type="dxa"/>
            <w:tcBorders>
              <w:top w:val="nil"/>
              <w:left w:val="nil"/>
              <w:bottom w:val="nil"/>
              <w:right w:val="nil"/>
            </w:tcBorders>
            <w:shd w:val="clear" w:color="auto" w:fill="auto"/>
            <w:noWrap/>
            <w:vAlign w:val="bottom"/>
            <w:hideMark/>
          </w:tcPr>
          <w:p w14:paraId="7ECF8EAE" w14:textId="77777777" w:rsidR="00C9554B" w:rsidRDefault="00C9554B">
            <w:pPr>
              <w:jc w:val="right"/>
              <w:rPr>
                <w:rFonts w:ascii="Calibri" w:hAnsi="Calibri" w:cs="Calibri"/>
                <w:color w:val="000000"/>
                <w:sz w:val="16"/>
                <w:szCs w:val="16"/>
              </w:rPr>
            </w:pPr>
          </w:p>
        </w:tc>
      </w:tr>
      <w:tr w:rsidR="00C9554B" w14:paraId="64504312" w14:textId="77777777" w:rsidTr="00C9554B">
        <w:trPr>
          <w:trHeight w:val="300"/>
        </w:trPr>
        <w:tc>
          <w:tcPr>
            <w:tcW w:w="3261" w:type="dxa"/>
            <w:tcBorders>
              <w:top w:val="nil"/>
              <w:left w:val="nil"/>
              <w:bottom w:val="nil"/>
              <w:right w:val="nil"/>
            </w:tcBorders>
            <w:shd w:val="clear" w:color="auto" w:fill="auto"/>
            <w:noWrap/>
            <w:vAlign w:val="center"/>
            <w:hideMark/>
          </w:tcPr>
          <w:p w14:paraId="0146B7C8" w14:textId="77777777" w:rsidR="00C9554B" w:rsidRDefault="00C9554B">
            <w:pPr>
              <w:rPr>
                <w:rFonts w:ascii="Calibri" w:hAnsi="Calibri" w:cs="Calibri"/>
                <w:color w:val="000000"/>
                <w:sz w:val="16"/>
                <w:szCs w:val="16"/>
              </w:rPr>
            </w:pPr>
            <w:r>
              <w:rPr>
                <w:rFonts w:ascii="Calibri" w:hAnsi="Calibri" w:cs="Calibri"/>
                <w:color w:val="000000"/>
                <w:sz w:val="16"/>
                <w:szCs w:val="16"/>
              </w:rPr>
              <w:t>(Redução ao Valor Recuperável - FNS) (4)</w:t>
            </w:r>
          </w:p>
        </w:tc>
        <w:tc>
          <w:tcPr>
            <w:tcW w:w="1418" w:type="dxa"/>
            <w:tcBorders>
              <w:top w:val="nil"/>
              <w:left w:val="nil"/>
              <w:bottom w:val="nil"/>
              <w:right w:val="nil"/>
            </w:tcBorders>
            <w:shd w:val="clear" w:color="auto" w:fill="auto"/>
            <w:noWrap/>
            <w:vAlign w:val="center"/>
            <w:hideMark/>
          </w:tcPr>
          <w:p w14:paraId="110514DA"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(11.364.641.404)</w:t>
            </w:r>
          </w:p>
        </w:tc>
        <w:tc>
          <w:tcPr>
            <w:tcW w:w="1237" w:type="dxa"/>
            <w:tcBorders>
              <w:top w:val="nil"/>
              <w:left w:val="nil"/>
              <w:bottom w:val="nil"/>
              <w:right w:val="nil"/>
            </w:tcBorders>
            <w:shd w:val="clear" w:color="auto" w:fill="auto"/>
            <w:noWrap/>
            <w:vAlign w:val="center"/>
            <w:hideMark/>
          </w:tcPr>
          <w:p w14:paraId="0AFDB495"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42057EC0" w14:textId="175C2690"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522.734 </w:t>
            </w:r>
          </w:p>
        </w:tc>
        <w:tc>
          <w:tcPr>
            <w:tcW w:w="1359" w:type="dxa"/>
            <w:tcBorders>
              <w:top w:val="nil"/>
              <w:left w:val="nil"/>
              <w:bottom w:val="nil"/>
              <w:right w:val="nil"/>
            </w:tcBorders>
            <w:shd w:val="clear" w:color="auto" w:fill="auto"/>
            <w:noWrap/>
            <w:vAlign w:val="center"/>
            <w:hideMark/>
          </w:tcPr>
          <w:p w14:paraId="67DC59F0" w14:textId="4AA7C4E3"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0B73279B"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(11.364.118.669)</w:t>
            </w:r>
          </w:p>
        </w:tc>
        <w:tc>
          <w:tcPr>
            <w:tcW w:w="743" w:type="dxa"/>
            <w:tcBorders>
              <w:top w:val="nil"/>
              <w:left w:val="nil"/>
              <w:bottom w:val="nil"/>
              <w:right w:val="nil"/>
            </w:tcBorders>
            <w:shd w:val="clear" w:color="auto" w:fill="auto"/>
            <w:noWrap/>
            <w:vAlign w:val="bottom"/>
            <w:hideMark/>
          </w:tcPr>
          <w:p w14:paraId="5BC3097F" w14:textId="77777777" w:rsidR="00C9554B" w:rsidRDefault="00C9554B">
            <w:pPr>
              <w:jc w:val="right"/>
              <w:rPr>
                <w:rFonts w:ascii="Calibri" w:hAnsi="Calibri" w:cs="Calibri"/>
                <w:color w:val="000000"/>
                <w:sz w:val="16"/>
                <w:szCs w:val="16"/>
              </w:rPr>
            </w:pPr>
          </w:p>
        </w:tc>
      </w:tr>
      <w:tr w:rsidR="00C9554B" w14:paraId="2854D5D7" w14:textId="77777777" w:rsidTr="00C9554B">
        <w:trPr>
          <w:trHeight w:val="300"/>
        </w:trPr>
        <w:tc>
          <w:tcPr>
            <w:tcW w:w="3261" w:type="dxa"/>
            <w:tcBorders>
              <w:top w:val="nil"/>
              <w:left w:val="nil"/>
              <w:bottom w:val="nil"/>
              <w:right w:val="nil"/>
            </w:tcBorders>
            <w:shd w:val="clear" w:color="auto" w:fill="auto"/>
            <w:noWrap/>
            <w:vAlign w:val="center"/>
            <w:hideMark/>
          </w:tcPr>
          <w:p w14:paraId="762A05FE" w14:textId="77777777" w:rsidR="00C9554B" w:rsidRDefault="00C9554B">
            <w:pPr>
              <w:rPr>
                <w:rFonts w:ascii="Calibri" w:hAnsi="Calibri" w:cs="Calibri"/>
                <w:color w:val="000000"/>
                <w:sz w:val="16"/>
                <w:szCs w:val="16"/>
              </w:rPr>
            </w:pPr>
            <w:r>
              <w:rPr>
                <w:rFonts w:ascii="Calibri" w:hAnsi="Calibri" w:cs="Calibri"/>
                <w:color w:val="000000"/>
                <w:sz w:val="16"/>
                <w:szCs w:val="16"/>
              </w:rPr>
              <w:t>(Redução ao Valor Recuperável - FIOL I) (5)</w:t>
            </w:r>
          </w:p>
        </w:tc>
        <w:tc>
          <w:tcPr>
            <w:tcW w:w="1418" w:type="dxa"/>
            <w:tcBorders>
              <w:top w:val="nil"/>
              <w:left w:val="nil"/>
              <w:bottom w:val="nil"/>
              <w:right w:val="nil"/>
            </w:tcBorders>
            <w:shd w:val="clear" w:color="auto" w:fill="auto"/>
            <w:noWrap/>
            <w:vAlign w:val="center"/>
            <w:hideMark/>
          </w:tcPr>
          <w:p w14:paraId="4534D629"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(3.217.521.279)</w:t>
            </w:r>
          </w:p>
        </w:tc>
        <w:tc>
          <w:tcPr>
            <w:tcW w:w="1237" w:type="dxa"/>
            <w:tcBorders>
              <w:top w:val="nil"/>
              <w:left w:val="nil"/>
              <w:bottom w:val="nil"/>
              <w:right w:val="nil"/>
            </w:tcBorders>
            <w:shd w:val="clear" w:color="auto" w:fill="auto"/>
            <w:noWrap/>
            <w:vAlign w:val="center"/>
            <w:hideMark/>
          </w:tcPr>
          <w:p w14:paraId="1708CA8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128" w:type="dxa"/>
            <w:tcBorders>
              <w:top w:val="nil"/>
              <w:left w:val="nil"/>
              <w:bottom w:val="nil"/>
              <w:right w:val="nil"/>
            </w:tcBorders>
            <w:shd w:val="clear" w:color="auto" w:fill="auto"/>
            <w:noWrap/>
            <w:vAlign w:val="center"/>
            <w:hideMark/>
          </w:tcPr>
          <w:p w14:paraId="474E322C" w14:textId="0D2E6B92"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359" w:type="dxa"/>
            <w:tcBorders>
              <w:top w:val="nil"/>
              <w:left w:val="nil"/>
              <w:bottom w:val="nil"/>
              <w:right w:val="nil"/>
            </w:tcBorders>
            <w:shd w:val="clear" w:color="auto" w:fill="auto"/>
            <w:noWrap/>
            <w:vAlign w:val="center"/>
            <w:hideMark/>
          </w:tcPr>
          <w:p w14:paraId="1DE7A45E" w14:textId="600AE88C"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   </w:t>
            </w:r>
          </w:p>
        </w:tc>
        <w:tc>
          <w:tcPr>
            <w:tcW w:w="1490" w:type="dxa"/>
            <w:tcBorders>
              <w:top w:val="nil"/>
              <w:left w:val="nil"/>
              <w:bottom w:val="nil"/>
              <w:right w:val="nil"/>
            </w:tcBorders>
            <w:shd w:val="clear" w:color="auto" w:fill="auto"/>
            <w:noWrap/>
            <w:vAlign w:val="center"/>
            <w:hideMark/>
          </w:tcPr>
          <w:p w14:paraId="5A99709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(3.217.521.279)</w:t>
            </w:r>
          </w:p>
        </w:tc>
        <w:tc>
          <w:tcPr>
            <w:tcW w:w="743" w:type="dxa"/>
            <w:tcBorders>
              <w:top w:val="nil"/>
              <w:left w:val="nil"/>
              <w:bottom w:val="nil"/>
              <w:right w:val="nil"/>
            </w:tcBorders>
            <w:shd w:val="clear" w:color="auto" w:fill="auto"/>
            <w:noWrap/>
            <w:vAlign w:val="bottom"/>
            <w:hideMark/>
          </w:tcPr>
          <w:p w14:paraId="4B80D414" w14:textId="77777777" w:rsidR="00C9554B" w:rsidRDefault="00C9554B">
            <w:pPr>
              <w:jc w:val="right"/>
              <w:rPr>
                <w:rFonts w:ascii="Calibri" w:hAnsi="Calibri" w:cs="Calibri"/>
                <w:color w:val="000000"/>
                <w:sz w:val="16"/>
                <w:szCs w:val="16"/>
              </w:rPr>
            </w:pPr>
          </w:p>
        </w:tc>
      </w:tr>
      <w:tr w:rsidR="00C9554B" w14:paraId="4E288804" w14:textId="77777777" w:rsidTr="00C9554B">
        <w:trPr>
          <w:trHeight w:val="315"/>
        </w:trPr>
        <w:tc>
          <w:tcPr>
            <w:tcW w:w="3261" w:type="dxa"/>
            <w:tcBorders>
              <w:top w:val="nil"/>
              <w:left w:val="nil"/>
              <w:bottom w:val="nil"/>
              <w:right w:val="nil"/>
            </w:tcBorders>
            <w:shd w:val="clear" w:color="auto" w:fill="auto"/>
            <w:noWrap/>
            <w:vAlign w:val="center"/>
            <w:hideMark/>
          </w:tcPr>
          <w:p w14:paraId="599C5306"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Depreciação Acumulada (6) </w:t>
            </w:r>
          </w:p>
        </w:tc>
        <w:tc>
          <w:tcPr>
            <w:tcW w:w="1418" w:type="dxa"/>
            <w:tcBorders>
              <w:top w:val="nil"/>
              <w:left w:val="nil"/>
              <w:bottom w:val="nil"/>
              <w:right w:val="nil"/>
            </w:tcBorders>
            <w:shd w:val="clear" w:color="auto" w:fill="auto"/>
            <w:noWrap/>
            <w:vAlign w:val="center"/>
            <w:hideMark/>
          </w:tcPr>
          <w:p w14:paraId="5D29F6AD"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(984.976.696)</w:t>
            </w:r>
          </w:p>
        </w:tc>
        <w:tc>
          <w:tcPr>
            <w:tcW w:w="1237" w:type="dxa"/>
            <w:tcBorders>
              <w:top w:val="nil"/>
              <w:left w:val="nil"/>
              <w:bottom w:val="nil"/>
              <w:right w:val="nil"/>
            </w:tcBorders>
            <w:shd w:val="clear" w:color="auto" w:fill="auto"/>
            <w:noWrap/>
            <w:vAlign w:val="center"/>
            <w:hideMark/>
          </w:tcPr>
          <w:p w14:paraId="2DE9417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(24.817.452)</w:t>
            </w:r>
          </w:p>
        </w:tc>
        <w:tc>
          <w:tcPr>
            <w:tcW w:w="1128" w:type="dxa"/>
            <w:tcBorders>
              <w:top w:val="nil"/>
              <w:left w:val="nil"/>
              <w:bottom w:val="nil"/>
              <w:right w:val="nil"/>
            </w:tcBorders>
            <w:shd w:val="clear" w:color="auto" w:fill="auto"/>
            <w:noWrap/>
            <w:vAlign w:val="center"/>
            <w:hideMark/>
          </w:tcPr>
          <w:p w14:paraId="688113F2" w14:textId="48E16FC5"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226.615 </w:t>
            </w:r>
          </w:p>
        </w:tc>
        <w:tc>
          <w:tcPr>
            <w:tcW w:w="1359" w:type="dxa"/>
            <w:tcBorders>
              <w:top w:val="nil"/>
              <w:left w:val="nil"/>
              <w:bottom w:val="nil"/>
              <w:right w:val="nil"/>
            </w:tcBorders>
            <w:shd w:val="clear" w:color="auto" w:fill="auto"/>
            <w:noWrap/>
            <w:vAlign w:val="center"/>
            <w:hideMark/>
          </w:tcPr>
          <w:p w14:paraId="3AE72114"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35.160.374 </w:t>
            </w:r>
          </w:p>
        </w:tc>
        <w:tc>
          <w:tcPr>
            <w:tcW w:w="1490" w:type="dxa"/>
            <w:tcBorders>
              <w:top w:val="nil"/>
              <w:left w:val="nil"/>
              <w:bottom w:val="nil"/>
              <w:right w:val="nil"/>
            </w:tcBorders>
            <w:shd w:val="clear" w:color="auto" w:fill="auto"/>
            <w:noWrap/>
            <w:vAlign w:val="center"/>
            <w:hideMark/>
          </w:tcPr>
          <w:p w14:paraId="4FECC0E6" w14:textId="77777777" w:rsidR="00C9554B" w:rsidRDefault="00C9554B">
            <w:pPr>
              <w:jc w:val="right"/>
              <w:rPr>
                <w:rFonts w:ascii="Calibri" w:hAnsi="Calibri" w:cs="Calibri"/>
                <w:color w:val="000000"/>
                <w:sz w:val="16"/>
                <w:szCs w:val="16"/>
              </w:rPr>
            </w:pPr>
            <w:r>
              <w:rPr>
                <w:rFonts w:ascii="Calibri" w:hAnsi="Calibri" w:cs="Calibri"/>
                <w:color w:val="000000"/>
                <w:sz w:val="16"/>
                <w:szCs w:val="16"/>
              </w:rPr>
              <w:t xml:space="preserve">          (974.407.158)</w:t>
            </w:r>
          </w:p>
        </w:tc>
        <w:tc>
          <w:tcPr>
            <w:tcW w:w="743" w:type="dxa"/>
            <w:tcBorders>
              <w:top w:val="nil"/>
              <w:left w:val="nil"/>
              <w:bottom w:val="nil"/>
              <w:right w:val="nil"/>
            </w:tcBorders>
            <w:shd w:val="clear" w:color="auto" w:fill="auto"/>
            <w:noWrap/>
            <w:vAlign w:val="center"/>
            <w:hideMark/>
          </w:tcPr>
          <w:p w14:paraId="48B12014" w14:textId="77777777" w:rsidR="00C9554B" w:rsidRDefault="00C9554B">
            <w:pPr>
              <w:rPr>
                <w:rFonts w:ascii="Calibri" w:hAnsi="Calibri" w:cs="Calibri"/>
                <w:color w:val="000000"/>
                <w:sz w:val="16"/>
                <w:szCs w:val="16"/>
              </w:rPr>
            </w:pPr>
            <w:r>
              <w:rPr>
                <w:rFonts w:ascii="Calibri" w:hAnsi="Calibri" w:cs="Calibri"/>
                <w:color w:val="000000"/>
                <w:sz w:val="16"/>
                <w:szCs w:val="16"/>
              </w:rPr>
              <w:t xml:space="preserve"> </w:t>
            </w:r>
          </w:p>
        </w:tc>
      </w:tr>
      <w:tr w:rsidR="00C9554B" w14:paraId="0B47582D" w14:textId="77777777" w:rsidTr="00C9554B">
        <w:trPr>
          <w:trHeight w:val="315"/>
        </w:trPr>
        <w:tc>
          <w:tcPr>
            <w:tcW w:w="3261" w:type="dxa"/>
            <w:tcBorders>
              <w:top w:val="single" w:sz="8" w:space="0" w:color="auto"/>
              <w:left w:val="nil"/>
              <w:bottom w:val="single" w:sz="8" w:space="0" w:color="auto"/>
              <w:right w:val="nil"/>
            </w:tcBorders>
            <w:shd w:val="clear" w:color="auto" w:fill="auto"/>
            <w:noWrap/>
            <w:vAlign w:val="center"/>
            <w:hideMark/>
          </w:tcPr>
          <w:p w14:paraId="03F6D8C0" w14:textId="77777777" w:rsidR="00C9554B" w:rsidRDefault="00C9554B">
            <w:pPr>
              <w:rPr>
                <w:rFonts w:ascii="Calibri" w:hAnsi="Calibri" w:cs="Calibri"/>
                <w:b/>
                <w:bCs/>
                <w:color w:val="000000"/>
                <w:sz w:val="16"/>
                <w:szCs w:val="16"/>
              </w:rPr>
            </w:pPr>
            <w:r>
              <w:rPr>
                <w:rFonts w:ascii="Calibri" w:hAnsi="Calibri" w:cs="Calibri"/>
                <w:b/>
                <w:bCs/>
                <w:color w:val="000000"/>
                <w:sz w:val="16"/>
                <w:szCs w:val="16"/>
              </w:rPr>
              <w:t xml:space="preserve">TOTAL DO IMOBILIZADO </w:t>
            </w:r>
          </w:p>
        </w:tc>
        <w:tc>
          <w:tcPr>
            <w:tcW w:w="1418" w:type="dxa"/>
            <w:tcBorders>
              <w:top w:val="single" w:sz="8" w:space="0" w:color="auto"/>
              <w:left w:val="nil"/>
              <w:bottom w:val="single" w:sz="8" w:space="0" w:color="auto"/>
              <w:right w:val="nil"/>
            </w:tcBorders>
            <w:shd w:val="clear" w:color="auto" w:fill="auto"/>
            <w:noWrap/>
            <w:vAlign w:val="center"/>
            <w:hideMark/>
          </w:tcPr>
          <w:p w14:paraId="2FE5E251"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3.284.926.865 </w:t>
            </w:r>
          </w:p>
        </w:tc>
        <w:tc>
          <w:tcPr>
            <w:tcW w:w="1237" w:type="dxa"/>
            <w:tcBorders>
              <w:top w:val="single" w:sz="8" w:space="0" w:color="auto"/>
              <w:left w:val="nil"/>
              <w:bottom w:val="single" w:sz="8" w:space="0" w:color="auto"/>
              <w:right w:val="nil"/>
            </w:tcBorders>
            <w:shd w:val="clear" w:color="auto" w:fill="auto"/>
            <w:noWrap/>
            <w:vAlign w:val="center"/>
            <w:hideMark/>
          </w:tcPr>
          <w:p w14:paraId="2128097B"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472.234.377 </w:t>
            </w:r>
          </w:p>
        </w:tc>
        <w:tc>
          <w:tcPr>
            <w:tcW w:w="1128" w:type="dxa"/>
            <w:tcBorders>
              <w:top w:val="single" w:sz="8" w:space="0" w:color="auto"/>
              <w:left w:val="nil"/>
              <w:bottom w:val="single" w:sz="8" w:space="0" w:color="auto"/>
              <w:right w:val="nil"/>
            </w:tcBorders>
            <w:shd w:val="clear" w:color="auto" w:fill="auto"/>
            <w:noWrap/>
            <w:vAlign w:val="center"/>
            <w:hideMark/>
          </w:tcPr>
          <w:p w14:paraId="1800752C" w14:textId="0B89A718"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(5.118.385)</w:t>
            </w:r>
          </w:p>
        </w:tc>
        <w:tc>
          <w:tcPr>
            <w:tcW w:w="1359" w:type="dxa"/>
            <w:tcBorders>
              <w:top w:val="single" w:sz="8" w:space="0" w:color="auto"/>
              <w:left w:val="nil"/>
              <w:bottom w:val="single" w:sz="8" w:space="0" w:color="auto"/>
              <w:right w:val="nil"/>
            </w:tcBorders>
            <w:shd w:val="clear" w:color="auto" w:fill="auto"/>
            <w:noWrap/>
            <w:vAlign w:val="center"/>
            <w:hideMark/>
          </w:tcPr>
          <w:p w14:paraId="649BE961" w14:textId="3ADC04FB"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(6.385.760)</w:t>
            </w:r>
          </w:p>
        </w:tc>
        <w:tc>
          <w:tcPr>
            <w:tcW w:w="1490" w:type="dxa"/>
            <w:tcBorders>
              <w:top w:val="single" w:sz="8" w:space="0" w:color="auto"/>
              <w:left w:val="nil"/>
              <w:bottom w:val="single" w:sz="8" w:space="0" w:color="auto"/>
              <w:right w:val="nil"/>
            </w:tcBorders>
            <w:shd w:val="clear" w:color="auto" w:fill="auto"/>
            <w:noWrap/>
            <w:vAlign w:val="center"/>
            <w:hideMark/>
          </w:tcPr>
          <w:p w14:paraId="4C552A9E"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xml:space="preserve">        3.745.657.095 </w:t>
            </w:r>
          </w:p>
        </w:tc>
        <w:tc>
          <w:tcPr>
            <w:tcW w:w="743" w:type="dxa"/>
            <w:tcBorders>
              <w:top w:val="single" w:sz="8" w:space="0" w:color="auto"/>
              <w:left w:val="nil"/>
              <w:bottom w:val="single" w:sz="8" w:space="0" w:color="auto"/>
              <w:right w:val="nil"/>
            </w:tcBorders>
            <w:shd w:val="clear" w:color="auto" w:fill="auto"/>
            <w:noWrap/>
            <w:vAlign w:val="center"/>
            <w:hideMark/>
          </w:tcPr>
          <w:p w14:paraId="7A50DD51" w14:textId="77777777" w:rsidR="00C9554B" w:rsidRDefault="00C9554B">
            <w:pPr>
              <w:jc w:val="right"/>
              <w:rPr>
                <w:rFonts w:ascii="Calibri" w:hAnsi="Calibri" w:cs="Calibri"/>
                <w:b/>
                <w:bCs/>
                <w:color w:val="000000"/>
                <w:sz w:val="16"/>
                <w:szCs w:val="16"/>
              </w:rPr>
            </w:pPr>
            <w:r>
              <w:rPr>
                <w:rFonts w:ascii="Calibri" w:hAnsi="Calibri" w:cs="Calibri"/>
                <w:b/>
                <w:bCs/>
                <w:color w:val="000000"/>
                <w:sz w:val="16"/>
                <w:szCs w:val="16"/>
              </w:rPr>
              <w:t> </w:t>
            </w:r>
          </w:p>
        </w:tc>
      </w:tr>
    </w:tbl>
    <w:p w14:paraId="671DB863" w14:textId="77777777" w:rsidR="00C9554B" w:rsidRDefault="00C9554B" w:rsidP="00937ED9">
      <w:pPr>
        <w:spacing w:after="120"/>
        <w:ind w:right="-85"/>
        <w:jc w:val="both"/>
        <w:rPr>
          <w:rFonts w:ascii="Calibri" w:hAnsi="Calibri" w:cs="Calibri"/>
          <w:bCs/>
          <w:sz w:val="22"/>
          <w:szCs w:val="22"/>
          <w:shd w:val="clear" w:color="auto" w:fill="FFFFFF"/>
        </w:rPr>
      </w:pPr>
    </w:p>
    <w:p w14:paraId="39899948" w14:textId="255EC11D" w:rsidR="00C07BEB" w:rsidRPr="002E2B5B" w:rsidRDefault="00C07BEB" w:rsidP="000B3A75">
      <w:pPr>
        <w:numPr>
          <w:ilvl w:val="0"/>
          <w:numId w:val="15"/>
        </w:numPr>
        <w:spacing w:before="120" w:after="120"/>
        <w:ind w:left="714" w:right="57" w:hanging="357"/>
        <w:jc w:val="both"/>
        <w:rPr>
          <w:rFonts w:ascii="Calibri" w:hAnsi="Calibri" w:cs="Calibri"/>
          <w:sz w:val="22"/>
          <w:szCs w:val="22"/>
        </w:rPr>
      </w:pPr>
      <w:r w:rsidRPr="002E2B5B">
        <w:rPr>
          <w:rFonts w:ascii="Calibri" w:hAnsi="Calibri" w:cs="Calibri"/>
          <w:sz w:val="22"/>
          <w:szCs w:val="22"/>
        </w:rPr>
        <w:t xml:space="preserve">Os bens corpóreos </w:t>
      </w:r>
      <w:r w:rsidR="00054CE1" w:rsidRPr="002E2B5B">
        <w:rPr>
          <w:rFonts w:ascii="Calibri" w:hAnsi="Calibri" w:cs="Calibri"/>
          <w:sz w:val="22"/>
          <w:szCs w:val="22"/>
        </w:rPr>
        <w:t xml:space="preserve">são </w:t>
      </w:r>
      <w:r w:rsidRPr="002E2B5B">
        <w:rPr>
          <w:rFonts w:ascii="Calibri" w:hAnsi="Calibri" w:cs="Calibri"/>
          <w:sz w:val="22"/>
          <w:szCs w:val="22"/>
        </w:rPr>
        <w:t>reconhecid</w:t>
      </w:r>
      <w:r w:rsidR="00054CE1" w:rsidRPr="002E2B5B">
        <w:rPr>
          <w:rFonts w:ascii="Calibri" w:hAnsi="Calibri" w:cs="Calibri"/>
          <w:sz w:val="22"/>
          <w:szCs w:val="22"/>
        </w:rPr>
        <w:t>o</w:t>
      </w:r>
      <w:r w:rsidRPr="002E2B5B">
        <w:rPr>
          <w:rFonts w:ascii="Calibri" w:hAnsi="Calibri" w:cs="Calibri"/>
          <w:sz w:val="22"/>
          <w:szCs w:val="22"/>
        </w:rPr>
        <w:t xml:space="preserve">s pelo </w:t>
      </w:r>
      <w:r w:rsidR="009B037C" w:rsidRPr="009B037C">
        <w:rPr>
          <w:rFonts w:ascii="Calibri" w:hAnsi="Calibri" w:cs="Calibri"/>
          <w:sz w:val="22"/>
          <w:szCs w:val="22"/>
        </w:rPr>
        <w:t>custo de aquisição</w:t>
      </w:r>
      <w:r w:rsidRPr="002E2B5B">
        <w:rPr>
          <w:rFonts w:ascii="Calibri" w:hAnsi="Calibri" w:cs="Calibri"/>
          <w:sz w:val="22"/>
          <w:szCs w:val="22"/>
        </w:rPr>
        <w:t xml:space="preserve">. </w:t>
      </w:r>
      <w:r w:rsidR="00505049" w:rsidRPr="002E2B5B">
        <w:rPr>
          <w:rFonts w:ascii="Calibri" w:hAnsi="Calibri" w:cs="Calibri"/>
          <w:sz w:val="22"/>
          <w:szCs w:val="22"/>
        </w:rPr>
        <w:t xml:space="preserve">Devido ao desgaste e </w:t>
      </w:r>
      <w:r w:rsidRPr="002E2B5B">
        <w:rPr>
          <w:rFonts w:ascii="Calibri" w:hAnsi="Calibri" w:cs="Calibri"/>
          <w:sz w:val="22"/>
          <w:szCs w:val="22"/>
        </w:rPr>
        <w:t>a obsolescência</w:t>
      </w:r>
      <w:r w:rsidR="00A40B2C" w:rsidRPr="002E2B5B">
        <w:rPr>
          <w:rFonts w:ascii="Calibri" w:hAnsi="Calibri" w:cs="Calibri"/>
          <w:sz w:val="22"/>
          <w:szCs w:val="22"/>
        </w:rPr>
        <w:t xml:space="preserve"> desses bens</w:t>
      </w:r>
      <w:r w:rsidRPr="002E2B5B">
        <w:rPr>
          <w:rFonts w:ascii="Calibri" w:hAnsi="Calibri" w:cs="Calibri"/>
          <w:sz w:val="22"/>
          <w:szCs w:val="22"/>
        </w:rPr>
        <w:t xml:space="preserve"> ao longo do tempo, exigem-se o reconhecimento da despesa em virtude da depreciação calculada por meio do método linear, em função de taxas estabelecidas e do tempo de vida útil, fixadas por espécies de bens</w:t>
      </w:r>
      <w:r w:rsidR="00054CE1" w:rsidRPr="002E2B5B">
        <w:rPr>
          <w:rFonts w:ascii="Calibri" w:hAnsi="Calibri" w:cs="Calibri"/>
          <w:sz w:val="22"/>
          <w:szCs w:val="22"/>
        </w:rPr>
        <w:t>;</w:t>
      </w:r>
    </w:p>
    <w:p w14:paraId="6ECA2F7A" w14:textId="77777777" w:rsidR="00D54B55" w:rsidRPr="002E2B5B" w:rsidRDefault="00D54B55"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As ferrovias construídas foram depreciadas retroativamente pela tabela fisco até 31 de dezembro de 2016, a partir dessa data foi utilizada a tabela da ANTT, conforme Resolução ANTT N° 4540, de 19 de dezembro de 2014</w:t>
      </w:r>
      <w:r w:rsidR="00054CE1" w:rsidRPr="002E2B5B">
        <w:rPr>
          <w:rFonts w:ascii="Calibri" w:hAnsi="Calibri" w:cs="Calibri"/>
          <w:sz w:val="22"/>
          <w:szCs w:val="22"/>
        </w:rPr>
        <w:t>;</w:t>
      </w:r>
    </w:p>
    <w:p w14:paraId="5D8C50BB" w14:textId="0BD1AFF0" w:rsidR="00D54B55" w:rsidRPr="002E2B5B" w:rsidRDefault="00D54B55"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Anualmente, é realizado o inventário dos bens móveis da </w:t>
      </w:r>
      <w:r w:rsidR="00E11BEF">
        <w:rPr>
          <w:rFonts w:ascii="Calibri" w:hAnsi="Calibri" w:cs="Calibri"/>
          <w:sz w:val="22"/>
          <w:szCs w:val="22"/>
        </w:rPr>
        <w:t>Infra</w:t>
      </w:r>
      <w:r w:rsidR="00C9554B">
        <w:rPr>
          <w:rFonts w:ascii="Calibri" w:hAnsi="Calibri" w:cs="Calibri"/>
          <w:sz w:val="22"/>
          <w:szCs w:val="22"/>
        </w:rPr>
        <w:t xml:space="preserve"> S.A.</w:t>
      </w:r>
      <w:r w:rsidRPr="002E2B5B">
        <w:rPr>
          <w:rFonts w:ascii="Calibri" w:hAnsi="Calibri" w:cs="Calibri"/>
          <w:sz w:val="22"/>
          <w:szCs w:val="22"/>
        </w:rPr>
        <w:t xml:space="preserve"> e verificado in loco as condições de uso dos bens. Os bens que se apresentam como inservíveis são reparados, doados ou baixados do sistema patrimonial bem como da contabilidade</w:t>
      </w:r>
      <w:r w:rsidR="00054CE1" w:rsidRPr="002E2B5B">
        <w:rPr>
          <w:rFonts w:ascii="Calibri" w:hAnsi="Calibri" w:cs="Calibri"/>
          <w:sz w:val="22"/>
          <w:szCs w:val="22"/>
        </w:rPr>
        <w:t>;</w:t>
      </w:r>
    </w:p>
    <w:p w14:paraId="7E756F2F" w14:textId="5BE5746E" w:rsidR="007D5C15" w:rsidRPr="00D6403B" w:rsidRDefault="00D54B55" w:rsidP="00D6403B">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Os Ativos Imobilizados da </w:t>
      </w:r>
      <w:r w:rsidR="00E11BEF">
        <w:rPr>
          <w:rFonts w:ascii="Calibri" w:hAnsi="Calibri" w:cs="Calibri"/>
          <w:sz w:val="22"/>
          <w:szCs w:val="22"/>
        </w:rPr>
        <w:t>Infra</w:t>
      </w:r>
      <w:r w:rsidR="00C9554B">
        <w:rPr>
          <w:rFonts w:ascii="Calibri" w:hAnsi="Calibri" w:cs="Calibri"/>
          <w:sz w:val="22"/>
          <w:szCs w:val="22"/>
        </w:rPr>
        <w:t xml:space="preserve"> S.A.</w:t>
      </w:r>
      <w:r w:rsidRPr="002E2B5B">
        <w:rPr>
          <w:rFonts w:ascii="Calibri" w:hAnsi="Calibri" w:cs="Calibri"/>
          <w:sz w:val="22"/>
          <w:szCs w:val="22"/>
        </w:rPr>
        <w:t xml:space="preserve"> são registrados em um sistema informatizado que permite controlar sequencialmente os bens móveis</w:t>
      </w:r>
      <w:r w:rsidR="00B54457" w:rsidRPr="002E2B5B">
        <w:rPr>
          <w:rFonts w:ascii="Calibri" w:hAnsi="Calibri" w:cs="Calibri"/>
          <w:sz w:val="22"/>
          <w:szCs w:val="22"/>
        </w:rPr>
        <w:t>,</w:t>
      </w:r>
      <w:r w:rsidRPr="002E2B5B">
        <w:rPr>
          <w:rFonts w:ascii="Calibri" w:hAnsi="Calibri" w:cs="Calibri"/>
          <w:sz w:val="22"/>
          <w:szCs w:val="22"/>
        </w:rPr>
        <w:t xml:space="preserve"> gerando relatórios por localidade ou descrição do bem e são depreciados periodicamente</w:t>
      </w:r>
      <w:r w:rsidR="00054CE1" w:rsidRPr="002E2B5B">
        <w:rPr>
          <w:rFonts w:ascii="Calibri" w:hAnsi="Calibri" w:cs="Calibri"/>
          <w:sz w:val="22"/>
          <w:szCs w:val="22"/>
        </w:rPr>
        <w:t>;</w:t>
      </w:r>
    </w:p>
    <w:p w14:paraId="45E3A76A" w14:textId="5AFD776B" w:rsidR="000C54C6" w:rsidRDefault="00954EAC" w:rsidP="00937ED9">
      <w:pPr>
        <w:pStyle w:val="NormalWeb"/>
        <w:numPr>
          <w:ilvl w:val="0"/>
          <w:numId w:val="15"/>
        </w:numPr>
        <w:spacing w:before="0" w:beforeAutospacing="0" w:after="120" w:afterAutospacing="0"/>
        <w:jc w:val="both"/>
        <w:rPr>
          <w:rFonts w:ascii="Calibri" w:hAnsi="Calibri" w:cs="Calibri"/>
          <w:sz w:val="22"/>
          <w:szCs w:val="22"/>
        </w:rPr>
      </w:pPr>
      <w:r>
        <w:rPr>
          <w:rFonts w:ascii="Calibri" w:hAnsi="Calibri" w:cs="Calibri"/>
          <w:sz w:val="22"/>
          <w:szCs w:val="22"/>
        </w:rPr>
        <w:t>No</w:t>
      </w:r>
      <w:r w:rsidR="00F3256C">
        <w:rPr>
          <w:rFonts w:ascii="Calibri" w:hAnsi="Calibri" w:cs="Calibri"/>
          <w:sz w:val="22"/>
          <w:szCs w:val="22"/>
        </w:rPr>
        <w:t xml:space="preserve"> exercício de 2022, até o </w:t>
      </w:r>
      <w:r w:rsidR="00C9554B">
        <w:rPr>
          <w:rFonts w:ascii="Calibri" w:hAnsi="Calibri" w:cs="Calibri"/>
          <w:sz w:val="22"/>
          <w:szCs w:val="22"/>
        </w:rPr>
        <w:t>3</w:t>
      </w:r>
      <w:r w:rsidR="00993F2B">
        <w:rPr>
          <w:rFonts w:ascii="Calibri" w:hAnsi="Calibri" w:cs="Calibri"/>
          <w:sz w:val="22"/>
          <w:szCs w:val="22"/>
        </w:rPr>
        <w:t>º trimestre,</w:t>
      </w:r>
      <w:r w:rsidR="00D6403B">
        <w:rPr>
          <w:rFonts w:ascii="Calibri" w:hAnsi="Calibri" w:cs="Calibri"/>
          <w:sz w:val="22"/>
          <w:szCs w:val="22"/>
        </w:rPr>
        <w:t xml:space="preserve"> fo</w:t>
      </w:r>
      <w:r w:rsidR="00D6403B" w:rsidRPr="007D5C15">
        <w:rPr>
          <w:rFonts w:ascii="Calibri" w:hAnsi="Calibri" w:cs="Calibri"/>
          <w:sz w:val="22"/>
          <w:szCs w:val="22"/>
        </w:rPr>
        <w:t xml:space="preserve">ram adquiridos </w:t>
      </w:r>
      <w:r w:rsidR="00993F2B" w:rsidRPr="000C54C6">
        <w:rPr>
          <w:rFonts w:ascii="Calibri" w:hAnsi="Calibri" w:cs="Calibri"/>
          <w:sz w:val="22"/>
          <w:szCs w:val="22"/>
        </w:rPr>
        <w:t>Equipamentos de TI e Comunicação</w:t>
      </w:r>
      <w:r w:rsidR="00993F2B" w:rsidRPr="007D5C15">
        <w:rPr>
          <w:rFonts w:ascii="Calibri" w:hAnsi="Calibri" w:cs="Calibri"/>
          <w:sz w:val="22"/>
          <w:szCs w:val="22"/>
        </w:rPr>
        <w:t xml:space="preserve"> </w:t>
      </w:r>
      <w:r w:rsidR="00D6403B" w:rsidRPr="007D5C15">
        <w:rPr>
          <w:rFonts w:ascii="Calibri" w:hAnsi="Calibri" w:cs="Calibri"/>
          <w:sz w:val="22"/>
          <w:szCs w:val="22"/>
        </w:rPr>
        <w:t xml:space="preserve">no valor de R$ </w:t>
      </w:r>
      <w:r w:rsidR="00993F2B">
        <w:rPr>
          <w:rFonts w:ascii="Calibri" w:hAnsi="Calibri" w:cs="Calibri"/>
          <w:sz w:val="22"/>
          <w:szCs w:val="22"/>
        </w:rPr>
        <w:t>16</w:t>
      </w:r>
      <w:r w:rsidR="00D6403B">
        <w:rPr>
          <w:rFonts w:ascii="Calibri" w:hAnsi="Calibri" w:cs="Calibri"/>
          <w:sz w:val="22"/>
          <w:szCs w:val="22"/>
        </w:rPr>
        <w:t xml:space="preserve"> mil</w:t>
      </w:r>
      <w:r w:rsidR="00993F2B">
        <w:rPr>
          <w:rFonts w:ascii="Calibri" w:hAnsi="Calibri" w:cs="Calibri"/>
          <w:sz w:val="22"/>
          <w:szCs w:val="22"/>
        </w:rPr>
        <w:t xml:space="preserve">, bem como </w:t>
      </w:r>
      <w:r w:rsidR="00993F2B" w:rsidRPr="00993F2B">
        <w:rPr>
          <w:rFonts w:ascii="Calibri" w:hAnsi="Calibri" w:cs="Calibri"/>
          <w:sz w:val="22"/>
          <w:szCs w:val="22"/>
        </w:rPr>
        <w:t>Máquinas e Utensílios de Escritório no valor de R$ 48</w:t>
      </w:r>
      <w:r w:rsidR="00993F2B">
        <w:rPr>
          <w:rFonts w:ascii="Calibri" w:hAnsi="Calibri" w:cs="Calibri"/>
          <w:sz w:val="22"/>
          <w:szCs w:val="22"/>
        </w:rPr>
        <w:t xml:space="preserve"> mil</w:t>
      </w:r>
      <w:r w:rsidR="00D6403B">
        <w:rPr>
          <w:rFonts w:ascii="Calibri" w:hAnsi="Calibri" w:cs="Calibri"/>
          <w:sz w:val="22"/>
          <w:szCs w:val="22"/>
        </w:rPr>
        <w:t>;</w:t>
      </w:r>
    </w:p>
    <w:p w14:paraId="48DB3949" w14:textId="2B57AE58" w:rsidR="00C9554B" w:rsidRPr="002E2B5B" w:rsidRDefault="00C9554B" w:rsidP="00937ED9">
      <w:pPr>
        <w:pStyle w:val="NormalWeb"/>
        <w:numPr>
          <w:ilvl w:val="0"/>
          <w:numId w:val="15"/>
        </w:numPr>
        <w:spacing w:before="0" w:beforeAutospacing="0" w:after="120" w:afterAutospacing="0"/>
        <w:jc w:val="both"/>
        <w:rPr>
          <w:rFonts w:ascii="Calibri" w:hAnsi="Calibri" w:cs="Calibri"/>
          <w:sz w:val="22"/>
          <w:szCs w:val="22"/>
        </w:rPr>
      </w:pPr>
      <w:r>
        <w:rPr>
          <w:rFonts w:ascii="Calibri" w:hAnsi="Calibri" w:cs="Calibri"/>
          <w:sz w:val="22"/>
          <w:szCs w:val="22"/>
        </w:rPr>
        <w:t>Em virtude da incorporação da EPL, ingressaram no Ativo Imobilizado, o total de R$</w:t>
      </w:r>
      <w:r w:rsidR="00485706">
        <w:rPr>
          <w:rFonts w:ascii="Calibri" w:hAnsi="Calibri" w:cs="Calibri"/>
          <w:sz w:val="22"/>
          <w:szCs w:val="22"/>
        </w:rPr>
        <w:t xml:space="preserve"> 15,59 milhões referentes a bens móveis. Do total incorporado, R$ 13,71 milhões encontram-se depreciados.</w:t>
      </w:r>
    </w:p>
    <w:p w14:paraId="58F8E691" w14:textId="0F602FB5" w:rsidR="00954EAC" w:rsidRDefault="00054CE1"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provisão para “Redução ao valor Recuperável – Móveis” no valor de R$ </w:t>
      </w:r>
      <w:r w:rsidR="008C1178">
        <w:rPr>
          <w:rFonts w:ascii="Calibri" w:hAnsi="Calibri" w:cs="Calibri"/>
          <w:sz w:val="22"/>
          <w:szCs w:val="22"/>
        </w:rPr>
        <w:t>18,54</w:t>
      </w:r>
      <w:r w:rsidR="00262FF9">
        <w:rPr>
          <w:rFonts w:ascii="Calibri" w:hAnsi="Calibri" w:cs="Calibri"/>
          <w:sz w:val="22"/>
          <w:szCs w:val="22"/>
        </w:rPr>
        <w:t xml:space="preserve"> mil</w:t>
      </w:r>
      <w:r w:rsidRPr="002E2B5B">
        <w:rPr>
          <w:rFonts w:ascii="Calibri" w:hAnsi="Calibri" w:cs="Calibri"/>
          <w:sz w:val="22"/>
          <w:szCs w:val="22"/>
        </w:rPr>
        <w:t xml:space="preserve"> se refere</w:t>
      </w:r>
      <w:r w:rsidR="00954EAC">
        <w:rPr>
          <w:rFonts w:ascii="Calibri" w:hAnsi="Calibri" w:cs="Calibri"/>
          <w:sz w:val="22"/>
          <w:szCs w:val="22"/>
        </w:rPr>
        <w:t>:</w:t>
      </w:r>
    </w:p>
    <w:p w14:paraId="77F5F211" w14:textId="6BB9FF18" w:rsidR="00954EAC" w:rsidRPr="006D5458" w:rsidRDefault="00954EAC" w:rsidP="006D5458">
      <w:pPr>
        <w:pStyle w:val="NormalWeb"/>
        <w:numPr>
          <w:ilvl w:val="1"/>
          <w:numId w:val="15"/>
        </w:numPr>
        <w:spacing w:before="0" w:beforeAutospacing="0" w:after="120" w:afterAutospacing="0"/>
        <w:jc w:val="both"/>
        <w:rPr>
          <w:rFonts w:ascii="Calibri" w:hAnsi="Calibri" w:cs="Calibri"/>
          <w:sz w:val="22"/>
          <w:szCs w:val="22"/>
        </w:rPr>
      </w:pPr>
      <w:r>
        <w:rPr>
          <w:rFonts w:ascii="Calibri" w:hAnsi="Calibri" w:cs="Calibri"/>
          <w:sz w:val="22"/>
          <w:szCs w:val="22"/>
        </w:rPr>
        <w:t>A</w:t>
      </w:r>
      <w:r w:rsidR="00054CE1" w:rsidRPr="002E2B5B">
        <w:rPr>
          <w:rFonts w:ascii="Calibri" w:hAnsi="Calibri" w:cs="Calibri"/>
          <w:sz w:val="22"/>
          <w:szCs w:val="22"/>
        </w:rPr>
        <w:t xml:space="preserve">o valor contábil de </w:t>
      </w:r>
      <w:r w:rsidR="008C1178">
        <w:rPr>
          <w:rFonts w:ascii="Calibri" w:hAnsi="Calibri" w:cs="Calibri"/>
          <w:sz w:val="22"/>
          <w:szCs w:val="22"/>
        </w:rPr>
        <w:t>54</w:t>
      </w:r>
      <w:r w:rsidR="00054CE1" w:rsidRPr="002E2B5B">
        <w:rPr>
          <w:rFonts w:ascii="Calibri" w:hAnsi="Calibri" w:cs="Calibri"/>
          <w:sz w:val="22"/>
          <w:szCs w:val="22"/>
        </w:rPr>
        <w:t xml:space="preserve"> bens patrimoniais </w:t>
      </w:r>
      <w:r w:rsidR="00054CE1" w:rsidRPr="006D5458">
        <w:rPr>
          <w:rFonts w:ascii="Calibri" w:hAnsi="Calibri" w:cs="Calibri"/>
          <w:sz w:val="22"/>
          <w:szCs w:val="22"/>
        </w:rPr>
        <w:t>furtados ou extraviados, mas que se encontram com o processo administrativo de sindicância em andamento, conforme</w:t>
      </w:r>
      <w:r w:rsidR="008C1178">
        <w:rPr>
          <w:rFonts w:ascii="Calibri" w:hAnsi="Calibri" w:cs="Calibri"/>
          <w:sz w:val="22"/>
          <w:szCs w:val="22"/>
        </w:rPr>
        <w:t xml:space="preserve"> Processo SEI nº </w:t>
      </w:r>
      <w:r w:rsidR="008C1178" w:rsidRPr="008C1178">
        <w:rPr>
          <w:rFonts w:ascii="Calibri" w:hAnsi="Calibri" w:cs="Calibri"/>
          <w:sz w:val="22"/>
          <w:szCs w:val="22"/>
        </w:rPr>
        <w:t>51402.105367/2022-41</w:t>
      </w:r>
      <w:r w:rsidRPr="006D5458">
        <w:rPr>
          <w:rFonts w:ascii="Calibri" w:hAnsi="Calibri" w:cs="Calibri"/>
          <w:sz w:val="22"/>
          <w:szCs w:val="22"/>
        </w:rPr>
        <w:t xml:space="preserve">, totalizando R$ </w:t>
      </w:r>
      <w:r w:rsidR="008C1178">
        <w:rPr>
          <w:rFonts w:ascii="Calibri" w:hAnsi="Calibri" w:cs="Calibri"/>
          <w:sz w:val="22"/>
          <w:szCs w:val="22"/>
        </w:rPr>
        <w:t>661</w:t>
      </w:r>
      <w:r w:rsidRPr="006D5458">
        <w:rPr>
          <w:rFonts w:ascii="Calibri" w:hAnsi="Calibri" w:cs="Calibri"/>
          <w:sz w:val="22"/>
          <w:szCs w:val="22"/>
        </w:rPr>
        <w:t>.</w:t>
      </w:r>
      <w:r w:rsidR="00054CE1" w:rsidRPr="006D5458">
        <w:rPr>
          <w:rFonts w:ascii="Calibri" w:hAnsi="Calibri" w:cs="Calibri"/>
          <w:sz w:val="22"/>
          <w:szCs w:val="22"/>
        </w:rPr>
        <w:t xml:space="preserve"> Ao final da instrução processual, com a devida </w:t>
      </w:r>
      <w:r w:rsidR="00054CE1" w:rsidRPr="006D5458">
        <w:rPr>
          <w:rFonts w:ascii="Calibri" w:hAnsi="Calibri" w:cs="Calibri"/>
          <w:sz w:val="22"/>
          <w:szCs w:val="22"/>
        </w:rPr>
        <w:lastRenderedPageBreak/>
        <w:t xml:space="preserve">autorização da Diretoria Executiva, esses bens serão efetivamente baixados do patrimônio da </w:t>
      </w:r>
      <w:r w:rsidR="00D60F6A">
        <w:rPr>
          <w:rFonts w:ascii="Calibri" w:hAnsi="Calibri" w:cs="Calibri"/>
          <w:sz w:val="22"/>
          <w:szCs w:val="22"/>
        </w:rPr>
        <w:t>Infra</w:t>
      </w:r>
      <w:r w:rsidR="00B406C5">
        <w:rPr>
          <w:rFonts w:ascii="Calibri" w:hAnsi="Calibri" w:cs="Calibri"/>
          <w:sz w:val="22"/>
          <w:szCs w:val="22"/>
        </w:rPr>
        <w:t xml:space="preserve"> S.A.</w:t>
      </w:r>
      <w:r w:rsidR="00054CE1" w:rsidRPr="006D5458">
        <w:rPr>
          <w:rFonts w:ascii="Calibri" w:hAnsi="Calibri" w:cs="Calibri"/>
          <w:sz w:val="22"/>
          <w:szCs w:val="22"/>
        </w:rPr>
        <w:t>;</w:t>
      </w:r>
      <w:r w:rsidR="00BF5A4D" w:rsidRPr="006D5458">
        <w:rPr>
          <w:rFonts w:ascii="Calibri" w:hAnsi="Calibri" w:cs="Calibri"/>
          <w:sz w:val="22"/>
          <w:szCs w:val="22"/>
        </w:rPr>
        <w:t xml:space="preserve"> e</w:t>
      </w:r>
    </w:p>
    <w:p w14:paraId="1C370210" w14:textId="28FC3DEA" w:rsidR="00054CE1" w:rsidRPr="002E2B5B" w:rsidRDefault="00954EAC" w:rsidP="00937ED9">
      <w:pPr>
        <w:pStyle w:val="NormalWeb"/>
        <w:numPr>
          <w:ilvl w:val="1"/>
          <w:numId w:val="15"/>
        </w:numPr>
        <w:spacing w:before="0" w:beforeAutospacing="0" w:after="120" w:afterAutospacing="0"/>
        <w:jc w:val="both"/>
        <w:rPr>
          <w:rFonts w:ascii="Calibri" w:hAnsi="Calibri" w:cs="Calibri"/>
          <w:sz w:val="22"/>
          <w:szCs w:val="22"/>
        </w:rPr>
      </w:pPr>
      <w:r>
        <w:rPr>
          <w:rFonts w:ascii="Calibri" w:hAnsi="Calibri" w:cs="Calibri"/>
          <w:sz w:val="22"/>
          <w:szCs w:val="22"/>
        </w:rPr>
        <w:t xml:space="preserve">Ao </w:t>
      </w:r>
      <w:r w:rsidRPr="00954EAC">
        <w:rPr>
          <w:rFonts w:ascii="Calibri" w:hAnsi="Calibri" w:cs="Calibri"/>
          <w:sz w:val="22"/>
          <w:szCs w:val="22"/>
        </w:rPr>
        <w:t>valor contábil de bens móveis que foram doados no exercício de 2021,</w:t>
      </w:r>
      <w:r>
        <w:rPr>
          <w:rFonts w:ascii="Calibri" w:hAnsi="Calibri" w:cs="Calibri"/>
          <w:sz w:val="22"/>
          <w:szCs w:val="22"/>
        </w:rPr>
        <w:t xml:space="preserve"> totalizando </w:t>
      </w:r>
      <w:r w:rsidR="00BF5A4D">
        <w:rPr>
          <w:rFonts w:ascii="Calibri" w:hAnsi="Calibri" w:cs="Calibri"/>
          <w:sz w:val="22"/>
          <w:szCs w:val="22"/>
        </w:rPr>
        <w:t>R$ 1</w:t>
      </w:r>
      <w:r w:rsidR="006D5458">
        <w:rPr>
          <w:rFonts w:ascii="Calibri" w:hAnsi="Calibri" w:cs="Calibri"/>
          <w:sz w:val="22"/>
          <w:szCs w:val="22"/>
        </w:rPr>
        <w:t>8</w:t>
      </w:r>
      <w:r w:rsidR="00BF5A4D">
        <w:rPr>
          <w:rFonts w:ascii="Calibri" w:hAnsi="Calibri" w:cs="Calibri"/>
          <w:sz w:val="22"/>
          <w:szCs w:val="22"/>
        </w:rPr>
        <w:t xml:space="preserve"> mil,</w:t>
      </w:r>
      <w:r w:rsidRPr="00954EAC">
        <w:rPr>
          <w:rFonts w:ascii="Calibri" w:hAnsi="Calibri" w:cs="Calibri"/>
          <w:sz w:val="22"/>
          <w:szCs w:val="22"/>
        </w:rPr>
        <w:t xml:space="preserve"> mas que, por questões de regularização de documentos do recebedor, encontram-se pendentes de assinatura do termo de doação, conforme Processo SEI nº 51402.106738/2021-21.</w:t>
      </w:r>
    </w:p>
    <w:p w14:paraId="0556DBE9" w14:textId="6840E9A1" w:rsidR="009856AD" w:rsidRPr="002E2B5B" w:rsidRDefault="009856AD"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“Terrenos” é composta pelos custos relacionados aos processos de desapropriação dos respectivos Terrenos. </w:t>
      </w:r>
      <w:r w:rsidR="00D6403B">
        <w:rPr>
          <w:rFonts w:ascii="Calibri" w:hAnsi="Calibri" w:cs="Calibri"/>
          <w:sz w:val="22"/>
          <w:szCs w:val="22"/>
        </w:rPr>
        <w:t>Além do pagamento ao expropriado, m</w:t>
      </w:r>
      <w:r w:rsidRPr="002E2B5B">
        <w:rPr>
          <w:rFonts w:ascii="Calibri" w:hAnsi="Calibri" w:cs="Calibri"/>
          <w:sz w:val="22"/>
          <w:szCs w:val="22"/>
        </w:rPr>
        <w:t>ensalmente são realizados pagamentos de custas do processo, taxas cartoriais, entre outros que compõem o Custo do Terreno</w:t>
      </w:r>
      <w:r w:rsidR="000A7B39" w:rsidRPr="002E2B5B">
        <w:rPr>
          <w:rFonts w:ascii="Calibri" w:hAnsi="Calibri" w:cs="Calibri"/>
          <w:sz w:val="22"/>
          <w:szCs w:val="22"/>
        </w:rPr>
        <w:t>;</w:t>
      </w:r>
    </w:p>
    <w:p w14:paraId="703F20AE" w14:textId="611D9EAD" w:rsidR="00CF03BE" w:rsidRPr="002E2B5B" w:rsidRDefault="00CF03BE"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 xml:space="preserve">A rubrica contábil “Estudos e Projetos” é composta pelos custos relacionados ao desenvolvimento </w:t>
      </w:r>
      <w:r w:rsidRPr="002E2B5B">
        <w:rPr>
          <w:rFonts w:ascii="Calibri" w:hAnsi="Calibri" w:cs="Calibri"/>
          <w:sz w:val="22"/>
          <w:szCs w:val="22"/>
          <w:shd w:val="clear" w:color="auto" w:fill="FFFFFF"/>
        </w:rPr>
        <w:t xml:space="preserve">de estudos e projetos de obras de </w:t>
      </w:r>
      <w:r w:rsidR="00E11BEF">
        <w:rPr>
          <w:rFonts w:ascii="Calibri" w:hAnsi="Calibri" w:cs="Calibri"/>
          <w:sz w:val="22"/>
          <w:szCs w:val="22"/>
          <w:shd w:val="clear" w:color="auto" w:fill="FFFFFF"/>
        </w:rPr>
        <w:t>Infra</w:t>
      </w:r>
      <w:r w:rsidRPr="002E2B5B">
        <w:rPr>
          <w:rFonts w:ascii="Calibri" w:hAnsi="Calibri" w:cs="Calibri"/>
          <w:sz w:val="22"/>
          <w:szCs w:val="22"/>
          <w:shd w:val="clear" w:color="auto" w:fill="FFFFFF"/>
        </w:rPr>
        <w:t>estrutura ferroviária. Os Estudos e Projetos compreendem os Estudos de Viabilidade Técnica, Econômica e Ambiental – EVTEA, o Projeto Básico – PB e o Projeto Executivo – PE;</w:t>
      </w:r>
    </w:p>
    <w:p w14:paraId="1FBA50D3" w14:textId="737A2699" w:rsidR="007D5C15" w:rsidRDefault="00CC7E45" w:rsidP="00937ED9">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A rubrica contábil “Implantação – Ferrovias” é formada pelos custos das obras de construção das ferrovias que ainda se encontram em andamento, após as subconcessões dos trechos, os ativos subconcedidos são transferidos para a rubrica “Ativos de Concessão”</w:t>
      </w:r>
      <w:r w:rsidR="000A7B39" w:rsidRPr="002E2B5B">
        <w:rPr>
          <w:rFonts w:ascii="Calibri" w:hAnsi="Calibri" w:cs="Calibri"/>
          <w:sz w:val="22"/>
          <w:szCs w:val="22"/>
        </w:rPr>
        <w:t>;</w:t>
      </w:r>
    </w:p>
    <w:p w14:paraId="4BC1E9F4" w14:textId="1420DDF8" w:rsidR="00042306" w:rsidRPr="0039796F" w:rsidRDefault="00042306" w:rsidP="00937ED9">
      <w:pPr>
        <w:pStyle w:val="NormalWeb"/>
        <w:numPr>
          <w:ilvl w:val="0"/>
          <w:numId w:val="15"/>
        </w:numPr>
        <w:spacing w:before="0" w:beforeAutospacing="0" w:after="120" w:afterAutospacing="0"/>
        <w:jc w:val="both"/>
        <w:rPr>
          <w:rFonts w:ascii="Calibri" w:hAnsi="Calibri" w:cs="Calibri"/>
          <w:sz w:val="22"/>
          <w:szCs w:val="22"/>
        </w:rPr>
      </w:pPr>
      <w:r>
        <w:rPr>
          <w:rFonts w:ascii="Calibri" w:hAnsi="Calibri" w:cs="Calibri"/>
          <w:sz w:val="22"/>
          <w:szCs w:val="22"/>
        </w:rPr>
        <w:t>A rubrica contábil “Direito de Uso” corresponde a</w:t>
      </w:r>
      <w:r w:rsidRPr="00042306">
        <w:rPr>
          <w:rFonts w:ascii="Calibri" w:hAnsi="Calibri" w:cs="Calibri"/>
          <w:sz w:val="22"/>
          <w:szCs w:val="22"/>
        </w:rPr>
        <w:t xml:space="preserve"> direitos com origem em contratos de locação de imóveis </w:t>
      </w:r>
      <w:r>
        <w:rPr>
          <w:rFonts w:ascii="Calibri" w:hAnsi="Calibri" w:cs="Calibri"/>
          <w:sz w:val="22"/>
          <w:szCs w:val="22"/>
        </w:rPr>
        <w:t>conforme</w:t>
      </w:r>
      <w:r w:rsidRPr="00042306">
        <w:rPr>
          <w:rFonts w:ascii="Calibri" w:hAnsi="Calibri" w:cs="Calibri"/>
          <w:sz w:val="22"/>
          <w:szCs w:val="22"/>
        </w:rPr>
        <w:t xml:space="preserve"> estabelecido</w:t>
      </w:r>
      <w:r>
        <w:rPr>
          <w:rFonts w:ascii="Calibri" w:hAnsi="Calibri" w:cs="Calibri"/>
          <w:sz w:val="22"/>
          <w:szCs w:val="22"/>
        </w:rPr>
        <w:t xml:space="preserve"> </w:t>
      </w:r>
      <w:r w:rsidRPr="00042306">
        <w:rPr>
          <w:rFonts w:ascii="Calibri" w:hAnsi="Calibri" w:cs="Calibri"/>
          <w:sz w:val="22"/>
          <w:szCs w:val="22"/>
        </w:rPr>
        <w:t>no CPC 06 (R2)</w:t>
      </w:r>
      <w:r>
        <w:rPr>
          <w:rFonts w:ascii="Calibri" w:hAnsi="Calibri" w:cs="Calibri"/>
          <w:sz w:val="22"/>
          <w:szCs w:val="22"/>
        </w:rPr>
        <w:t xml:space="preserve">. A sua composição bem como detalhamento estão evidenciados na </w:t>
      </w:r>
      <w:r w:rsidRPr="00572476">
        <w:rPr>
          <w:rFonts w:ascii="Calibri" w:hAnsi="Calibri" w:cs="Calibri"/>
          <w:sz w:val="22"/>
          <w:szCs w:val="22"/>
        </w:rPr>
        <w:t>Nota 1</w:t>
      </w:r>
      <w:r w:rsidR="00572476">
        <w:rPr>
          <w:rFonts w:ascii="Calibri" w:hAnsi="Calibri" w:cs="Calibri"/>
          <w:sz w:val="22"/>
          <w:szCs w:val="22"/>
        </w:rPr>
        <w:t>6.</w:t>
      </w:r>
    </w:p>
    <w:p w14:paraId="488EADB7" w14:textId="335A4426" w:rsidR="000C54C6" w:rsidRDefault="00C07BEB" w:rsidP="0029463C">
      <w:pPr>
        <w:pStyle w:val="NormalWeb"/>
        <w:numPr>
          <w:ilvl w:val="0"/>
          <w:numId w:val="15"/>
        </w:numPr>
        <w:spacing w:before="0" w:beforeAutospacing="0" w:after="120" w:afterAutospacing="0"/>
        <w:jc w:val="both"/>
        <w:rPr>
          <w:rFonts w:ascii="Calibri" w:hAnsi="Calibri" w:cs="Calibri"/>
          <w:sz w:val="22"/>
          <w:szCs w:val="22"/>
        </w:rPr>
      </w:pPr>
      <w:r w:rsidRPr="002E2B5B">
        <w:rPr>
          <w:rFonts w:ascii="Calibri" w:hAnsi="Calibri" w:cs="Calibri"/>
          <w:sz w:val="22"/>
          <w:szCs w:val="22"/>
        </w:rPr>
        <w:t>Um item do ativo imobilizado é baixado quando doado ou quando nenhum benefício econômico futuro for esperado pelo seu uso. Eventual perda resultante da baixa do ativo (representada pelo valor residual do ativo) é incluída no resultado do exercício em que o ativo for baixado.</w:t>
      </w:r>
      <w:r w:rsidR="0039796F">
        <w:rPr>
          <w:rFonts w:ascii="Calibri" w:hAnsi="Calibri" w:cs="Calibri"/>
          <w:sz w:val="22"/>
          <w:szCs w:val="22"/>
        </w:rPr>
        <w:t xml:space="preserve"> </w:t>
      </w:r>
      <w:r w:rsidR="0029463C">
        <w:rPr>
          <w:rFonts w:ascii="Calibri" w:hAnsi="Calibri" w:cs="Calibri"/>
          <w:sz w:val="22"/>
          <w:szCs w:val="22"/>
        </w:rPr>
        <w:t xml:space="preserve">No </w:t>
      </w:r>
      <w:r w:rsidR="00F3256C">
        <w:rPr>
          <w:rFonts w:ascii="Calibri" w:hAnsi="Calibri" w:cs="Calibri"/>
          <w:sz w:val="22"/>
          <w:szCs w:val="22"/>
        </w:rPr>
        <w:t xml:space="preserve">exercício de 2022, até o </w:t>
      </w:r>
      <w:r w:rsidR="008C1178">
        <w:rPr>
          <w:rFonts w:ascii="Calibri" w:hAnsi="Calibri" w:cs="Calibri"/>
          <w:sz w:val="22"/>
          <w:szCs w:val="22"/>
        </w:rPr>
        <w:t>3</w:t>
      </w:r>
      <w:r w:rsidR="00F3256C">
        <w:rPr>
          <w:rFonts w:ascii="Calibri" w:hAnsi="Calibri" w:cs="Calibri"/>
          <w:sz w:val="22"/>
          <w:szCs w:val="22"/>
        </w:rPr>
        <w:t>º trimestre, ocorre</w:t>
      </w:r>
      <w:r w:rsidR="008C1178">
        <w:rPr>
          <w:rFonts w:ascii="Calibri" w:hAnsi="Calibri" w:cs="Calibri"/>
          <w:sz w:val="22"/>
          <w:szCs w:val="22"/>
        </w:rPr>
        <w:t xml:space="preserve">ram </w:t>
      </w:r>
      <w:r w:rsidR="00F3256C">
        <w:rPr>
          <w:rFonts w:ascii="Calibri" w:hAnsi="Calibri" w:cs="Calibri"/>
          <w:sz w:val="22"/>
          <w:szCs w:val="22"/>
        </w:rPr>
        <w:t>a</w:t>
      </w:r>
      <w:r w:rsidR="008C1178">
        <w:rPr>
          <w:rFonts w:ascii="Calibri" w:hAnsi="Calibri" w:cs="Calibri"/>
          <w:sz w:val="22"/>
          <w:szCs w:val="22"/>
        </w:rPr>
        <w:t>s</w:t>
      </w:r>
      <w:r w:rsidR="00F3256C">
        <w:rPr>
          <w:rFonts w:ascii="Calibri" w:hAnsi="Calibri" w:cs="Calibri"/>
          <w:sz w:val="22"/>
          <w:szCs w:val="22"/>
        </w:rPr>
        <w:t xml:space="preserve"> seguinte</w:t>
      </w:r>
      <w:r w:rsidR="008C1178">
        <w:rPr>
          <w:rFonts w:ascii="Calibri" w:hAnsi="Calibri" w:cs="Calibri"/>
          <w:sz w:val="22"/>
          <w:szCs w:val="22"/>
        </w:rPr>
        <w:t>s</w:t>
      </w:r>
      <w:r w:rsidR="00F3256C">
        <w:rPr>
          <w:rFonts w:ascii="Calibri" w:hAnsi="Calibri" w:cs="Calibri"/>
          <w:sz w:val="22"/>
          <w:szCs w:val="22"/>
        </w:rPr>
        <w:t xml:space="preserve"> baixa</w:t>
      </w:r>
      <w:r w:rsidR="008C1178">
        <w:rPr>
          <w:rFonts w:ascii="Calibri" w:hAnsi="Calibri" w:cs="Calibri"/>
          <w:sz w:val="22"/>
          <w:szCs w:val="22"/>
        </w:rPr>
        <w:t>s</w:t>
      </w:r>
      <w:r w:rsidR="00F3256C">
        <w:rPr>
          <w:rFonts w:ascii="Calibri" w:hAnsi="Calibri" w:cs="Calibri"/>
          <w:sz w:val="22"/>
          <w:szCs w:val="22"/>
        </w:rPr>
        <w:t>:</w:t>
      </w:r>
    </w:p>
    <w:p w14:paraId="14BBE4F3" w14:textId="22EB7F12" w:rsidR="00F3256C" w:rsidRDefault="00F3256C" w:rsidP="00F3256C">
      <w:pPr>
        <w:pStyle w:val="NormalWeb"/>
        <w:numPr>
          <w:ilvl w:val="1"/>
          <w:numId w:val="15"/>
        </w:numPr>
        <w:spacing w:before="0" w:beforeAutospacing="0" w:after="120" w:afterAutospacing="0"/>
        <w:jc w:val="both"/>
        <w:rPr>
          <w:rFonts w:ascii="Calibri" w:hAnsi="Calibri" w:cs="Calibri"/>
          <w:sz w:val="22"/>
          <w:szCs w:val="22"/>
        </w:rPr>
      </w:pPr>
      <w:r>
        <w:rPr>
          <w:rFonts w:ascii="Calibri" w:hAnsi="Calibri" w:cs="Calibri"/>
          <w:sz w:val="22"/>
          <w:szCs w:val="22"/>
        </w:rPr>
        <w:t>B</w:t>
      </w:r>
      <w:r w:rsidRPr="00F3256C">
        <w:rPr>
          <w:rFonts w:ascii="Calibri" w:hAnsi="Calibri" w:cs="Calibri"/>
          <w:sz w:val="22"/>
          <w:szCs w:val="22"/>
        </w:rPr>
        <w:t>aixa de R$ 165</w:t>
      </w:r>
      <w:r w:rsidR="005B3921">
        <w:rPr>
          <w:rFonts w:ascii="Calibri" w:hAnsi="Calibri" w:cs="Calibri"/>
          <w:sz w:val="22"/>
          <w:szCs w:val="22"/>
        </w:rPr>
        <w:t>,02</w:t>
      </w:r>
      <w:r>
        <w:rPr>
          <w:rFonts w:ascii="Calibri" w:hAnsi="Calibri" w:cs="Calibri"/>
          <w:sz w:val="22"/>
          <w:szCs w:val="22"/>
        </w:rPr>
        <w:t xml:space="preserve"> mil</w:t>
      </w:r>
      <w:r w:rsidRPr="00F3256C">
        <w:rPr>
          <w:rFonts w:ascii="Calibri" w:hAnsi="Calibri" w:cs="Calibri"/>
          <w:sz w:val="22"/>
          <w:szCs w:val="22"/>
        </w:rPr>
        <w:t xml:space="preserve"> na conta de Salas e Escritórios, devido a devolução de área ocupada pela </w:t>
      </w:r>
      <w:r w:rsidR="00D60F6A">
        <w:rPr>
          <w:rFonts w:ascii="Calibri" w:hAnsi="Calibri" w:cs="Calibri"/>
          <w:sz w:val="22"/>
          <w:szCs w:val="22"/>
        </w:rPr>
        <w:t>Infra</w:t>
      </w:r>
      <w:r w:rsidR="00B406C5">
        <w:rPr>
          <w:rFonts w:ascii="Calibri" w:hAnsi="Calibri" w:cs="Calibri"/>
          <w:sz w:val="22"/>
          <w:szCs w:val="22"/>
        </w:rPr>
        <w:t xml:space="preserve"> S.A.</w:t>
      </w:r>
      <w:r w:rsidRPr="00F3256C">
        <w:rPr>
          <w:rFonts w:ascii="Calibri" w:hAnsi="Calibri" w:cs="Calibri"/>
          <w:sz w:val="22"/>
          <w:szCs w:val="22"/>
        </w:rPr>
        <w:t xml:space="preserve"> à Companhia Imobiliária do Estado de TO conforme Processo 51402.040909/2013-31. O bem baixado já se encontrava totalmente depreciado</w:t>
      </w:r>
      <w:r w:rsidR="005B3921">
        <w:rPr>
          <w:rFonts w:ascii="Calibri" w:hAnsi="Calibri" w:cs="Calibri"/>
          <w:sz w:val="22"/>
          <w:szCs w:val="22"/>
        </w:rPr>
        <w:t>;</w:t>
      </w:r>
    </w:p>
    <w:p w14:paraId="495A0E71" w14:textId="72675C2B" w:rsidR="005B3921" w:rsidRPr="005B3921" w:rsidRDefault="00D74E6D" w:rsidP="007D40EC">
      <w:pPr>
        <w:pStyle w:val="NormalWeb"/>
        <w:numPr>
          <w:ilvl w:val="1"/>
          <w:numId w:val="15"/>
        </w:numPr>
        <w:spacing w:after="120"/>
        <w:jc w:val="both"/>
        <w:rPr>
          <w:rFonts w:ascii="Calibri" w:hAnsi="Calibri" w:cs="Calibri"/>
          <w:sz w:val="22"/>
          <w:szCs w:val="22"/>
        </w:rPr>
      </w:pPr>
      <w:r>
        <w:rPr>
          <w:rFonts w:ascii="Calibri" w:hAnsi="Calibri" w:cs="Calibri"/>
          <w:sz w:val="22"/>
          <w:szCs w:val="22"/>
        </w:rPr>
        <w:t>B</w:t>
      </w:r>
      <w:r w:rsidR="005B3921" w:rsidRPr="005B3921">
        <w:rPr>
          <w:rFonts w:ascii="Calibri" w:hAnsi="Calibri" w:cs="Calibri"/>
          <w:sz w:val="22"/>
          <w:szCs w:val="22"/>
        </w:rPr>
        <w:t>aixa de R$ 4</w:t>
      </w:r>
      <w:r w:rsidR="005B3921">
        <w:rPr>
          <w:rFonts w:ascii="Calibri" w:hAnsi="Calibri" w:cs="Calibri"/>
          <w:sz w:val="22"/>
          <w:szCs w:val="22"/>
        </w:rPr>
        <w:t>,</w:t>
      </w:r>
      <w:r w:rsidR="005B3921" w:rsidRPr="005B3921">
        <w:rPr>
          <w:rFonts w:ascii="Calibri" w:hAnsi="Calibri" w:cs="Calibri"/>
          <w:sz w:val="22"/>
          <w:szCs w:val="22"/>
        </w:rPr>
        <w:t>40</w:t>
      </w:r>
      <w:r w:rsidR="005B3921">
        <w:rPr>
          <w:rFonts w:ascii="Calibri" w:hAnsi="Calibri" w:cs="Calibri"/>
          <w:sz w:val="22"/>
          <w:szCs w:val="22"/>
        </w:rPr>
        <w:t xml:space="preserve"> mil</w:t>
      </w:r>
      <w:r w:rsidR="005B3921" w:rsidRPr="005B3921">
        <w:rPr>
          <w:rFonts w:ascii="Calibri" w:hAnsi="Calibri" w:cs="Calibri"/>
          <w:sz w:val="22"/>
          <w:szCs w:val="22"/>
        </w:rPr>
        <w:t xml:space="preserve"> na conta Equipamentos de TI e Comunicação, devido ao furto de 02 bens patrimoniais conforme Processo 51402.165781/2016-61. Do valor total baixado, R$ 3</w:t>
      </w:r>
      <w:r w:rsidR="005B3921">
        <w:rPr>
          <w:rFonts w:ascii="Calibri" w:hAnsi="Calibri" w:cs="Calibri"/>
          <w:sz w:val="22"/>
          <w:szCs w:val="22"/>
        </w:rPr>
        <w:t>,</w:t>
      </w:r>
      <w:r w:rsidR="005B3921" w:rsidRPr="005B3921">
        <w:rPr>
          <w:rFonts w:ascii="Calibri" w:hAnsi="Calibri" w:cs="Calibri"/>
          <w:sz w:val="22"/>
          <w:szCs w:val="22"/>
        </w:rPr>
        <w:t>96</w:t>
      </w:r>
      <w:r w:rsidR="005B3921">
        <w:rPr>
          <w:rFonts w:ascii="Calibri" w:hAnsi="Calibri" w:cs="Calibri"/>
          <w:sz w:val="22"/>
          <w:szCs w:val="22"/>
        </w:rPr>
        <w:t xml:space="preserve"> mil</w:t>
      </w:r>
      <w:r w:rsidR="005B3921" w:rsidRPr="005B3921">
        <w:rPr>
          <w:rFonts w:ascii="Calibri" w:hAnsi="Calibri" w:cs="Calibri"/>
          <w:sz w:val="22"/>
          <w:szCs w:val="22"/>
        </w:rPr>
        <w:t xml:space="preserve"> correspondem à depreciação acumulada dos referidos bens</w:t>
      </w:r>
      <w:r w:rsidR="005B3921">
        <w:rPr>
          <w:rFonts w:ascii="Calibri" w:hAnsi="Calibri" w:cs="Calibri"/>
          <w:sz w:val="22"/>
          <w:szCs w:val="22"/>
        </w:rPr>
        <w:t>;</w:t>
      </w:r>
    </w:p>
    <w:p w14:paraId="48A33BE9" w14:textId="1A43CE43" w:rsidR="005B3921" w:rsidRPr="005B3921" w:rsidRDefault="00D74E6D" w:rsidP="007D40EC">
      <w:pPr>
        <w:pStyle w:val="NormalWeb"/>
        <w:numPr>
          <w:ilvl w:val="1"/>
          <w:numId w:val="15"/>
        </w:numPr>
        <w:spacing w:after="120"/>
        <w:jc w:val="both"/>
        <w:rPr>
          <w:rFonts w:ascii="Calibri" w:hAnsi="Calibri" w:cs="Calibri"/>
          <w:sz w:val="22"/>
          <w:szCs w:val="22"/>
        </w:rPr>
      </w:pPr>
      <w:r>
        <w:rPr>
          <w:rFonts w:ascii="Calibri" w:hAnsi="Calibri" w:cs="Calibri"/>
          <w:sz w:val="22"/>
          <w:szCs w:val="22"/>
        </w:rPr>
        <w:t>B</w:t>
      </w:r>
      <w:r w:rsidR="005B3921" w:rsidRPr="005B3921">
        <w:rPr>
          <w:rFonts w:ascii="Calibri" w:hAnsi="Calibri" w:cs="Calibri"/>
          <w:sz w:val="22"/>
          <w:szCs w:val="22"/>
        </w:rPr>
        <w:t>aixa de R$ 4,77 mil na conta Máquinas e utensílios de escritório, devido ao furto de 16 bens patrimoniais conforme Processo 51402.165781/2016-61. Do valor total baixado, R$ 3</w:t>
      </w:r>
      <w:r w:rsidR="005B3921">
        <w:rPr>
          <w:rFonts w:ascii="Calibri" w:hAnsi="Calibri" w:cs="Calibri"/>
          <w:sz w:val="22"/>
          <w:szCs w:val="22"/>
        </w:rPr>
        <w:t>,</w:t>
      </w:r>
      <w:r w:rsidR="005B3921" w:rsidRPr="005B3921">
        <w:rPr>
          <w:rFonts w:ascii="Calibri" w:hAnsi="Calibri" w:cs="Calibri"/>
          <w:sz w:val="22"/>
          <w:szCs w:val="22"/>
        </w:rPr>
        <w:t>98</w:t>
      </w:r>
      <w:r w:rsidR="005B3921">
        <w:rPr>
          <w:rFonts w:ascii="Calibri" w:hAnsi="Calibri" w:cs="Calibri"/>
          <w:sz w:val="22"/>
          <w:szCs w:val="22"/>
        </w:rPr>
        <w:t xml:space="preserve"> mil</w:t>
      </w:r>
      <w:r w:rsidR="005B3921" w:rsidRPr="005B3921">
        <w:rPr>
          <w:rFonts w:ascii="Calibri" w:hAnsi="Calibri" w:cs="Calibri"/>
          <w:sz w:val="22"/>
          <w:szCs w:val="22"/>
        </w:rPr>
        <w:t xml:space="preserve"> correspondem à depreciação acumulada dos referidos bens</w:t>
      </w:r>
      <w:r w:rsidR="005B3921">
        <w:rPr>
          <w:rFonts w:ascii="Calibri" w:hAnsi="Calibri" w:cs="Calibri"/>
          <w:sz w:val="22"/>
          <w:szCs w:val="22"/>
        </w:rPr>
        <w:t>;</w:t>
      </w:r>
    </w:p>
    <w:p w14:paraId="6A089591" w14:textId="33007F67" w:rsidR="005B3921" w:rsidRDefault="00D74E6D" w:rsidP="007D40EC">
      <w:pPr>
        <w:pStyle w:val="NormalWeb"/>
        <w:numPr>
          <w:ilvl w:val="1"/>
          <w:numId w:val="15"/>
        </w:numPr>
        <w:spacing w:after="120"/>
        <w:jc w:val="both"/>
        <w:rPr>
          <w:rFonts w:ascii="Calibri" w:hAnsi="Calibri" w:cs="Calibri"/>
          <w:sz w:val="22"/>
          <w:szCs w:val="22"/>
        </w:rPr>
      </w:pPr>
      <w:r>
        <w:rPr>
          <w:rFonts w:ascii="Calibri" w:hAnsi="Calibri" w:cs="Calibri"/>
          <w:sz w:val="22"/>
          <w:szCs w:val="22"/>
        </w:rPr>
        <w:t>B</w:t>
      </w:r>
      <w:r w:rsidR="005B3921" w:rsidRPr="00D74E6D">
        <w:rPr>
          <w:rFonts w:ascii="Calibri" w:hAnsi="Calibri" w:cs="Calibri"/>
          <w:sz w:val="22"/>
          <w:szCs w:val="22"/>
        </w:rPr>
        <w:t>aixa de R$ 7,76 mil na conta Mobiliário em geral, devido ao furto de 30 bens patrimoniais conforme Processo 51402.165781/2016-61. Do valor total baixado, R$ 6</w:t>
      </w:r>
      <w:r w:rsidRPr="00D74E6D">
        <w:rPr>
          <w:rFonts w:ascii="Calibri" w:hAnsi="Calibri" w:cs="Calibri"/>
          <w:sz w:val="22"/>
          <w:szCs w:val="22"/>
        </w:rPr>
        <w:t>,</w:t>
      </w:r>
      <w:r w:rsidR="005B3921" w:rsidRPr="00D74E6D">
        <w:rPr>
          <w:rFonts w:ascii="Calibri" w:hAnsi="Calibri" w:cs="Calibri"/>
          <w:sz w:val="22"/>
          <w:szCs w:val="22"/>
        </w:rPr>
        <w:t>98</w:t>
      </w:r>
      <w:r w:rsidRPr="00D74E6D">
        <w:rPr>
          <w:rFonts w:ascii="Calibri" w:hAnsi="Calibri" w:cs="Calibri"/>
          <w:sz w:val="22"/>
          <w:szCs w:val="22"/>
        </w:rPr>
        <w:t xml:space="preserve"> mil </w:t>
      </w:r>
      <w:r w:rsidR="005B3921" w:rsidRPr="00D74E6D">
        <w:rPr>
          <w:rFonts w:ascii="Calibri" w:hAnsi="Calibri" w:cs="Calibri"/>
          <w:sz w:val="22"/>
          <w:szCs w:val="22"/>
        </w:rPr>
        <w:t>correspondem à depreciação acumulada dos referidos bens</w:t>
      </w:r>
      <w:r>
        <w:rPr>
          <w:rFonts w:ascii="Calibri" w:hAnsi="Calibri" w:cs="Calibri"/>
          <w:sz w:val="22"/>
          <w:szCs w:val="22"/>
        </w:rPr>
        <w:t>;</w:t>
      </w:r>
    </w:p>
    <w:p w14:paraId="69BC1234" w14:textId="50ECB690" w:rsidR="005B3921" w:rsidRDefault="00D74E6D" w:rsidP="007D40EC">
      <w:pPr>
        <w:pStyle w:val="NormalWeb"/>
        <w:numPr>
          <w:ilvl w:val="1"/>
          <w:numId w:val="15"/>
        </w:numPr>
        <w:spacing w:after="120"/>
        <w:jc w:val="both"/>
        <w:rPr>
          <w:rFonts w:ascii="Calibri" w:hAnsi="Calibri" w:cs="Calibri"/>
          <w:sz w:val="22"/>
          <w:szCs w:val="22"/>
        </w:rPr>
      </w:pPr>
      <w:r>
        <w:rPr>
          <w:rFonts w:ascii="Calibri" w:hAnsi="Calibri" w:cs="Calibri"/>
          <w:sz w:val="22"/>
          <w:szCs w:val="22"/>
        </w:rPr>
        <w:t>B</w:t>
      </w:r>
      <w:r w:rsidR="005B3921" w:rsidRPr="00D74E6D">
        <w:rPr>
          <w:rFonts w:ascii="Calibri" w:hAnsi="Calibri" w:cs="Calibri"/>
          <w:sz w:val="22"/>
          <w:szCs w:val="22"/>
        </w:rPr>
        <w:t>aixa de R$ 1</w:t>
      </w:r>
      <w:r w:rsidRPr="00D74E6D">
        <w:rPr>
          <w:rFonts w:ascii="Calibri" w:hAnsi="Calibri" w:cs="Calibri"/>
          <w:sz w:val="22"/>
          <w:szCs w:val="22"/>
        </w:rPr>
        <w:t>,6</w:t>
      </w:r>
      <w:r w:rsidR="005B3921" w:rsidRPr="00D74E6D">
        <w:rPr>
          <w:rFonts w:ascii="Calibri" w:hAnsi="Calibri" w:cs="Calibri"/>
          <w:sz w:val="22"/>
          <w:szCs w:val="22"/>
        </w:rPr>
        <w:t>0</w:t>
      </w:r>
      <w:r w:rsidRPr="00D74E6D">
        <w:rPr>
          <w:rFonts w:ascii="Calibri" w:hAnsi="Calibri" w:cs="Calibri"/>
          <w:sz w:val="22"/>
          <w:szCs w:val="22"/>
        </w:rPr>
        <w:t xml:space="preserve"> mil</w:t>
      </w:r>
      <w:r w:rsidR="005B3921" w:rsidRPr="00D74E6D">
        <w:rPr>
          <w:rFonts w:ascii="Calibri" w:hAnsi="Calibri" w:cs="Calibri"/>
          <w:sz w:val="22"/>
          <w:szCs w:val="22"/>
        </w:rPr>
        <w:t xml:space="preserve"> na conta Equipamentos de TI e Comunicação, devido ao furto</w:t>
      </w:r>
      <w:r w:rsidRPr="00D74E6D">
        <w:rPr>
          <w:rFonts w:ascii="Calibri" w:hAnsi="Calibri" w:cs="Calibri"/>
          <w:sz w:val="22"/>
          <w:szCs w:val="22"/>
        </w:rPr>
        <w:t xml:space="preserve"> </w:t>
      </w:r>
      <w:r w:rsidR="005B3921" w:rsidRPr="00D74E6D">
        <w:rPr>
          <w:rFonts w:ascii="Calibri" w:hAnsi="Calibri" w:cs="Calibri"/>
          <w:sz w:val="22"/>
          <w:szCs w:val="22"/>
        </w:rPr>
        <w:t>de 04 bens patrimoniais conforme Processo 51402.224022/2018-11. Do valor total baixado, R$</w:t>
      </w:r>
      <w:r w:rsidRPr="00D74E6D">
        <w:rPr>
          <w:rFonts w:ascii="Calibri" w:hAnsi="Calibri" w:cs="Calibri"/>
          <w:sz w:val="22"/>
          <w:szCs w:val="22"/>
        </w:rPr>
        <w:t xml:space="preserve"> </w:t>
      </w:r>
      <w:r w:rsidR="005B3921" w:rsidRPr="00D74E6D">
        <w:rPr>
          <w:rFonts w:ascii="Calibri" w:hAnsi="Calibri" w:cs="Calibri"/>
          <w:sz w:val="22"/>
          <w:szCs w:val="22"/>
        </w:rPr>
        <w:t>1</w:t>
      </w:r>
      <w:r>
        <w:rPr>
          <w:rFonts w:ascii="Calibri" w:hAnsi="Calibri" w:cs="Calibri"/>
          <w:sz w:val="22"/>
          <w:szCs w:val="22"/>
        </w:rPr>
        <w:t>,</w:t>
      </w:r>
      <w:r w:rsidR="005B3921" w:rsidRPr="00D74E6D">
        <w:rPr>
          <w:rFonts w:ascii="Calibri" w:hAnsi="Calibri" w:cs="Calibri"/>
          <w:sz w:val="22"/>
          <w:szCs w:val="22"/>
        </w:rPr>
        <w:t>44</w:t>
      </w:r>
      <w:r>
        <w:rPr>
          <w:rFonts w:ascii="Calibri" w:hAnsi="Calibri" w:cs="Calibri"/>
          <w:sz w:val="22"/>
          <w:szCs w:val="22"/>
        </w:rPr>
        <w:t xml:space="preserve"> mil</w:t>
      </w:r>
      <w:r w:rsidR="005B3921" w:rsidRPr="00D74E6D">
        <w:rPr>
          <w:rFonts w:ascii="Calibri" w:hAnsi="Calibri" w:cs="Calibri"/>
          <w:sz w:val="22"/>
          <w:szCs w:val="22"/>
        </w:rPr>
        <w:t xml:space="preserve"> correspondem à depreciação acumulada dos referidos bens</w:t>
      </w:r>
      <w:r>
        <w:rPr>
          <w:rFonts w:ascii="Calibri" w:hAnsi="Calibri" w:cs="Calibri"/>
          <w:sz w:val="22"/>
          <w:szCs w:val="22"/>
        </w:rPr>
        <w:t>;</w:t>
      </w:r>
    </w:p>
    <w:p w14:paraId="2036CF2A" w14:textId="18F0AF2A" w:rsidR="005B3921" w:rsidRDefault="00D74E6D" w:rsidP="007D40EC">
      <w:pPr>
        <w:pStyle w:val="NormalWeb"/>
        <w:numPr>
          <w:ilvl w:val="1"/>
          <w:numId w:val="15"/>
        </w:numPr>
        <w:spacing w:after="120"/>
        <w:jc w:val="both"/>
        <w:rPr>
          <w:rFonts w:ascii="Calibri" w:hAnsi="Calibri" w:cs="Calibri"/>
          <w:sz w:val="22"/>
          <w:szCs w:val="22"/>
        </w:rPr>
      </w:pPr>
      <w:r w:rsidRPr="00D74E6D">
        <w:rPr>
          <w:rFonts w:ascii="Calibri" w:hAnsi="Calibri" w:cs="Calibri"/>
          <w:sz w:val="22"/>
          <w:szCs w:val="22"/>
        </w:rPr>
        <w:t>B</w:t>
      </w:r>
      <w:r w:rsidR="005B3921" w:rsidRPr="00D74E6D">
        <w:rPr>
          <w:rFonts w:ascii="Calibri" w:hAnsi="Calibri" w:cs="Calibri"/>
          <w:sz w:val="22"/>
          <w:szCs w:val="22"/>
        </w:rPr>
        <w:t>aixa de R$ 44</w:t>
      </w:r>
      <w:r w:rsidRPr="00D74E6D">
        <w:rPr>
          <w:rFonts w:ascii="Calibri" w:hAnsi="Calibri" w:cs="Calibri"/>
          <w:sz w:val="22"/>
          <w:szCs w:val="22"/>
        </w:rPr>
        <w:t>,</w:t>
      </w:r>
      <w:r w:rsidR="005B3921" w:rsidRPr="00D74E6D">
        <w:rPr>
          <w:rFonts w:ascii="Calibri" w:hAnsi="Calibri" w:cs="Calibri"/>
          <w:sz w:val="22"/>
          <w:szCs w:val="22"/>
        </w:rPr>
        <w:t>84</w:t>
      </w:r>
      <w:r w:rsidRPr="00D74E6D">
        <w:rPr>
          <w:rFonts w:ascii="Calibri" w:hAnsi="Calibri" w:cs="Calibri"/>
          <w:sz w:val="22"/>
          <w:szCs w:val="22"/>
        </w:rPr>
        <w:t xml:space="preserve"> mil</w:t>
      </w:r>
      <w:r w:rsidR="005B3921" w:rsidRPr="00D74E6D">
        <w:rPr>
          <w:rFonts w:ascii="Calibri" w:hAnsi="Calibri" w:cs="Calibri"/>
          <w:sz w:val="22"/>
          <w:szCs w:val="22"/>
        </w:rPr>
        <w:t xml:space="preserve"> na conta Máquinas e utensílios de escritório, devido ao furto</w:t>
      </w:r>
      <w:r w:rsidRPr="00D74E6D">
        <w:rPr>
          <w:rFonts w:ascii="Calibri" w:hAnsi="Calibri" w:cs="Calibri"/>
          <w:sz w:val="22"/>
          <w:szCs w:val="22"/>
        </w:rPr>
        <w:t xml:space="preserve"> </w:t>
      </w:r>
      <w:r w:rsidR="005B3921" w:rsidRPr="00D74E6D">
        <w:rPr>
          <w:rFonts w:ascii="Calibri" w:hAnsi="Calibri" w:cs="Calibri"/>
          <w:sz w:val="22"/>
          <w:szCs w:val="22"/>
        </w:rPr>
        <w:t>de 59 bens patrimoniais conforme Processo 51402.224022/2018-11. Do valor total baixado, R$</w:t>
      </w:r>
      <w:r w:rsidRPr="00D74E6D">
        <w:rPr>
          <w:rFonts w:ascii="Calibri" w:hAnsi="Calibri" w:cs="Calibri"/>
          <w:sz w:val="22"/>
          <w:szCs w:val="22"/>
        </w:rPr>
        <w:t xml:space="preserve"> </w:t>
      </w:r>
      <w:r w:rsidR="005B3921" w:rsidRPr="00D74E6D">
        <w:rPr>
          <w:rFonts w:ascii="Calibri" w:hAnsi="Calibri" w:cs="Calibri"/>
          <w:sz w:val="22"/>
          <w:szCs w:val="22"/>
        </w:rPr>
        <w:t>38</w:t>
      </w:r>
      <w:r>
        <w:rPr>
          <w:rFonts w:ascii="Calibri" w:hAnsi="Calibri" w:cs="Calibri"/>
          <w:sz w:val="22"/>
          <w:szCs w:val="22"/>
        </w:rPr>
        <w:t>,</w:t>
      </w:r>
      <w:r w:rsidR="005B3921" w:rsidRPr="00D74E6D">
        <w:rPr>
          <w:rFonts w:ascii="Calibri" w:hAnsi="Calibri" w:cs="Calibri"/>
          <w:sz w:val="22"/>
          <w:szCs w:val="22"/>
        </w:rPr>
        <w:t>84 correspondem à depreciação acumulada dos referidos bens</w:t>
      </w:r>
      <w:r>
        <w:rPr>
          <w:rFonts w:ascii="Calibri" w:hAnsi="Calibri" w:cs="Calibri"/>
          <w:sz w:val="22"/>
          <w:szCs w:val="22"/>
        </w:rPr>
        <w:t xml:space="preserve">; </w:t>
      </w:r>
    </w:p>
    <w:p w14:paraId="41E7C3BE" w14:textId="6672F322" w:rsidR="005B3921" w:rsidRPr="00D74E6D" w:rsidRDefault="00D74E6D" w:rsidP="007D40EC">
      <w:pPr>
        <w:pStyle w:val="NormalWeb"/>
        <w:numPr>
          <w:ilvl w:val="1"/>
          <w:numId w:val="15"/>
        </w:numPr>
        <w:spacing w:after="120"/>
        <w:jc w:val="both"/>
        <w:rPr>
          <w:rFonts w:ascii="Calibri" w:hAnsi="Calibri" w:cs="Calibri"/>
          <w:sz w:val="22"/>
          <w:szCs w:val="22"/>
        </w:rPr>
      </w:pPr>
      <w:r w:rsidRPr="00D74E6D">
        <w:rPr>
          <w:rFonts w:ascii="Calibri" w:hAnsi="Calibri" w:cs="Calibri"/>
          <w:sz w:val="22"/>
          <w:szCs w:val="22"/>
        </w:rPr>
        <w:t>B</w:t>
      </w:r>
      <w:r w:rsidR="005B3921" w:rsidRPr="00D74E6D">
        <w:rPr>
          <w:rFonts w:ascii="Calibri" w:hAnsi="Calibri" w:cs="Calibri"/>
          <w:sz w:val="22"/>
          <w:szCs w:val="22"/>
        </w:rPr>
        <w:t>aixa de R$ 14</w:t>
      </w:r>
      <w:r w:rsidRPr="00D74E6D">
        <w:rPr>
          <w:rFonts w:ascii="Calibri" w:hAnsi="Calibri" w:cs="Calibri"/>
          <w:sz w:val="22"/>
          <w:szCs w:val="22"/>
        </w:rPr>
        <w:t>,</w:t>
      </w:r>
      <w:r w:rsidR="005B3921" w:rsidRPr="00D74E6D">
        <w:rPr>
          <w:rFonts w:ascii="Calibri" w:hAnsi="Calibri" w:cs="Calibri"/>
          <w:sz w:val="22"/>
          <w:szCs w:val="22"/>
        </w:rPr>
        <w:t>65</w:t>
      </w:r>
      <w:r w:rsidRPr="00D74E6D">
        <w:rPr>
          <w:rFonts w:ascii="Calibri" w:hAnsi="Calibri" w:cs="Calibri"/>
          <w:sz w:val="22"/>
          <w:szCs w:val="22"/>
        </w:rPr>
        <w:t xml:space="preserve"> </w:t>
      </w:r>
      <w:r w:rsidR="005B3921" w:rsidRPr="00D74E6D">
        <w:rPr>
          <w:rFonts w:ascii="Calibri" w:hAnsi="Calibri" w:cs="Calibri"/>
          <w:sz w:val="22"/>
          <w:szCs w:val="22"/>
        </w:rPr>
        <w:t>na conta Mobiliário em geral, devido ao furto de 121 bens</w:t>
      </w:r>
      <w:r w:rsidRPr="00D74E6D">
        <w:rPr>
          <w:rFonts w:ascii="Calibri" w:hAnsi="Calibri" w:cs="Calibri"/>
          <w:sz w:val="22"/>
          <w:szCs w:val="22"/>
        </w:rPr>
        <w:t xml:space="preserve"> </w:t>
      </w:r>
      <w:r w:rsidR="005B3921" w:rsidRPr="00D74E6D">
        <w:rPr>
          <w:rFonts w:ascii="Calibri" w:hAnsi="Calibri" w:cs="Calibri"/>
          <w:sz w:val="22"/>
          <w:szCs w:val="22"/>
        </w:rPr>
        <w:t>patrimoniais conforme Processo 51402.224022/2018-11. Do valor total baixado, R$ 12</w:t>
      </w:r>
      <w:r w:rsidRPr="00D74E6D">
        <w:rPr>
          <w:rFonts w:ascii="Calibri" w:hAnsi="Calibri" w:cs="Calibri"/>
          <w:sz w:val="22"/>
          <w:szCs w:val="22"/>
        </w:rPr>
        <w:t>,</w:t>
      </w:r>
      <w:r w:rsidR="005B3921" w:rsidRPr="00D74E6D">
        <w:rPr>
          <w:rFonts w:ascii="Calibri" w:hAnsi="Calibri" w:cs="Calibri"/>
          <w:sz w:val="22"/>
          <w:szCs w:val="22"/>
        </w:rPr>
        <w:t>19</w:t>
      </w:r>
      <w:r w:rsidRPr="00D74E6D">
        <w:rPr>
          <w:rFonts w:ascii="Calibri" w:hAnsi="Calibri" w:cs="Calibri"/>
          <w:sz w:val="22"/>
          <w:szCs w:val="22"/>
        </w:rPr>
        <w:t xml:space="preserve"> </w:t>
      </w:r>
      <w:r w:rsidR="005B3921" w:rsidRPr="00D74E6D">
        <w:rPr>
          <w:rFonts w:ascii="Calibri" w:hAnsi="Calibri" w:cs="Calibri"/>
          <w:sz w:val="22"/>
          <w:szCs w:val="22"/>
        </w:rPr>
        <w:t>correspondem à depreciação acumulada dos referidos bens</w:t>
      </w:r>
      <w:r>
        <w:rPr>
          <w:rFonts w:ascii="Calibri" w:hAnsi="Calibri" w:cs="Calibri"/>
          <w:sz w:val="22"/>
          <w:szCs w:val="22"/>
        </w:rPr>
        <w:t>; e</w:t>
      </w:r>
    </w:p>
    <w:p w14:paraId="5888403A" w14:textId="5A124009" w:rsidR="005B3921" w:rsidRPr="00DC055D" w:rsidRDefault="00D74E6D" w:rsidP="007D40EC">
      <w:pPr>
        <w:pStyle w:val="NormalWeb"/>
        <w:numPr>
          <w:ilvl w:val="1"/>
          <w:numId w:val="15"/>
        </w:numPr>
        <w:spacing w:before="0" w:beforeAutospacing="0" w:after="120" w:afterAutospacing="0"/>
        <w:jc w:val="both"/>
        <w:rPr>
          <w:rFonts w:ascii="Calibri" w:hAnsi="Calibri" w:cs="Calibri"/>
          <w:sz w:val="22"/>
          <w:szCs w:val="22"/>
        </w:rPr>
      </w:pPr>
      <w:bookmarkStart w:id="6" w:name="_Hlk120031917"/>
      <w:r w:rsidRPr="00DC055D">
        <w:rPr>
          <w:rFonts w:ascii="Calibri" w:hAnsi="Calibri" w:cs="Calibri"/>
          <w:sz w:val="22"/>
          <w:szCs w:val="22"/>
        </w:rPr>
        <w:t>B</w:t>
      </w:r>
      <w:r w:rsidR="005B3921" w:rsidRPr="00DC055D">
        <w:rPr>
          <w:rFonts w:ascii="Calibri" w:hAnsi="Calibri" w:cs="Calibri"/>
          <w:sz w:val="22"/>
          <w:szCs w:val="22"/>
        </w:rPr>
        <w:t>aixa de R$ 522</w:t>
      </w:r>
      <w:r w:rsidRPr="00DC055D">
        <w:rPr>
          <w:rFonts w:ascii="Calibri" w:hAnsi="Calibri" w:cs="Calibri"/>
          <w:sz w:val="22"/>
          <w:szCs w:val="22"/>
        </w:rPr>
        <w:t>,</w:t>
      </w:r>
      <w:r w:rsidR="005B3921" w:rsidRPr="00DC055D">
        <w:rPr>
          <w:rFonts w:ascii="Calibri" w:hAnsi="Calibri" w:cs="Calibri"/>
          <w:sz w:val="22"/>
          <w:szCs w:val="22"/>
        </w:rPr>
        <w:t>73</w:t>
      </w:r>
      <w:r w:rsidRPr="00DC055D">
        <w:rPr>
          <w:rFonts w:ascii="Calibri" w:hAnsi="Calibri" w:cs="Calibri"/>
          <w:sz w:val="22"/>
          <w:szCs w:val="22"/>
        </w:rPr>
        <w:t xml:space="preserve"> mil</w:t>
      </w:r>
      <w:r w:rsidR="005B3921" w:rsidRPr="00DC055D">
        <w:rPr>
          <w:rFonts w:ascii="Calibri" w:hAnsi="Calibri" w:cs="Calibri"/>
          <w:sz w:val="22"/>
          <w:szCs w:val="22"/>
        </w:rPr>
        <w:t xml:space="preserve"> na conta Ativos de Concessão devido à baixa de saldo</w:t>
      </w:r>
      <w:r w:rsidRPr="00DC055D">
        <w:rPr>
          <w:rFonts w:ascii="Calibri" w:hAnsi="Calibri" w:cs="Calibri"/>
          <w:sz w:val="22"/>
          <w:szCs w:val="22"/>
        </w:rPr>
        <w:t xml:space="preserve"> </w:t>
      </w:r>
      <w:r w:rsidR="005B3921" w:rsidRPr="00DC055D">
        <w:rPr>
          <w:rFonts w:ascii="Calibri" w:hAnsi="Calibri" w:cs="Calibri"/>
          <w:sz w:val="22"/>
          <w:szCs w:val="22"/>
        </w:rPr>
        <w:t>correspondente na Conta de Depósitos Retidos de Fornecedores, tendo em vista o contrato</w:t>
      </w:r>
      <w:r w:rsidRPr="00DC055D">
        <w:rPr>
          <w:rFonts w:ascii="Calibri" w:hAnsi="Calibri" w:cs="Calibri"/>
          <w:sz w:val="22"/>
          <w:szCs w:val="22"/>
        </w:rPr>
        <w:t xml:space="preserve"> </w:t>
      </w:r>
      <w:r w:rsidR="005B3921" w:rsidRPr="00DC055D">
        <w:rPr>
          <w:rFonts w:ascii="Calibri" w:hAnsi="Calibri" w:cs="Calibri"/>
          <w:sz w:val="22"/>
          <w:szCs w:val="22"/>
        </w:rPr>
        <w:t>042/2014 estar encerrado e não ter sido reclamado administrativamente pelo fornecedor</w:t>
      </w:r>
      <w:r w:rsidRPr="00DC055D">
        <w:rPr>
          <w:rFonts w:ascii="Calibri" w:hAnsi="Calibri" w:cs="Calibri"/>
          <w:sz w:val="22"/>
          <w:szCs w:val="22"/>
        </w:rPr>
        <w:t>.</w:t>
      </w:r>
      <w:r w:rsidR="00DC055D" w:rsidRPr="00DC055D">
        <w:rPr>
          <w:rFonts w:ascii="Calibri" w:hAnsi="Calibri" w:cs="Calibri"/>
          <w:sz w:val="22"/>
          <w:szCs w:val="22"/>
        </w:rPr>
        <w:t xml:space="preserve"> O valor citado foi revertido da conta de </w:t>
      </w:r>
      <w:r w:rsidR="00DC055D" w:rsidRPr="00DC055D">
        <w:rPr>
          <w:rFonts w:ascii="Calibri" w:hAnsi="Calibri" w:cs="Calibri"/>
          <w:sz w:val="22"/>
          <w:szCs w:val="22"/>
        </w:rPr>
        <w:lastRenderedPageBreak/>
        <w:t>Redução a Valor Recuperável, considerando que o respectivo saldo estava provisionado na mencionada conta</w:t>
      </w:r>
      <w:r w:rsidR="00DA117B">
        <w:rPr>
          <w:rFonts w:ascii="Calibri" w:hAnsi="Calibri" w:cs="Calibri"/>
          <w:sz w:val="22"/>
          <w:szCs w:val="22"/>
        </w:rPr>
        <w:t>.</w:t>
      </w:r>
    </w:p>
    <w:bookmarkEnd w:id="6"/>
    <w:p w14:paraId="3E4EECA1" w14:textId="394EAEE2" w:rsidR="00251F5E" w:rsidRDefault="004C3C18" w:rsidP="0029463C">
      <w:pPr>
        <w:pStyle w:val="Corpodetexto"/>
        <w:numPr>
          <w:ilvl w:val="0"/>
          <w:numId w:val="15"/>
        </w:numPr>
        <w:spacing w:after="120" w:line="240" w:lineRule="auto"/>
        <w:rPr>
          <w:rFonts w:ascii="Calibri" w:hAnsi="Calibri" w:cs="Calibri"/>
          <w:sz w:val="22"/>
          <w:szCs w:val="22"/>
        </w:rPr>
      </w:pPr>
      <w:r w:rsidRPr="002E2B5B">
        <w:rPr>
          <w:rFonts w:ascii="Calibri" w:hAnsi="Calibri" w:cs="Calibri"/>
          <w:sz w:val="22"/>
          <w:szCs w:val="22"/>
        </w:rPr>
        <w:t>A coluna “transferências” da Tabela que apresenta o fluxo de movimentação do Imobilizado representa os saldos que são transferidos a outras rubricas</w:t>
      </w:r>
      <w:r w:rsidR="00FF7932" w:rsidRPr="002E2B5B">
        <w:rPr>
          <w:rFonts w:ascii="Calibri" w:hAnsi="Calibri" w:cs="Calibri"/>
          <w:sz w:val="22"/>
          <w:szCs w:val="22"/>
        </w:rPr>
        <w:t xml:space="preserve"> do Imobilizado</w:t>
      </w:r>
      <w:r w:rsidRPr="002E2B5B">
        <w:rPr>
          <w:rFonts w:ascii="Calibri" w:hAnsi="Calibri" w:cs="Calibri"/>
          <w:sz w:val="22"/>
          <w:szCs w:val="22"/>
        </w:rPr>
        <w:t xml:space="preserve">, em geral por motivo de subconcessão de trechos da Ferrovia ou por encerramento dos respectivos contratos. </w:t>
      </w:r>
      <w:r w:rsidR="00F3256C" w:rsidRPr="00F3256C">
        <w:rPr>
          <w:rFonts w:ascii="Calibri" w:hAnsi="Calibri" w:cs="Calibri"/>
          <w:sz w:val="22"/>
          <w:szCs w:val="22"/>
        </w:rPr>
        <w:t xml:space="preserve">No exercício de 2022, até o </w:t>
      </w:r>
      <w:r w:rsidR="00D74E6D">
        <w:rPr>
          <w:rFonts w:ascii="Calibri" w:hAnsi="Calibri" w:cs="Calibri"/>
          <w:sz w:val="22"/>
          <w:szCs w:val="22"/>
        </w:rPr>
        <w:t>3</w:t>
      </w:r>
      <w:r w:rsidR="00F3256C" w:rsidRPr="00F3256C">
        <w:rPr>
          <w:rFonts w:ascii="Calibri" w:hAnsi="Calibri" w:cs="Calibri"/>
          <w:sz w:val="22"/>
          <w:szCs w:val="22"/>
        </w:rPr>
        <w:t>º trimestre,</w:t>
      </w:r>
      <w:r w:rsidR="00F3256C">
        <w:rPr>
          <w:rFonts w:ascii="Calibri" w:hAnsi="Calibri" w:cs="Calibri"/>
          <w:sz w:val="22"/>
          <w:szCs w:val="22"/>
        </w:rPr>
        <w:t xml:space="preserve"> </w:t>
      </w:r>
      <w:r w:rsidR="00CA77AB">
        <w:rPr>
          <w:rFonts w:ascii="Calibri" w:hAnsi="Calibri" w:cs="Calibri"/>
          <w:sz w:val="22"/>
          <w:szCs w:val="22"/>
        </w:rPr>
        <w:t xml:space="preserve">foi realizada a seguinte </w:t>
      </w:r>
      <w:r w:rsidR="00CA77AB" w:rsidRPr="00CA77AB">
        <w:rPr>
          <w:rFonts w:ascii="Calibri" w:hAnsi="Calibri" w:cs="Calibri"/>
          <w:sz w:val="22"/>
          <w:szCs w:val="22"/>
        </w:rPr>
        <w:t>transferência entre contas do ativo imobilizado:</w:t>
      </w:r>
    </w:p>
    <w:p w14:paraId="713D5FB6" w14:textId="3DBDF21A" w:rsidR="00CA77AB" w:rsidRPr="0029463C" w:rsidRDefault="00CA77AB" w:rsidP="00CA77AB">
      <w:pPr>
        <w:pStyle w:val="Corpodetexto"/>
        <w:numPr>
          <w:ilvl w:val="1"/>
          <w:numId w:val="15"/>
        </w:numPr>
        <w:spacing w:after="120" w:line="240" w:lineRule="auto"/>
        <w:rPr>
          <w:rFonts w:ascii="Calibri" w:hAnsi="Calibri" w:cs="Calibri"/>
          <w:sz w:val="22"/>
          <w:szCs w:val="22"/>
        </w:rPr>
      </w:pPr>
      <w:r w:rsidRPr="00CA77AB">
        <w:rPr>
          <w:rFonts w:ascii="Calibri" w:hAnsi="Calibri" w:cs="Calibri"/>
          <w:sz w:val="22"/>
          <w:szCs w:val="22"/>
        </w:rPr>
        <w:t>Foi transferido da conta Implantação – Ferrovias o valor de R$ 484</w:t>
      </w:r>
      <w:r>
        <w:rPr>
          <w:rFonts w:ascii="Calibri" w:hAnsi="Calibri" w:cs="Calibri"/>
          <w:sz w:val="22"/>
          <w:szCs w:val="22"/>
        </w:rPr>
        <w:t xml:space="preserve"> mil</w:t>
      </w:r>
      <w:r w:rsidRPr="00CA77AB">
        <w:rPr>
          <w:rFonts w:ascii="Calibri" w:hAnsi="Calibri" w:cs="Calibri"/>
          <w:sz w:val="22"/>
          <w:szCs w:val="22"/>
        </w:rPr>
        <w:t>, sendo R$ 170 para a conta Equipamentos de TI e Comunicação, R$ 361</w:t>
      </w:r>
      <w:r>
        <w:rPr>
          <w:rFonts w:ascii="Calibri" w:hAnsi="Calibri" w:cs="Calibri"/>
          <w:sz w:val="22"/>
          <w:szCs w:val="22"/>
        </w:rPr>
        <w:t xml:space="preserve"> mil</w:t>
      </w:r>
      <w:r w:rsidRPr="00CA77AB">
        <w:rPr>
          <w:rFonts w:ascii="Calibri" w:hAnsi="Calibri" w:cs="Calibri"/>
          <w:sz w:val="22"/>
          <w:szCs w:val="22"/>
        </w:rPr>
        <w:t xml:space="preserve"> para a conta Mobiliário em Geral e R$ 123</w:t>
      </w:r>
      <w:r>
        <w:rPr>
          <w:rFonts w:ascii="Calibri" w:hAnsi="Calibri" w:cs="Calibri"/>
          <w:sz w:val="22"/>
          <w:szCs w:val="22"/>
        </w:rPr>
        <w:t xml:space="preserve"> mil</w:t>
      </w:r>
      <w:r w:rsidRPr="00CA77AB">
        <w:rPr>
          <w:rFonts w:ascii="Calibri" w:hAnsi="Calibri" w:cs="Calibri"/>
          <w:sz w:val="22"/>
          <w:szCs w:val="22"/>
        </w:rPr>
        <w:t xml:space="preserve"> para a conta Utensílios de Escritório, devido ao recebimento e tombamento dos referidos bens localizados no canteiro de obras de São Desidério/BA conforme Processo SEI 51402.104642/2021-28.</w:t>
      </w:r>
    </w:p>
    <w:p w14:paraId="5C05E4EF" w14:textId="60F4E363" w:rsidR="00B7580D" w:rsidRPr="00874E8F" w:rsidRDefault="00AB04E1" w:rsidP="00937ED9">
      <w:pPr>
        <w:pStyle w:val="Corpodetexto"/>
        <w:numPr>
          <w:ilvl w:val="0"/>
          <w:numId w:val="15"/>
        </w:numPr>
        <w:spacing w:after="120" w:line="240" w:lineRule="auto"/>
        <w:ind w:right="57"/>
        <w:rPr>
          <w:rFonts w:ascii="Calibri" w:hAnsi="Calibri" w:cs="Calibri"/>
          <w:sz w:val="22"/>
          <w:szCs w:val="22"/>
        </w:rPr>
      </w:pPr>
      <w:bookmarkStart w:id="7" w:name="_Hlk34328563"/>
      <w:r w:rsidRPr="002E2B5B">
        <w:rPr>
          <w:rFonts w:ascii="Calibri" w:hAnsi="Calibri" w:cs="Calibri"/>
          <w:sz w:val="22"/>
          <w:szCs w:val="22"/>
        </w:rPr>
        <w:t>Os Ativos de Concessão – Bens Móveis, no valor de R$ 5</w:t>
      </w:r>
      <w:r w:rsidR="00874E8F">
        <w:rPr>
          <w:rFonts w:ascii="Calibri" w:hAnsi="Calibri" w:cs="Calibri"/>
          <w:sz w:val="22"/>
          <w:szCs w:val="22"/>
        </w:rPr>
        <w:t>,5 mil</w:t>
      </w:r>
      <w:r w:rsidR="00605D1B">
        <w:rPr>
          <w:rFonts w:ascii="Calibri" w:hAnsi="Calibri" w:cs="Calibri"/>
          <w:sz w:val="22"/>
          <w:szCs w:val="22"/>
        </w:rPr>
        <w:t>h</w:t>
      </w:r>
      <w:r w:rsidR="00874E8F">
        <w:rPr>
          <w:rFonts w:ascii="Calibri" w:hAnsi="Calibri" w:cs="Calibri"/>
          <w:sz w:val="22"/>
          <w:szCs w:val="22"/>
        </w:rPr>
        <w:t>ões</w:t>
      </w:r>
      <w:r w:rsidRPr="002E2B5B">
        <w:rPr>
          <w:rFonts w:ascii="Calibri" w:hAnsi="Calibri" w:cs="Calibri"/>
          <w:sz w:val="22"/>
          <w:szCs w:val="22"/>
        </w:rPr>
        <w:t>, e os  Ativos de Concessão – Bens Imóveis, no valor de R$ 9</w:t>
      </w:r>
      <w:r w:rsidR="00874E8F">
        <w:rPr>
          <w:rFonts w:ascii="Calibri" w:hAnsi="Calibri" w:cs="Calibri"/>
          <w:sz w:val="22"/>
          <w:szCs w:val="22"/>
        </w:rPr>
        <w:t xml:space="preserve"> milhões</w:t>
      </w:r>
      <w:r w:rsidRPr="002E2B5B">
        <w:rPr>
          <w:rFonts w:ascii="Calibri" w:hAnsi="Calibri" w:cs="Calibri"/>
          <w:sz w:val="22"/>
          <w:szCs w:val="22"/>
        </w:rPr>
        <w:t xml:space="preserve"> são provindos do tombamento dos bens do pátio de Transbordo de Porto Franco/MA referente ao Contrato nº 001/2002 celebrado entre a </w:t>
      </w:r>
      <w:r w:rsidR="00E11BEF">
        <w:rPr>
          <w:rFonts w:ascii="Calibri" w:hAnsi="Calibri" w:cs="Calibri"/>
          <w:sz w:val="22"/>
          <w:szCs w:val="22"/>
        </w:rPr>
        <w:t>Infra</w:t>
      </w:r>
      <w:r w:rsidR="00D74E6D">
        <w:rPr>
          <w:rFonts w:ascii="Calibri" w:hAnsi="Calibri" w:cs="Calibri"/>
          <w:sz w:val="22"/>
          <w:szCs w:val="22"/>
        </w:rPr>
        <w:t xml:space="preserve"> S.A.</w:t>
      </w:r>
      <w:r w:rsidRPr="002E2B5B">
        <w:rPr>
          <w:rFonts w:ascii="Calibri" w:hAnsi="Calibri" w:cs="Calibri"/>
          <w:sz w:val="22"/>
          <w:szCs w:val="22"/>
        </w:rPr>
        <w:t xml:space="preserve"> e a Multigrain S/A, o qual foi rescindido pelo Termo de Rescisão Contratual amigável datado de 26 de fevereiro de 2019, conforme Processo Administrativo nº 51402.205501/2018-26, em que a Multigrain cede de forma não onerosa à </w:t>
      </w:r>
      <w:r w:rsidR="00E11BEF">
        <w:rPr>
          <w:rFonts w:ascii="Calibri" w:hAnsi="Calibri" w:cs="Calibri"/>
          <w:sz w:val="22"/>
          <w:szCs w:val="22"/>
        </w:rPr>
        <w:t>Infra</w:t>
      </w:r>
      <w:r w:rsidR="00D74E6D">
        <w:rPr>
          <w:rFonts w:ascii="Calibri" w:hAnsi="Calibri" w:cs="Calibri"/>
          <w:sz w:val="22"/>
          <w:szCs w:val="22"/>
        </w:rPr>
        <w:t xml:space="preserve"> S.A.</w:t>
      </w:r>
      <w:r w:rsidRPr="002E2B5B">
        <w:rPr>
          <w:rFonts w:ascii="Calibri" w:hAnsi="Calibri" w:cs="Calibri"/>
          <w:sz w:val="22"/>
          <w:szCs w:val="22"/>
        </w:rPr>
        <w:t xml:space="preserve"> as benfeitorias que </w:t>
      </w:r>
      <w:r w:rsidRPr="00874E8F">
        <w:rPr>
          <w:rFonts w:ascii="Calibri" w:hAnsi="Calibri" w:cs="Calibri"/>
          <w:sz w:val="22"/>
          <w:szCs w:val="22"/>
        </w:rPr>
        <w:t>compõem o Pátio de Porto Franco</w:t>
      </w:r>
      <w:bookmarkEnd w:id="7"/>
      <w:r w:rsidR="00B7580D" w:rsidRPr="00874E8F">
        <w:rPr>
          <w:rFonts w:ascii="Calibri" w:hAnsi="Calibri" w:cs="Calibri"/>
          <w:sz w:val="22"/>
          <w:szCs w:val="22"/>
        </w:rPr>
        <w:t>;</w:t>
      </w:r>
      <w:r w:rsidR="00B87A63" w:rsidRPr="00874E8F">
        <w:rPr>
          <w:rFonts w:ascii="Calibri" w:hAnsi="Calibri" w:cs="Calibri"/>
          <w:sz w:val="22"/>
          <w:szCs w:val="22"/>
        </w:rPr>
        <w:t xml:space="preserve"> e</w:t>
      </w:r>
    </w:p>
    <w:p w14:paraId="692C8F98" w14:textId="0F4198F2" w:rsidR="00AB04E1" w:rsidRDefault="00AB04E1" w:rsidP="00937ED9">
      <w:pPr>
        <w:pStyle w:val="Corpodetexto"/>
        <w:numPr>
          <w:ilvl w:val="0"/>
          <w:numId w:val="15"/>
        </w:numPr>
        <w:spacing w:after="120" w:line="240" w:lineRule="auto"/>
        <w:ind w:right="57"/>
        <w:rPr>
          <w:rFonts w:ascii="Calibri" w:hAnsi="Calibri" w:cs="Calibri"/>
          <w:sz w:val="22"/>
          <w:szCs w:val="22"/>
        </w:rPr>
      </w:pPr>
      <w:r w:rsidRPr="00874E8F">
        <w:rPr>
          <w:rFonts w:ascii="Calibri" w:hAnsi="Calibri" w:cs="Calibri"/>
          <w:sz w:val="22"/>
          <w:szCs w:val="22"/>
        </w:rPr>
        <w:t xml:space="preserve"> </w:t>
      </w:r>
      <w:r w:rsidR="00B7580D" w:rsidRPr="00874E8F">
        <w:rPr>
          <w:rFonts w:ascii="Calibri" w:hAnsi="Calibri" w:cs="Calibri"/>
          <w:sz w:val="22"/>
          <w:szCs w:val="22"/>
        </w:rPr>
        <w:t xml:space="preserve">Por meio do Laudo de Avaliação nº </w:t>
      </w:r>
      <w:r w:rsidR="007A192A">
        <w:rPr>
          <w:rFonts w:ascii="Calibri" w:hAnsi="Calibri" w:cs="Calibri"/>
          <w:color w:val="000000"/>
          <w:sz w:val="22"/>
          <w:szCs w:val="22"/>
        </w:rPr>
        <w:t>6/2021/GEPAT/SUADM/DIRAF-VALEC</w:t>
      </w:r>
      <w:r w:rsidR="00B7580D" w:rsidRPr="00874E8F">
        <w:rPr>
          <w:rFonts w:ascii="Calibri" w:hAnsi="Calibri" w:cs="Calibri"/>
          <w:sz w:val="22"/>
          <w:szCs w:val="22"/>
        </w:rPr>
        <w:t xml:space="preserve">, emitido em </w:t>
      </w:r>
      <w:r w:rsidR="007A192A">
        <w:rPr>
          <w:rFonts w:ascii="Calibri" w:hAnsi="Calibri" w:cs="Calibri"/>
          <w:sz w:val="22"/>
          <w:szCs w:val="22"/>
        </w:rPr>
        <w:t>21</w:t>
      </w:r>
      <w:r w:rsidR="00B7580D" w:rsidRPr="00874E8F">
        <w:rPr>
          <w:rFonts w:ascii="Calibri" w:hAnsi="Calibri" w:cs="Calibri"/>
          <w:sz w:val="22"/>
          <w:szCs w:val="22"/>
        </w:rPr>
        <w:t xml:space="preserve"> de </w:t>
      </w:r>
      <w:r w:rsidR="007A192A">
        <w:rPr>
          <w:rFonts w:ascii="Calibri" w:hAnsi="Calibri" w:cs="Calibri"/>
          <w:sz w:val="22"/>
          <w:szCs w:val="22"/>
        </w:rPr>
        <w:t>dezembr</w:t>
      </w:r>
      <w:r w:rsidR="00B7580D" w:rsidRPr="00874E8F">
        <w:rPr>
          <w:rFonts w:ascii="Calibri" w:hAnsi="Calibri" w:cs="Calibri"/>
          <w:sz w:val="22"/>
          <w:szCs w:val="22"/>
        </w:rPr>
        <w:t>o de 2021, a Gerência de Patrimônio certifica que todos os bens patrimoniais contabilizados, com exceção dos provisionados por redução ao valor recuperável, estão em condições de funcionamento. Informa, ainda, que não há indicativo de perda sobre os bens patrimoniais, portanto, não se verificou a necessidade de teste de recuperabilidade dos bens móveis, bem como dos Ativos de Concessão relacionados ao Pátio de Porto Franco</w:t>
      </w:r>
      <w:r w:rsidR="00F857D2" w:rsidRPr="00874E8F">
        <w:rPr>
          <w:rFonts w:ascii="Calibri" w:hAnsi="Calibri" w:cs="Calibri"/>
          <w:sz w:val="22"/>
          <w:szCs w:val="22"/>
        </w:rPr>
        <w:t>.</w:t>
      </w:r>
    </w:p>
    <w:p w14:paraId="7046FDA3" w14:textId="77777777" w:rsidR="00D54B55" w:rsidRPr="002E2B5B" w:rsidRDefault="00CC7E45" w:rsidP="00937ED9">
      <w:pPr>
        <w:pStyle w:val="NormalWeb"/>
        <w:spacing w:before="0" w:beforeAutospacing="0" w:after="120" w:afterAutospacing="0"/>
        <w:jc w:val="both"/>
        <w:rPr>
          <w:rFonts w:ascii="Calibri" w:hAnsi="Calibri" w:cs="Calibri"/>
          <w:b/>
          <w:bCs/>
          <w:sz w:val="22"/>
          <w:szCs w:val="22"/>
        </w:rPr>
      </w:pPr>
      <w:r w:rsidRPr="00874E8F">
        <w:rPr>
          <w:rFonts w:ascii="Calibri" w:hAnsi="Calibri" w:cs="Calibri"/>
          <w:b/>
          <w:bCs/>
          <w:sz w:val="22"/>
          <w:szCs w:val="22"/>
        </w:rPr>
        <w:t xml:space="preserve">II </w:t>
      </w:r>
      <w:r w:rsidR="00D54B55" w:rsidRPr="00874E8F">
        <w:rPr>
          <w:rFonts w:ascii="Calibri" w:hAnsi="Calibri" w:cs="Calibri"/>
          <w:b/>
          <w:bCs/>
          <w:sz w:val="22"/>
          <w:szCs w:val="22"/>
        </w:rPr>
        <w:t>–</w:t>
      </w:r>
      <w:r w:rsidRPr="00874E8F">
        <w:rPr>
          <w:rFonts w:ascii="Calibri" w:hAnsi="Calibri" w:cs="Calibri"/>
          <w:b/>
          <w:bCs/>
          <w:sz w:val="22"/>
          <w:szCs w:val="22"/>
        </w:rPr>
        <w:t xml:space="preserve"> FERROVIA</w:t>
      </w:r>
      <w:r w:rsidR="00F7094D" w:rsidRPr="00874E8F">
        <w:rPr>
          <w:rFonts w:ascii="Calibri" w:hAnsi="Calibri" w:cs="Calibri"/>
          <w:b/>
          <w:bCs/>
          <w:sz w:val="22"/>
          <w:szCs w:val="22"/>
        </w:rPr>
        <w:t xml:space="preserve"> NORTE SUL</w:t>
      </w:r>
      <w:r w:rsidR="000C1923" w:rsidRPr="00874E8F">
        <w:rPr>
          <w:rFonts w:ascii="Calibri" w:hAnsi="Calibri" w:cs="Calibri"/>
          <w:b/>
          <w:bCs/>
          <w:sz w:val="22"/>
          <w:szCs w:val="22"/>
        </w:rPr>
        <w:t xml:space="preserve"> (FNS)</w:t>
      </w:r>
    </w:p>
    <w:p w14:paraId="791B981E" w14:textId="17C26D14" w:rsidR="009165D8" w:rsidRPr="002E2B5B" w:rsidRDefault="005938E4"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w:t>
      </w:r>
      <w:r w:rsidR="00400A96" w:rsidRPr="002E2B5B">
        <w:rPr>
          <w:rFonts w:ascii="Calibri" w:hAnsi="Calibri" w:cs="Calibri"/>
          <w:sz w:val="22"/>
          <w:szCs w:val="22"/>
        </w:rPr>
        <w:t xml:space="preserve"> </w:t>
      </w:r>
      <w:r w:rsidR="00E11BEF">
        <w:rPr>
          <w:rFonts w:ascii="Calibri" w:hAnsi="Calibri" w:cs="Calibri"/>
          <w:sz w:val="22"/>
          <w:szCs w:val="22"/>
        </w:rPr>
        <w:t>Infra</w:t>
      </w:r>
      <w:r w:rsidR="00D74E6D">
        <w:rPr>
          <w:rFonts w:ascii="Calibri" w:hAnsi="Calibri" w:cs="Calibri"/>
          <w:sz w:val="22"/>
          <w:szCs w:val="22"/>
        </w:rPr>
        <w:t xml:space="preserve"> S.A.</w:t>
      </w:r>
      <w:r w:rsidR="00400A96" w:rsidRPr="002E2B5B">
        <w:rPr>
          <w:rFonts w:ascii="Calibri" w:hAnsi="Calibri" w:cs="Calibri"/>
          <w:sz w:val="22"/>
          <w:szCs w:val="22"/>
        </w:rPr>
        <w:t xml:space="preserve"> subconcedeu, em 2007, o trecho da Ferrovia Norte Sul que liga Açailândia/MA a Palmas/TO para a Ferrovia Norte Sul S/A. </w:t>
      </w:r>
      <w:r w:rsidR="00D54B55" w:rsidRPr="002E2B5B">
        <w:rPr>
          <w:rFonts w:ascii="Calibri" w:hAnsi="Calibri" w:cs="Calibri"/>
          <w:sz w:val="22"/>
          <w:szCs w:val="22"/>
        </w:rPr>
        <w:t>De acordo com o Contrato de Subconcessão n° 033/07, de 20 de dezembro de 2007, nos termos do Edital de Licitação n° 001/2006</w:t>
      </w:r>
      <w:r w:rsidR="005D1995" w:rsidRPr="002E2B5B">
        <w:rPr>
          <w:rFonts w:ascii="Calibri" w:hAnsi="Calibri" w:cs="Calibri"/>
          <w:sz w:val="22"/>
          <w:szCs w:val="22"/>
        </w:rPr>
        <w:t>, a</w:t>
      </w:r>
      <w:r w:rsidR="00D54B55" w:rsidRPr="002E2B5B">
        <w:rPr>
          <w:rFonts w:ascii="Calibri" w:hAnsi="Calibri" w:cs="Calibri"/>
          <w:sz w:val="22"/>
          <w:szCs w:val="22"/>
        </w:rPr>
        <w:t xml:space="preserve"> subconcessão</w:t>
      </w:r>
      <w:r w:rsidR="005D1995" w:rsidRPr="002E2B5B">
        <w:rPr>
          <w:rFonts w:ascii="Calibri" w:hAnsi="Calibri" w:cs="Calibri"/>
          <w:sz w:val="22"/>
          <w:szCs w:val="22"/>
        </w:rPr>
        <w:t xml:space="preserve"> foi</w:t>
      </w:r>
      <w:r w:rsidR="00D54B55" w:rsidRPr="002E2B5B">
        <w:rPr>
          <w:rFonts w:ascii="Calibri" w:hAnsi="Calibri" w:cs="Calibri"/>
          <w:sz w:val="22"/>
          <w:szCs w:val="22"/>
        </w:rPr>
        <w:t xml:space="preserve"> assinada por um prazo de 30 anos, previa o pagamento</w:t>
      </w:r>
      <w:r w:rsidR="005D1995" w:rsidRPr="002E2B5B">
        <w:rPr>
          <w:rFonts w:ascii="Calibri" w:hAnsi="Calibri" w:cs="Calibri"/>
          <w:sz w:val="22"/>
          <w:szCs w:val="22"/>
        </w:rPr>
        <w:t xml:space="preserve"> a título de outorga de</w:t>
      </w:r>
      <w:r w:rsidR="00400A96" w:rsidRPr="002E2B5B">
        <w:rPr>
          <w:rFonts w:ascii="Calibri" w:hAnsi="Calibri" w:cs="Calibri"/>
          <w:sz w:val="22"/>
          <w:szCs w:val="22"/>
        </w:rPr>
        <w:t xml:space="preserve"> R$ 1</w:t>
      </w:r>
      <w:r w:rsidR="00322AE4">
        <w:rPr>
          <w:rFonts w:ascii="Calibri" w:hAnsi="Calibri" w:cs="Calibri"/>
          <w:sz w:val="22"/>
          <w:szCs w:val="22"/>
        </w:rPr>
        <w:t>,</w:t>
      </w:r>
      <w:r w:rsidR="00400A96" w:rsidRPr="002E2B5B">
        <w:rPr>
          <w:rFonts w:ascii="Calibri" w:hAnsi="Calibri" w:cs="Calibri"/>
          <w:sz w:val="22"/>
          <w:szCs w:val="22"/>
        </w:rPr>
        <w:t>47</w:t>
      </w:r>
      <w:r w:rsidR="00322AE4">
        <w:rPr>
          <w:rFonts w:ascii="Calibri" w:hAnsi="Calibri" w:cs="Calibri"/>
          <w:sz w:val="22"/>
          <w:szCs w:val="22"/>
        </w:rPr>
        <w:t xml:space="preserve"> bilhão</w:t>
      </w:r>
      <w:r w:rsidR="005D1995" w:rsidRPr="002E2B5B">
        <w:rPr>
          <w:rFonts w:ascii="Calibri" w:hAnsi="Calibri" w:cs="Calibri"/>
          <w:sz w:val="22"/>
          <w:szCs w:val="22"/>
        </w:rPr>
        <w:t>,</w:t>
      </w:r>
      <w:r w:rsidR="00400A96" w:rsidRPr="002E2B5B">
        <w:rPr>
          <w:rFonts w:ascii="Calibri" w:hAnsi="Calibri" w:cs="Calibri"/>
          <w:sz w:val="22"/>
          <w:szCs w:val="22"/>
        </w:rPr>
        <w:t xml:space="preserve"> dividid</w:t>
      </w:r>
      <w:r w:rsidR="005D1995" w:rsidRPr="002E2B5B">
        <w:rPr>
          <w:rFonts w:ascii="Calibri" w:hAnsi="Calibri" w:cs="Calibri"/>
          <w:sz w:val="22"/>
          <w:szCs w:val="22"/>
        </w:rPr>
        <w:t>o</w:t>
      </w:r>
      <w:r w:rsidR="00400A96" w:rsidRPr="002E2B5B">
        <w:rPr>
          <w:rFonts w:ascii="Calibri" w:hAnsi="Calibri" w:cs="Calibri"/>
          <w:sz w:val="22"/>
          <w:szCs w:val="22"/>
        </w:rPr>
        <w:t xml:space="preserve"> em três parcelas corrigidas pelo IGP-DI e juros de 1% ao mês (até maio de 2010), sendo 50% à vista, 25% na entrega do 1º trecho e 25% na entrega do 2º trecho. A primeira parcela foi recebida em dezembro de 2007 no valor de R$ 739</w:t>
      </w:r>
      <w:r w:rsidR="00322AE4">
        <w:rPr>
          <w:rFonts w:ascii="Calibri" w:hAnsi="Calibri" w:cs="Calibri"/>
          <w:sz w:val="22"/>
          <w:szCs w:val="22"/>
        </w:rPr>
        <w:t xml:space="preserve"> milhões</w:t>
      </w:r>
      <w:r w:rsidR="00400A96" w:rsidRPr="002E2B5B">
        <w:rPr>
          <w:rFonts w:ascii="Calibri" w:hAnsi="Calibri" w:cs="Calibri"/>
          <w:sz w:val="22"/>
          <w:szCs w:val="22"/>
        </w:rPr>
        <w:t>, a segunda parcela no valor de R$ 461</w:t>
      </w:r>
      <w:r w:rsidR="00322AE4">
        <w:rPr>
          <w:rFonts w:ascii="Calibri" w:hAnsi="Calibri" w:cs="Calibri"/>
          <w:sz w:val="22"/>
          <w:szCs w:val="22"/>
        </w:rPr>
        <w:t>,8 milhões</w:t>
      </w:r>
      <w:r w:rsidR="00400A96" w:rsidRPr="002E2B5B">
        <w:rPr>
          <w:rFonts w:ascii="Calibri" w:hAnsi="Calibri" w:cs="Calibri"/>
          <w:sz w:val="22"/>
          <w:szCs w:val="22"/>
        </w:rPr>
        <w:t xml:space="preserve"> foi recebida em maio de 2009 e parte da terceira parcela, o valor de R$ 453</w:t>
      </w:r>
      <w:r w:rsidR="00322AE4">
        <w:rPr>
          <w:rFonts w:ascii="Calibri" w:hAnsi="Calibri" w:cs="Calibri"/>
          <w:sz w:val="22"/>
          <w:szCs w:val="22"/>
        </w:rPr>
        <w:t>,5 milhõe</w:t>
      </w:r>
      <w:r w:rsidR="00214011">
        <w:rPr>
          <w:rFonts w:ascii="Calibri" w:hAnsi="Calibri" w:cs="Calibri"/>
          <w:sz w:val="22"/>
          <w:szCs w:val="22"/>
        </w:rPr>
        <w:t>s</w:t>
      </w:r>
      <w:r w:rsidR="00400A96" w:rsidRPr="002E2B5B">
        <w:rPr>
          <w:rFonts w:ascii="Calibri" w:hAnsi="Calibri" w:cs="Calibri"/>
          <w:sz w:val="22"/>
          <w:szCs w:val="22"/>
        </w:rPr>
        <w:t xml:space="preserve">, foi recebida em dezembro de 2010. Conforme 2º Termo Aditivo, assinado em 10 de dezembro de 2010, o pagamento do valor correspondente à 20% da terceira parcela foi condicionado à entrega pela </w:t>
      </w:r>
      <w:r w:rsidR="00E11BEF">
        <w:rPr>
          <w:rFonts w:ascii="Calibri" w:hAnsi="Calibri" w:cs="Calibri"/>
          <w:sz w:val="22"/>
          <w:szCs w:val="22"/>
        </w:rPr>
        <w:t>Infra</w:t>
      </w:r>
      <w:r w:rsidR="00D74E6D">
        <w:rPr>
          <w:rFonts w:ascii="Calibri" w:hAnsi="Calibri" w:cs="Calibri"/>
          <w:sz w:val="22"/>
          <w:szCs w:val="22"/>
        </w:rPr>
        <w:t xml:space="preserve"> S.A.</w:t>
      </w:r>
      <w:r w:rsidR="00400A96" w:rsidRPr="002E2B5B">
        <w:rPr>
          <w:rFonts w:ascii="Calibri" w:hAnsi="Calibri" w:cs="Calibri"/>
          <w:sz w:val="22"/>
          <w:szCs w:val="22"/>
        </w:rPr>
        <w:t xml:space="preserve"> de obras remanescentes. </w:t>
      </w:r>
      <w:r w:rsidR="005D1995" w:rsidRPr="002E2B5B">
        <w:rPr>
          <w:rFonts w:ascii="Calibri" w:hAnsi="Calibri" w:cs="Calibri"/>
          <w:sz w:val="22"/>
          <w:szCs w:val="22"/>
        </w:rPr>
        <w:t xml:space="preserve">Os recursos recebidos provenientes desta outorga foram repassados </w:t>
      </w:r>
      <w:r w:rsidR="00421830" w:rsidRPr="002E2B5B">
        <w:rPr>
          <w:rFonts w:ascii="Calibri" w:hAnsi="Calibri" w:cs="Calibri"/>
          <w:sz w:val="22"/>
          <w:szCs w:val="22"/>
        </w:rPr>
        <w:t xml:space="preserve">diretamente </w:t>
      </w:r>
      <w:r w:rsidR="005D1995" w:rsidRPr="002E2B5B">
        <w:rPr>
          <w:rFonts w:ascii="Calibri" w:hAnsi="Calibri" w:cs="Calibri"/>
          <w:sz w:val="22"/>
          <w:szCs w:val="22"/>
        </w:rPr>
        <w:t>ao Tesouro Nacional</w:t>
      </w:r>
      <w:r w:rsidR="00421830" w:rsidRPr="002E2B5B">
        <w:rPr>
          <w:rFonts w:ascii="Calibri" w:hAnsi="Calibri" w:cs="Calibri"/>
          <w:sz w:val="22"/>
          <w:szCs w:val="22"/>
        </w:rPr>
        <w:t>.</w:t>
      </w:r>
    </w:p>
    <w:p w14:paraId="015F34B3" w14:textId="58C8D72C" w:rsidR="004C64B8" w:rsidRPr="002E2B5B" w:rsidRDefault="00D54B55"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O trecho da Ferrovia Norte Sul compreendido entre Porto Nacional, no Estado do Tocantins e Estrela D’Oeste, no Estado de São Paulo foi subconcedido à Rumo Malha Central S/A, conforme Contrato de Subconcessão do Edital de Concorrência Internacional nº 002/2018, assinado em 31 de julho de 2019. Esse contrato foi assinado entre a União, representada pela Agência Nacional de Transportes Terrestres - ANTT</w:t>
      </w:r>
      <w:r w:rsidRPr="00B406C5">
        <w:rPr>
          <w:rFonts w:ascii="Calibri" w:hAnsi="Calibri" w:cs="Calibri"/>
          <w:sz w:val="22"/>
          <w:szCs w:val="22"/>
        </w:rPr>
        <w:t xml:space="preserve">, a </w:t>
      </w:r>
      <w:r w:rsidR="00B406C5" w:rsidRPr="00B406C5">
        <w:rPr>
          <w:rFonts w:ascii="Calibri" w:hAnsi="Calibri" w:cs="Calibri"/>
          <w:sz w:val="22"/>
          <w:szCs w:val="22"/>
          <w:shd w:val="clear" w:color="auto" w:fill="FFFFFF"/>
        </w:rPr>
        <w:t>Infra</w:t>
      </w:r>
      <w:r w:rsidR="00B406C5" w:rsidRPr="008B1B72">
        <w:rPr>
          <w:rFonts w:ascii="Calibri" w:hAnsi="Calibri" w:cs="Calibri"/>
          <w:sz w:val="22"/>
          <w:szCs w:val="22"/>
          <w:shd w:val="clear" w:color="auto" w:fill="FFFFFF"/>
        </w:rPr>
        <w:t xml:space="preserve"> S.A.</w:t>
      </w:r>
      <w:r w:rsidRPr="002E2B5B">
        <w:rPr>
          <w:rFonts w:ascii="Calibri" w:hAnsi="Calibri" w:cs="Calibri"/>
          <w:sz w:val="22"/>
          <w:szCs w:val="22"/>
        </w:rPr>
        <w:t xml:space="preserve">, como interveniente subconcedente e a Rumo Malha Central S/A como subconcessionária. O valor do lance da outorga no leilão foi de R$ 2,7 bilhões. Os direitos creditórios e as receitas provenientes dessa subconcessão serão da Agência Nacional de Transportes Terrestres – ANTT, conforme o artigo 77 da Lei </w:t>
      </w:r>
      <w:r w:rsidR="00214011">
        <w:rPr>
          <w:rFonts w:ascii="Calibri" w:hAnsi="Calibri" w:cs="Calibri"/>
          <w:sz w:val="22"/>
          <w:szCs w:val="22"/>
        </w:rPr>
        <w:t xml:space="preserve">nº </w:t>
      </w:r>
      <w:r w:rsidRPr="002E2B5B">
        <w:rPr>
          <w:rFonts w:ascii="Calibri" w:hAnsi="Calibri" w:cs="Calibri"/>
          <w:sz w:val="22"/>
          <w:szCs w:val="22"/>
        </w:rPr>
        <w:t>10.233, de 05 de junho de 2001, que dispõe sobre a criação da Agência, e estabelece que é receita da ANTT os recursos provenientes dos instrumentos de outorga administrados pela agência.</w:t>
      </w:r>
    </w:p>
    <w:p w14:paraId="4D0F1AD1" w14:textId="4BFEABF3" w:rsidR="00322AE4" w:rsidRDefault="005C2491"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sz w:val="22"/>
          <w:szCs w:val="22"/>
        </w:rPr>
        <w:t>A</w:t>
      </w:r>
      <w:r w:rsidR="009F46D4" w:rsidRPr="002E2B5B">
        <w:rPr>
          <w:rFonts w:ascii="Calibri" w:hAnsi="Calibri" w:cs="Calibri"/>
          <w:sz w:val="22"/>
          <w:szCs w:val="22"/>
        </w:rPr>
        <w:t xml:space="preserve"> </w:t>
      </w:r>
      <w:r w:rsidR="00E11BEF">
        <w:rPr>
          <w:rFonts w:ascii="Calibri" w:hAnsi="Calibri" w:cs="Calibri"/>
          <w:sz w:val="22"/>
          <w:szCs w:val="22"/>
        </w:rPr>
        <w:t>Infra</w:t>
      </w:r>
      <w:r w:rsidR="00D74E6D">
        <w:rPr>
          <w:rFonts w:ascii="Calibri" w:hAnsi="Calibri" w:cs="Calibri"/>
          <w:sz w:val="22"/>
          <w:szCs w:val="22"/>
        </w:rPr>
        <w:t xml:space="preserve"> S.A.</w:t>
      </w:r>
      <w:r w:rsidR="009F46D4" w:rsidRPr="002E2B5B">
        <w:rPr>
          <w:rFonts w:ascii="Calibri" w:hAnsi="Calibri" w:cs="Calibri"/>
          <w:sz w:val="22"/>
          <w:szCs w:val="22"/>
        </w:rPr>
        <w:t xml:space="preserve"> realizou </w:t>
      </w:r>
      <w:r w:rsidR="004850E5" w:rsidRPr="002E2B5B">
        <w:rPr>
          <w:rFonts w:ascii="Calibri" w:hAnsi="Calibri" w:cs="Calibri"/>
          <w:sz w:val="22"/>
          <w:szCs w:val="22"/>
        </w:rPr>
        <w:t>o teste de recuperabilidade dos ativos relacionados à Ferrovia Norte Sul e, devido à falta benefícios econômicos para a empresa durante o</w:t>
      </w:r>
      <w:r w:rsidRPr="002E2B5B">
        <w:rPr>
          <w:rFonts w:ascii="Calibri" w:hAnsi="Calibri" w:cs="Calibri"/>
          <w:sz w:val="22"/>
          <w:szCs w:val="22"/>
        </w:rPr>
        <w:t>s</w:t>
      </w:r>
      <w:r w:rsidR="004850E5" w:rsidRPr="002E2B5B">
        <w:rPr>
          <w:rFonts w:ascii="Calibri" w:hAnsi="Calibri" w:cs="Calibri"/>
          <w:sz w:val="22"/>
          <w:szCs w:val="22"/>
        </w:rPr>
        <w:t xml:space="preserve"> prazo</w:t>
      </w:r>
      <w:r w:rsidRPr="002E2B5B">
        <w:rPr>
          <w:rFonts w:ascii="Calibri" w:hAnsi="Calibri" w:cs="Calibri"/>
          <w:sz w:val="22"/>
          <w:szCs w:val="22"/>
        </w:rPr>
        <w:t>s</w:t>
      </w:r>
      <w:r w:rsidR="004850E5" w:rsidRPr="002E2B5B">
        <w:rPr>
          <w:rFonts w:ascii="Calibri" w:hAnsi="Calibri" w:cs="Calibri"/>
          <w:sz w:val="22"/>
          <w:szCs w:val="22"/>
        </w:rPr>
        <w:t xml:space="preserve"> contratua</w:t>
      </w:r>
      <w:r w:rsidRPr="002E2B5B">
        <w:rPr>
          <w:rFonts w:ascii="Calibri" w:hAnsi="Calibri" w:cs="Calibri"/>
          <w:sz w:val="22"/>
          <w:szCs w:val="22"/>
        </w:rPr>
        <w:t>is</w:t>
      </w:r>
      <w:r w:rsidR="004850E5" w:rsidRPr="002E2B5B">
        <w:rPr>
          <w:rFonts w:ascii="Calibri" w:hAnsi="Calibri" w:cs="Calibri"/>
          <w:sz w:val="22"/>
          <w:szCs w:val="22"/>
        </w:rPr>
        <w:t xml:space="preserve"> d</w:t>
      </w:r>
      <w:r w:rsidRPr="002E2B5B">
        <w:rPr>
          <w:rFonts w:ascii="Calibri" w:hAnsi="Calibri" w:cs="Calibri"/>
          <w:sz w:val="22"/>
          <w:szCs w:val="22"/>
        </w:rPr>
        <w:t>as</w:t>
      </w:r>
      <w:r w:rsidR="004850E5" w:rsidRPr="002E2B5B">
        <w:rPr>
          <w:rFonts w:ascii="Calibri" w:hAnsi="Calibri" w:cs="Calibri"/>
          <w:sz w:val="22"/>
          <w:szCs w:val="22"/>
        </w:rPr>
        <w:t xml:space="preserve"> subconcess</w:t>
      </w:r>
      <w:r w:rsidRPr="002E2B5B">
        <w:rPr>
          <w:rFonts w:ascii="Calibri" w:hAnsi="Calibri" w:cs="Calibri"/>
          <w:sz w:val="22"/>
          <w:szCs w:val="22"/>
        </w:rPr>
        <w:t>ões</w:t>
      </w:r>
      <w:r w:rsidR="004850E5" w:rsidRPr="002E2B5B">
        <w:rPr>
          <w:rFonts w:ascii="Calibri" w:hAnsi="Calibri" w:cs="Calibri"/>
          <w:sz w:val="22"/>
          <w:szCs w:val="22"/>
        </w:rPr>
        <w:t xml:space="preserve">, reconheceu </w:t>
      </w:r>
      <w:r w:rsidR="009F46D4" w:rsidRPr="002E2B5B">
        <w:rPr>
          <w:rFonts w:ascii="Calibri" w:hAnsi="Calibri" w:cs="Calibri"/>
          <w:sz w:val="22"/>
          <w:szCs w:val="22"/>
        </w:rPr>
        <w:t xml:space="preserve">a </w:t>
      </w:r>
      <w:r w:rsidR="00A3783D" w:rsidRPr="002E2B5B">
        <w:rPr>
          <w:rFonts w:ascii="Calibri" w:hAnsi="Calibri" w:cs="Calibri"/>
          <w:sz w:val="22"/>
          <w:szCs w:val="22"/>
        </w:rPr>
        <w:t>provisão para perda ao valor recuperável dos ativos</w:t>
      </w:r>
      <w:r w:rsidR="009F46D4" w:rsidRPr="002E2B5B">
        <w:rPr>
          <w:rFonts w:ascii="Calibri" w:hAnsi="Calibri" w:cs="Calibri"/>
          <w:sz w:val="22"/>
          <w:szCs w:val="22"/>
        </w:rPr>
        <w:t>.</w:t>
      </w:r>
      <w:r w:rsidR="00C80DC6" w:rsidRPr="002E2B5B">
        <w:rPr>
          <w:rFonts w:ascii="Calibri" w:hAnsi="Calibri" w:cs="Calibri"/>
          <w:sz w:val="22"/>
          <w:szCs w:val="22"/>
        </w:rPr>
        <w:t xml:space="preserve"> </w:t>
      </w:r>
      <w:r w:rsidRPr="002E2B5B">
        <w:rPr>
          <w:rFonts w:ascii="Calibri" w:hAnsi="Calibri" w:cs="Calibri"/>
          <w:sz w:val="22"/>
          <w:szCs w:val="22"/>
        </w:rPr>
        <w:t xml:space="preserve">As provisões foram reconhecidas desde </w:t>
      </w:r>
      <w:r w:rsidR="00C80DC6" w:rsidRPr="002E2B5B">
        <w:rPr>
          <w:rFonts w:ascii="Calibri" w:hAnsi="Calibri" w:cs="Calibri"/>
          <w:sz w:val="22"/>
          <w:szCs w:val="22"/>
        </w:rPr>
        <w:t>o ano 2007</w:t>
      </w:r>
      <w:r w:rsidR="00322AE4">
        <w:rPr>
          <w:rFonts w:ascii="Calibri" w:hAnsi="Calibri" w:cs="Calibri"/>
          <w:sz w:val="22"/>
          <w:szCs w:val="22"/>
        </w:rPr>
        <w:t xml:space="preserve"> </w:t>
      </w:r>
      <w:r w:rsidR="00367905" w:rsidRPr="002E2B5B">
        <w:rPr>
          <w:rFonts w:ascii="Calibri" w:hAnsi="Calibri" w:cs="Calibri"/>
          <w:sz w:val="22"/>
          <w:szCs w:val="22"/>
        </w:rPr>
        <w:t xml:space="preserve">- </w:t>
      </w:r>
      <w:r w:rsidR="00C80DC6" w:rsidRPr="002E2B5B">
        <w:rPr>
          <w:rFonts w:ascii="Calibri" w:hAnsi="Calibri" w:cs="Calibri"/>
          <w:sz w:val="22"/>
          <w:szCs w:val="22"/>
        </w:rPr>
        <w:t>quando ocorreu a primeira subconcessão</w:t>
      </w:r>
      <w:r w:rsidR="00322AE4">
        <w:rPr>
          <w:rFonts w:ascii="Calibri" w:hAnsi="Calibri" w:cs="Calibri"/>
          <w:sz w:val="22"/>
          <w:szCs w:val="22"/>
        </w:rPr>
        <w:t xml:space="preserve"> até a dezembro de 2020. </w:t>
      </w:r>
    </w:p>
    <w:p w14:paraId="1FCCEE5E" w14:textId="555BEB20" w:rsidR="00E42F99" w:rsidRDefault="0029463C" w:rsidP="00937ED9">
      <w:pPr>
        <w:pStyle w:val="NormalWeb"/>
        <w:spacing w:before="0" w:beforeAutospacing="0" w:after="120" w:afterAutospacing="0"/>
        <w:jc w:val="both"/>
        <w:rPr>
          <w:rFonts w:ascii="Calibri" w:hAnsi="Calibri" w:cs="Calibri"/>
          <w:sz w:val="22"/>
          <w:szCs w:val="22"/>
        </w:rPr>
      </w:pPr>
      <w:r>
        <w:rPr>
          <w:rFonts w:ascii="Calibri" w:hAnsi="Calibri" w:cs="Calibri"/>
          <w:sz w:val="22"/>
          <w:szCs w:val="22"/>
        </w:rPr>
        <w:lastRenderedPageBreak/>
        <w:t>N</w:t>
      </w:r>
      <w:r w:rsidR="00322AE4">
        <w:rPr>
          <w:rFonts w:ascii="Calibri" w:hAnsi="Calibri" w:cs="Calibri"/>
          <w:sz w:val="22"/>
          <w:szCs w:val="22"/>
        </w:rPr>
        <w:t>o exercício de 2021,</w:t>
      </w:r>
      <w:r w:rsidR="007A192A">
        <w:rPr>
          <w:rFonts w:ascii="Calibri" w:hAnsi="Calibri" w:cs="Calibri"/>
          <w:sz w:val="22"/>
          <w:szCs w:val="22"/>
        </w:rPr>
        <w:t xml:space="preserve"> o</w:t>
      </w:r>
      <w:r w:rsidR="007A192A" w:rsidRPr="007A192A">
        <w:rPr>
          <w:rFonts w:ascii="Calibri" w:hAnsi="Calibri" w:cs="Calibri"/>
          <w:sz w:val="22"/>
          <w:szCs w:val="22"/>
        </w:rPr>
        <w:t xml:space="preserve"> valor da Redução a valor recuperável, referente aos a</w:t>
      </w:r>
      <w:r w:rsidR="007A192A">
        <w:rPr>
          <w:rFonts w:ascii="Calibri" w:hAnsi="Calibri" w:cs="Calibri"/>
          <w:sz w:val="22"/>
          <w:szCs w:val="22"/>
        </w:rPr>
        <w:t>ti</w:t>
      </w:r>
      <w:r w:rsidR="007A192A" w:rsidRPr="007A192A">
        <w:rPr>
          <w:rFonts w:ascii="Calibri" w:hAnsi="Calibri" w:cs="Calibri"/>
          <w:sz w:val="22"/>
          <w:szCs w:val="22"/>
        </w:rPr>
        <w:t xml:space="preserve">vos relacionados à Ferrovia Norte Sul, foi acrescido em R$ </w:t>
      </w:r>
      <w:r w:rsidR="00E42F99">
        <w:rPr>
          <w:rFonts w:ascii="Calibri" w:hAnsi="Calibri" w:cs="Calibri"/>
          <w:sz w:val="22"/>
          <w:szCs w:val="22"/>
        </w:rPr>
        <w:t>10,2</w:t>
      </w:r>
      <w:r w:rsidR="007A192A">
        <w:rPr>
          <w:rFonts w:ascii="Calibri" w:hAnsi="Calibri" w:cs="Calibri"/>
          <w:sz w:val="22"/>
          <w:szCs w:val="22"/>
        </w:rPr>
        <w:t xml:space="preserve"> milhões</w:t>
      </w:r>
      <w:r w:rsidR="007A192A" w:rsidRPr="007A192A">
        <w:rPr>
          <w:rFonts w:ascii="Calibri" w:hAnsi="Calibri" w:cs="Calibri"/>
          <w:sz w:val="22"/>
          <w:szCs w:val="22"/>
        </w:rPr>
        <w:t xml:space="preserve">, considerando a movimentação referente ao Contrato 022/2018 </w:t>
      </w:r>
      <w:r w:rsidR="00E42F99">
        <w:rPr>
          <w:rFonts w:ascii="Calibri" w:hAnsi="Calibri" w:cs="Calibri"/>
          <w:sz w:val="22"/>
          <w:szCs w:val="22"/>
        </w:rPr>
        <w:t>e a baixa dos contratos encerrados classificados como depósitos retidos de fornecedores</w:t>
      </w:r>
      <w:r w:rsidR="007A192A" w:rsidRPr="007A192A">
        <w:rPr>
          <w:rFonts w:ascii="Calibri" w:hAnsi="Calibri" w:cs="Calibri"/>
          <w:sz w:val="22"/>
          <w:szCs w:val="22"/>
        </w:rPr>
        <w:t xml:space="preserve">. </w:t>
      </w:r>
      <w:r w:rsidR="00322AE4">
        <w:rPr>
          <w:rFonts w:ascii="Calibri" w:hAnsi="Calibri" w:cs="Calibri"/>
          <w:sz w:val="22"/>
          <w:szCs w:val="22"/>
        </w:rPr>
        <w:t xml:space="preserve"> </w:t>
      </w:r>
    </w:p>
    <w:p w14:paraId="0C55ACD6" w14:textId="63BCC8AB" w:rsidR="00D74E6D" w:rsidRDefault="00A16F6B" w:rsidP="00937ED9">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A</w:t>
      </w:r>
      <w:r w:rsidRPr="00750CA7">
        <w:rPr>
          <w:rFonts w:ascii="Calibri" w:hAnsi="Calibri" w:cs="Calibri"/>
          <w:sz w:val="22"/>
          <w:szCs w:val="22"/>
        </w:rPr>
        <w:t xml:space="preserve"> análise do valor recuperável</w:t>
      </w:r>
      <w:r>
        <w:rPr>
          <w:rFonts w:ascii="Calibri" w:hAnsi="Calibri" w:cs="Calibri"/>
          <w:sz w:val="22"/>
          <w:szCs w:val="22"/>
        </w:rPr>
        <w:t>,</w:t>
      </w:r>
      <w:r w:rsidRPr="00750CA7">
        <w:rPr>
          <w:rFonts w:ascii="Calibri" w:hAnsi="Calibri" w:cs="Calibri"/>
          <w:sz w:val="22"/>
          <w:szCs w:val="22"/>
        </w:rPr>
        <w:t xml:space="preserve"> em consonância com o CPC – 01 (R1) – Redução ao Valor Recuperável de Ativos</w:t>
      </w:r>
      <w:r>
        <w:rPr>
          <w:rFonts w:ascii="Calibri" w:hAnsi="Calibri" w:cs="Calibri"/>
          <w:sz w:val="22"/>
          <w:szCs w:val="22"/>
        </w:rPr>
        <w:t xml:space="preserve">, deve ser realizado anualmente. </w:t>
      </w:r>
    </w:p>
    <w:p w14:paraId="42581B78" w14:textId="281562A1" w:rsidR="00A717AC" w:rsidRDefault="00AA1647" w:rsidP="00937ED9">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Considerando a b</w:t>
      </w:r>
      <w:r w:rsidRPr="00AA1647">
        <w:rPr>
          <w:rFonts w:ascii="Calibri" w:hAnsi="Calibri" w:cs="Calibri"/>
          <w:sz w:val="22"/>
          <w:szCs w:val="22"/>
        </w:rPr>
        <w:t>aixa</w:t>
      </w:r>
      <w:r>
        <w:rPr>
          <w:rFonts w:ascii="Calibri" w:hAnsi="Calibri" w:cs="Calibri"/>
          <w:sz w:val="22"/>
          <w:szCs w:val="22"/>
        </w:rPr>
        <w:t xml:space="preserve"> acima mencionada</w:t>
      </w:r>
      <w:r w:rsidRPr="00AA1647">
        <w:rPr>
          <w:rFonts w:ascii="Calibri" w:hAnsi="Calibri" w:cs="Calibri"/>
          <w:sz w:val="22"/>
          <w:szCs w:val="22"/>
        </w:rPr>
        <w:t xml:space="preserve"> de R$ 522,73 mil na conta Ativos de Concessão</w:t>
      </w:r>
      <w:r>
        <w:rPr>
          <w:rFonts w:ascii="Calibri" w:hAnsi="Calibri" w:cs="Calibri"/>
          <w:sz w:val="22"/>
          <w:szCs w:val="22"/>
        </w:rPr>
        <w:t xml:space="preserve"> e a consequente </w:t>
      </w:r>
      <w:r w:rsidRPr="00AA1647">
        <w:rPr>
          <w:rFonts w:ascii="Calibri" w:hAnsi="Calibri" w:cs="Calibri"/>
          <w:sz w:val="22"/>
          <w:szCs w:val="22"/>
        </w:rPr>
        <w:t>rever</w:t>
      </w:r>
      <w:r>
        <w:rPr>
          <w:rFonts w:ascii="Calibri" w:hAnsi="Calibri" w:cs="Calibri"/>
          <w:sz w:val="22"/>
          <w:szCs w:val="22"/>
        </w:rPr>
        <w:t>são da</w:t>
      </w:r>
      <w:r w:rsidRPr="00AA1647">
        <w:rPr>
          <w:rFonts w:ascii="Calibri" w:hAnsi="Calibri" w:cs="Calibri"/>
          <w:sz w:val="22"/>
          <w:szCs w:val="22"/>
        </w:rPr>
        <w:t xml:space="preserve"> conta de Redução a Valor Recuperável,</w:t>
      </w:r>
      <w:r w:rsidR="00A21335">
        <w:rPr>
          <w:rFonts w:ascii="Calibri" w:hAnsi="Calibri" w:cs="Calibri"/>
          <w:sz w:val="22"/>
          <w:szCs w:val="22"/>
        </w:rPr>
        <w:t xml:space="preserve"> </w:t>
      </w:r>
      <w:r>
        <w:rPr>
          <w:rFonts w:ascii="Calibri" w:hAnsi="Calibri" w:cs="Calibri"/>
          <w:sz w:val="22"/>
          <w:szCs w:val="22"/>
        </w:rPr>
        <w:t>no 3</w:t>
      </w:r>
      <w:r w:rsidR="00A16F6B">
        <w:rPr>
          <w:rFonts w:ascii="Calibri" w:hAnsi="Calibri" w:cs="Calibri"/>
          <w:sz w:val="22"/>
          <w:szCs w:val="22"/>
        </w:rPr>
        <w:t xml:space="preserve">º trimestre de 2022, </w:t>
      </w:r>
      <w:r>
        <w:rPr>
          <w:rFonts w:ascii="Calibri" w:hAnsi="Calibri" w:cs="Calibri"/>
          <w:sz w:val="22"/>
          <w:szCs w:val="22"/>
        </w:rPr>
        <w:t>o saldo</w:t>
      </w:r>
      <w:r w:rsidR="00A21335">
        <w:rPr>
          <w:rFonts w:ascii="Calibri" w:hAnsi="Calibri" w:cs="Calibri"/>
          <w:sz w:val="22"/>
          <w:szCs w:val="22"/>
        </w:rPr>
        <w:t xml:space="preserve"> é </w:t>
      </w:r>
      <w:r w:rsidR="00007080">
        <w:rPr>
          <w:rFonts w:ascii="Calibri" w:hAnsi="Calibri" w:cs="Calibri"/>
          <w:sz w:val="22"/>
          <w:szCs w:val="22"/>
        </w:rPr>
        <w:t>de</w:t>
      </w:r>
      <w:r w:rsidR="00A16F6B">
        <w:rPr>
          <w:rFonts w:ascii="Calibri" w:hAnsi="Calibri" w:cs="Calibri"/>
          <w:sz w:val="22"/>
          <w:szCs w:val="22"/>
        </w:rPr>
        <w:t xml:space="preserve"> R$ 11,36 bilhões.</w:t>
      </w:r>
    </w:p>
    <w:p w14:paraId="1927C0D6" w14:textId="1D56208B" w:rsidR="00995A6A" w:rsidRDefault="000C1923" w:rsidP="00995A6A">
      <w:pPr>
        <w:pStyle w:val="NormalWeb"/>
        <w:spacing w:before="0" w:beforeAutospacing="0" w:after="120" w:afterAutospacing="0"/>
        <w:jc w:val="both"/>
        <w:rPr>
          <w:rFonts w:ascii="Calibri" w:hAnsi="Calibri" w:cs="Calibri"/>
          <w:b/>
          <w:bCs/>
          <w:sz w:val="22"/>
          <w:szCs w:val="22"/>
        </w:rPr>
      </w:pPr>
      <w:r w:rsidRPr="002E2B5B">
        <w:rPr>
          <w:rFonts w:ascii="Calibri" w:hAnsi="Calibri" w:cs="Calibri"/>
          <w:b/>
          <w:bCs/>
          <w:sz w:val="22"/>
          <w:szCs w:val="22"/>
        </w:rPr>
        <w:t>I</w:t>
      </w:r>
      <w:r w:rsidR="000B56DF" w:rsidRPr="002E2B5B">
        <w:rPr>
          <w:rFonts w:ascii="Calibri" w:hAnsi="Calibri" w:cs="Calibri"/>
          <w:b/>
          <w:bCs/>
          <w:sz w:val="22"/>
          <w:szCs w:val="22"/>
        </w:rPr>
        <w:t>II</w:t>
      </w:r>
      <w:r w:rsidRPr="002E2B5B">
        <w:rPr>
          <w:rFonts w:ascii="Calibri" w:hAnsi="Calibri" w:cs="Calibri"/>
          <w:b/>
          <w:bCs/>
          <w:sz w:val="22"/>
          <w:szCs w:val="22"/>
        </w:rPr>
        <w:t xml:space="preserve"> </w:t>
      </w:r>
      <w:r w:rsidR="000F5E21" w:rsidRPr="002E2B5B">
        <w:rPr>
          <w:rFonts w:ascii="Calibri" w:hAnsi="Calibri" w:cs="Calibri"/>
          <w:b/>
          <w:bCs/>
          <w:sz w:val="22"/>
          <w:szCs w:val="22"/>
        </w:rPr>
        <w:t>– FERROVIA DE INTEGRAÇÃO OESTE LESTE (FIOL)</w:t>
      </w:r>
    </w:p>
    <w:p w14:paraId="18352112" w14:textId="11E034F3" w:rsidR="005E12AA" w:rsidRPr="00995A6A" w:rsidRDefault="005E12AA" w:rsidP="00995A6A">
      <w:pPr>
        <w:pStyle w:val="NormalWeb"/>
        <w:spacing w:before="0" w:beforeAutospacing="0" w:after="120" w:afterAutospacing="0"/>
        <w:jc w:val="both"/>
        <w:rPr>
          <w:rFonts w:ascii="Calibri" w:hAnsi="Calibri" w:cs="Calibri"/>
          <w:b/>
          <w:bCs/>
          <w:sz w:val="22"/>
          <w:szCs w:val="22"/>
        </w:rPr>
      </w:pPr>
      <w:r w:rsidRPr="005E12AA">
        <w:rPr>
          <w:rFonts w:ascii="Calibri" w:hAnsi="Calibri" w:cs="Calibri"/>
          <w:sz w:val="22"/>
          <w:szCs w:val="22"/>
        </w:rPr>
        <w:t xml:space="preserve">A </w:t>
      </w:r>
      <w:r w:rsidR="00E11BEF">
        <w:rPr>
          <w:rFonts w:ascii="Calibri" w:hAnsi="Calibri" w:cs="Calibri"/>
          <w:sz w:val="22"/>
          <w:szCs w:val="22"/>
        </w:rPr>
        <w:t>Infra</w:t>
      </w:r>
      <w:r w:rsidR="00D97018">
        <w:rPr>
          <w:rFonts w:ascii="Calibri" w:hAnsi="Calibri" w:cs="Calibri"/>
          <w:sz w:val="22"/>
          <w:szCs w:val="22"/>
        </w:rPr>
        <w:t xml:space="preserve"> S.A.</w:t>
      </w:r>
      <w:r w:rsidR="00D97018" w:rsidRPr="002E2B5B">
        <w:rPr>
          <w:rFonts w:ascii="Calibri" w:hAnsi="Calibri" w:cs="Calibri"/>
          <w:sz w:val="22"/>
          <w:szCs w:val="22"/>
        </w:rPr>
        <w:t xml:space="preserve"> </w:t>
      </w:r>
      <w:r w:rsidRPr="005E12AA">
        <w:rPr>
          <w:rFonts w:ascii="Calibri" w:hAnsi="Calibri" w:cs="Calibri"/>
          <w:sz w:val="22"/>
          <w:szCs w:val="22"/>
        </w:rPr>
        <w:t>subconcedeu, em agosto de 2021, o trecho ferroviário entre os municípios de Ilhéus/BA a Caetité/BA, com 537 km de extensão, denominado FIOL I, no qual a empresa Bahia Mineração S.A sagrou-se vencedora, com um lance de R$ 32,7 milhões, adicionado à receita variável, com base no estudo de viabilidade.</w:t>
      </w:r>
    </w:p>
    <w:p w14:paraId="2C482CAC" w14:textId="24B8B863" w:rsidR="005E12AA" w:rsidRPr="005E12AA" w:rsidRDefault="005E12AA" w:rsidP="00937ED9">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O Valor Presente de R$ 260 milhões, com data base maio de 2021, das receitas de outorga previstas na concessão da Ferrovia de Integração Oeste Leste (FIOL) – EF-334 - trecho denominado FIOL I, realizada por meio do Edital de Concorrência Internacional n°01/2020, foi calculado pela Superintendência de Negócios da </w:t>
      </w:r>
      <w:r w:rsidR="00E11BEF">
        <w:rPr>
          <w:rFonts w:ascii="Calibri" w:hAnsi="Calibri" w:cs="Calibri"/>
          <w:sz w:val="22"/>
          <w:szCs w:val="22"/>
        </w:rPr>
        <w:t>Infra</w:t>
      </w:r>
      <w:r w:rsidR="00D97018">
        <w:rPr>
          <w:rFonts w:ascii="Calibri" w:hAnsi="Calibri" w:cs="Calibri"/>
          <w:sz w:val="22"/>
          <w:szCs w:val="22"/>
        </w:rPr>
        <w:t xml:space="preserve"> S.A.</w:t>
      </w:r>
      <w:r w:rsidR="00D97018" w:rsidRPr="002E2B5B">
        <w:rPr>
          <w:rFonts w:ascii="Calibri" w:hAnsi="Calibri" w:cs="Calibri"/>
          <w:sz w:val="22"/>
          <w:szCs w:val="22"/>
        </w:rPr>
        <w:t xml:space="preserve"> </w:t>
      </w:r>
      <w:r w:rsidRPr="005E12AA">
        <w:rPr>
          <w:rFonts w:ascii="Calibri" w:hAnsi="Calibri" w:cs="Calibri"/>
          <w:sz w:val="22"/>
          <w:szCs w:val="22"/>
          <w:shd w:val="clear" w:color="auto" w:fill="FFFFFF"/>
        </w:rPr>
        <w:t xml:space="preserve">e evidenciado </w:t>
      </w:r>
      <w:r w:rsidR="00E42F99">
        <w:rPr>
          <w:rFonts w:ascii="Calibri" w:hAnsi="Calibri" w:cs="Calibri"/>
          <w:sz w:val="22"/>
          <w:szCs w:val="22"/>
          <w:shd w:val="clear" w:color="auto" w:fill="FFFFFF"/>
        </w:rPr>
        <w:t>no</w:t>
      </w:r>
      <w:r w:rsidRPr="005E12AA">
        <w:rPr>
          <w:rFonts w:ascii="Calibri" w:hAnsi="Calibri" w:cs="Calibri"/>
          <w:sz w:val="22"/>
          <w:szCs w:val="22"/>
          <w:shd w:val="clear" w:color="auto" w:fill="FFFFFF"/>
        </w:rPr>
        <w:t xml:space="preserve"> Ofício nº 6/2021/SUNEG-VALEC/DINEG-VALEC, em 09 de junho de 2021. </w:t>
      </w:r>
    </w:p>
    <w:p w14:paraId="58D3BF7C" w14:textId="325FC7B6" w:rsidR="005E12AA" w:rsidRDefault="005E12AA" w:rsidP="00937ED9">
      <w:pPr>
        <w:pStyle w:val="Textoembloco"/>
        <w:spacing w:after="120" w:line="240" w:lineRule="auto"/>
        <w:ind w:left="0" w:right="57"/>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Para o encerramento do exercício de 2020, aprovado em agosto de 2021, foi realizado o teste de recuperabilidade dos ativos relativos ao trecho ferroviário denominado FIOL I, reconhecendo uma provisão para perda ao valor recuperável de R$ 3,5 bilhões de reais. </w:t>
      </w:r>
    </w:p>
    <w:p w14:paraId="1F7D6C15" w14:textId="77DFA11D" w:rsidR="00E42F99" w:rsidRPr="00E42F99" w:rsidRDefault="0029463C" w:rsidP="00E42F99">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N</w:t>
      </w:r>
      <w:r w:rsidR="00E42F99" w:rsidRPr="007A192A">
        <w:rPr>
          <w:rFonts w:ascii="Calibri" w:hAnsi="Calibri" w:cs="Calibri"/>
          <w:sz w:val="22"/>
          <w:szCs w:val="22"/>
        </w:rPr>
        <w:t>o exercício de 2021, foi efetuado novo cálculo do valor presente, com data base de 30 de novembro de 2021, que resultou no valor de R$ 280 milhões, conforme Processo SEI nº 51402.106812/2021-17. Portanto</w:t>
      </w:r>
      <w:r w:rsidR="00E42F99">
        <w:rPr>
          <w:rFonts w:ascii="Calibri" w:hAnsi="Calibri" w:cs="Calibri"/>
          <w:sz w:val="22"/>
          <w:szCs w:val="22"/>
        </w:rPr>
        <w:t>,</w:t>
      </w:r>
      <w:r w:rsidR="00E42F99" w:rsidRPr="007A192A">
        <w:rPr>
          <w:rFonts w:ascii="Calibri" w:hAnsi="Calibri" w:cs="Calibri"/>
          <w:sz w:val="22"/>
          <w:szCs w:val="22"/>
        </w:rPr>
        <w:t xml:space="preserve"> fez-se necessária a reversão de parte do valor anteriormente provisionado, totalizando R$ 20,77 milhões.</w:t>
      </w:r>
    </w:p>
    <w:p w14:paraId="4B92CA3D" w14:textId="09B6624F" w:rsidR="005E12AA" w:rsidRDefault="005E12AA" w:rsidP="00937ED9">
      <w:pPr>
        <w:pStyle w:val="NormalWeb"/>
        <w:spacing w:before="0" w:beforeAutospacing="0" w:after="120" w:afterAutospacing="0"/>
        <w:jc w:val="both"/>
        <w:rPr>
          <w:rFonts w:ascii="Calibri" w:hAnsi="Calibri" w:cs="Calibri"/>
          <w:sz w:val="22"/>
          <w:szCs w:val="22"/>
          <w:shd w:val="clear" w:color="auto" w:fill="FFFFFF"/>
        </w:rPr>
      </w:pPr>
      <w:r w:rsidRPr="005E12AA">
        <w:rPr>
          <w:rFonts w:ascii="Calibri" w:hAnsi="Calibri" w:cs="Calibri"/>
          <w:sz w:val="22"/>
          <w:szCs w:val="22"/>
          <w:shd w:val="clear" w:color="auto" w:fill="FFFFFF"/>
        </w:rPr>
        <w:t xml:space="preserve">Essa redução patrimonial não altera à continuidade operacional da </w:t>
      </w:r>
      <w:r w:rsidR="00E11BEF">
        <w:rPr>
          <w:rFonts w:ascii="Calibri" w:hAnsi="Calibri" w:cs="Calibri"/>
          <w:sz w:val="22"/>
          <w:szCs w:val="22"/>
        </w:rPr>
        <w:t>Infra</w:t>
      </w:r>
      <w:r w:rsidR="00D97018">
        <w:rPr>
          <w:rFonts w:ascii="Calibri" w:hAnsi="Calibri" w:cs="Calibri"/>
          <w:sz w:val="22"/>
          <w:szCs w:val="22"/>
        </w:rPr>
        <w:t xml:space="preserve"> S.A.</w:t>
      </w:r>
      <w:r w:rsidRPr="005E12AA">
        <w:rPr>
          <w:rFonts w:ascii="Calibri" w:hAnsi="Calibri" w:cs="Calibri"/>
          <w:sz w:val="22"/>
          <w:szCs w:val="22"/>
          <w:shd w:val="clear" w:color="auto" w:fill="FFFFFF"/>
        </w:rPr>
        <w:t xml:space="preserve">, conforme </w:t>
      </w:r>
      <w:r w:rsidRPr="00572476">
        <w:rPr>
          <w:rFonts w:ascii="Calibri" w:hAnsi="Calibri" w:cs="Calibri"/>
          <w:sz w:val="22"/>
          <w:szCs w:val="22"/>
          <w:shd w:val="clear" w:color="auto" w:fill="FFFFFF"/>
        </w:rPr>
        <w:t>Nota 1, visto</w:t>
      </w:r>
      <w:r w:rsidRPr="005E12AA">
        <w:rPr>
          <w:rFonts w:ascii="Calibri" w:hAnsi="Calibri" w:cs="Calibri"/>
          <w:sz w:val="22"/>
          <w:szCs w:val="22"/>
          <w:shd w:val="clear" w:color="auto" w:fill="FFFFFF"/>
        </w:rPr>
        <w:t xml:space="preserve"> ser uma empresa pública dependente da União (única acionista) e das políticas públicas traçadas pelo Ministério da </w:t>
      </w:r>
      <w:r w:rsidR="00E11BEF">
        <w:rPr>
          <w:rFonts w:ascii="Calibri" w:hAnsi="Calibri" w:cs="Calibri"/>
          <w:sz w:val="22"/>
          <w:szCs w:val="22"/>
          <w:shd w:val="clear" w:color="auto" w:fill="FFFFFF"/>
        </w:rPr>
        <w:t>Infra</w:t>
      </w:r>
      <w:r w:rsidRPr="005E12AA">
        <w:rPr>
          <w:rFonts w:ascii="Calibri" w:hAnsi="Calibri" w:cs="Calibri"/>
          <w:sz w:val="22"/>
          <w:szCs w:val="22"/>
          <w:shd w:val="clear" w:color="auto" w:fill="FFFFFF"/>
        </w:rPr>
        <w:t>estrutura. Seu planejamento financeiro de longo prazo é vinculado ao planejamento orçamentário, por meio do Plano Plurianual de 2020 – 2023, aprovados nos termos da Lei</w:t>
      </w:r>
      <w:r w:rsidR="00214011">
        <w:rPr>
          <w:rFonts w:ascii="Calibri" w:hAnsi="Calibri" w:cs="Calibri"/>
          <w:sz w:val="22"/>
          <w:szCs w:val="22"/>
          <w:shd w:val="clear" w:color="auto" w:fill="FFFFFF"/>
        </w:rPr>
        <w:t xml:space="preserve"> nº</w:t>
      </w:r>
      <w:r w:rsidRPr="005E12AA">
        <w:rPr>
          <w:rFonts w:ascii="Calibri" w:hAnsi="Calibri" w:cs="Calibri"/>
          <w:sz w:val="22"/>
          <w:szCs w:val="22"/>
          <w:shd w:val="clear" w:color="auto" w:fill="FFFFFF"/>
        </w:rPr>
        <w:t xml:space="preserve"> 13.971, de 13 de dezembro de 2019, e das políticas governamentais.</w:t>
      </w:r>
    </w:p>
    <w:p w14:paraId="413E8DFA" w14:textId="4FDAFD2C" w:rsidR="006E0CFB" w:rsidRDefault="005E12AA" w:rsidP="00937ED9">
      <w:pPr>
        <w:pStyle w:val="PargrafodaLista"/>
        <w:spacing w:after="120"/>
        <w:ind w:left="0"/>
        <w:contextualSpacing/>
        <w:jc w:val="both"/>
        <w:rPr>
          <w:rFonts w:ascii="Calibri" w:hAnsi="Calibri" w:cs="Calibri"/>
          <w:bCs/>
          <w:sz w:val="22"/>
          <w:szCs w:val="22"/>
        </w:rPr>
      </w:pPr>
      <w:r w:rsidRPr="002E2B5B">
        <w:rPr>
          <w:rFonts w:ascii="Calibri" w:hAnsi="Calibri" w:cs="Calibri"/>
          <w:bCs/>
          <w:sz w:val="22"/>
          <w:szCs w:val="22"/>
        </w:rPr>
        <w:t xml:space="preserve">Os ativos relacionados aos trechos da Ferrovia de Integração Oeste Leste, denominados de FIOL II não sofreram teste de recuperabilidade de ativos, por estarem em fase de obras em andamento, sem indícios de perdas. </w:t>
      </w:r>
    </w:p>
    <w:p w14:paraId="78710EAA" w14:textId="7381C0B9" w:rsidR="00A16F6B" w:rsidRDefault="00A16F6B" w:rsidP="00A16F6B">
      <w:pPr>
        <w:pStyle w:val="NormalWeb"/>
        <w:spacing w:before="0" w:beforeAutospacing="0" w:after="120" w:afterAutospacing="0"/>
        <w:jc w:val="both"/>
        <w:rPr>
          <w:rFonts w:ascii="Calibri" w:hAnsi="Calibri" w:cs="Calibri"/>
          <w:sz w:val="22"/>
          <w:szCs w:val="22"/>
        </w:rPr>
      </w:pPr>
      <w:r>
        <w:rPr>
          <w:rFonts w:ascii="Calibri" w:hAnsi="Calibri" w:cs="Calibri"/>
          <w:sz w:val="22"/>
          <w:szCs w:val="22"/>
        </w:rPr>
        <w:t>A</w:t>
      </w:r>
      <w:r w:rsidRPr="00750CA7">
        <w:rPr>
          <w:rFonts w:ascii="Calibri" w:hAnsi="Calibri" w:cs="Calibri"/>
          <w:sz w:val="22"/>
          <w:szCs w:val="22"/>
        </w:rPr>
        <w:t xml:space="preserve"> análise do valor recuperável</w:t>
      </w:r>
      <w:r>
        <w:rPr>
          <w:rFonts w:ascii="Calibri" w:hAnsi="Calibri" w:cs="Calibri"/>
          <w:sz w:val="22"/>
          <w:szCs w:val="22"/>
        </w:rPr>
        <w:t>,</w:t>
      </w:r>
      <w:r w:rsidRPr="00750CA7">
        <w:rPr>
          <w:rFonts w:ascii="Calibri" w:hAnsi="Calibri" w:cs="Calibri"/>
          <w:sz w:val="22"/>
          <w:szCs w:val="22"/>
        </w:rPr>
        <w:t xml:space="preserve"> em consonância com o CPC – 01 (R1) – Redução ao Valor Recuperável de Ativos</w:t>
      </w:r>
      <w:r>
        <w:rPr>
          <w:rFonts w:ascii="Calibri" w:hAnsi="Calibri" w:cs="Calibri"/>
          <w:sz w:val="22"/>
          <w:szCs w:val="22"/>
        </w:rPr>
        <w:t xml:space="preserve">, deve ser realizado anualmente. Sendo assim, a </w:t>
      </w:r>
      <w:r w:rsidRPr="00750CA7">
        <w:rPr>
          <w:rFonts w:ascii="Calibri" w:hAnsi="Calibri" w:cs="Calibri"/>
          <w:sz w:val="22"/>
          <w:szCs w:val="22"/>
        </w:rPr>
        <w:t>provisão de perda ao valor recuperável</w:t>
      </w:r>
      <w:r>
        <w:rPr>
          <w:rFonts w:ascii="Calibri" w:hAnsi="Calibri" w:cs="Calibri"/>
          <w:sz w:val="22"/>
          <w:szCs w:val="22"/>
        </w:rPr>
        <w:t>,</w:t>
      </w:r>
      <w:r w:rsidRPr="00750CA7">
        <w:rPr>
          <w:rFonts w:ascii="Calibri" w:hAnsi="Calibri" w:cs="Calibri"/>
          <w:sz w:val="22"/>
          <w:szCs w:val="22"/>
        </w:rPr>
        <w:t xml:space="preserve"> </w:t>
      </w:r>
      <w:r>
        <w:rPr>
          <w:rFonts w:ascii="Calibri" w:hAnsi="Calibri" w:cs="Calibri"/>
          <w:sz w:val="22"/>
          <w:szCs w:val="22"/>
        </w:rPr>
        <w:t xml:space="preserve">referente à FIOL I, não teve o seu valor alterado </w:t>
      </w:r>
      <w:r w:rsidR="005B2A4F">
        <w:rPr>
          <w:rFonts w:ascii="Calibri" w:hAnsi="Calibri" w:cs="Calibri"/>
          <w:sz w:val="22"/>
          <w:szCs w:val="22"/>
        </w:rPr>
        <w:t xml:space="preserve">até o </w:t>
      </w:r>
      <w:r w:rsidR="00D97018">
        <w:rPr>
          <w:rFonts w:ascii="Calibri" w:hAnsi="Calibri" w:cs="Calibri"/>
          <w:sz w:val="22"/>
          <w:szCs w:val="22"/>
        </w:rPr>
        <w:t>3</w:t>
      </w:r>
      <w:r>
        <w:rPr>
          <w:rFonts w:ascii="Calibri" w:hAnsi="Calibri" w:cs="Calibri"/>
          <w:sz w:val="22"/>
          <w:szCs w:val="22"/>
        </w:rPr>
        <w:t>º trimestre de 2022, mantendo-se com o saldo de R$ R$ 3,21 bilhões.</w:t>
      </w:r>
    </w:p>
    <w:p w14:paraId="53CB6D92" w14:textId="77777777" w:rsidR="007D5D69" w:rsidRPr="002E2B5B" w:rsidRDefault="007D5D69" w:rsidP="00A16F6B">
      <w:pPr>
        <w:pStyle w:val="NormalWeb"/>
        <w:spacing w:before="0" w:beforeAutospacing="0" w:after="120" w:afterAutospacing="0"/>
        <w:jc w:val="both"/>
        <w:rPr>
          <w:rFonts w:ascii="Calibri" w:hAnsi="Calibri" w:cs="Calibri"/>
          <w:sz w:val="22"/>
          <w:szCs w:val="22"/>
        </w:rPr>
      </w:pPr>
    </w:p>
    <w:p w14:paraId="324E60C8" w14:textId="74439727" w:rsidR="002C7B71" w:rsidRDefault="00C66E97" w:rsidP="00937ED9">
      <w:pPr>
        <w:pStyle w:val="NormalWeb"/>
        <w:spacing w:before="0" w:beforeAutospacing="0" w:after="120" w:afterAutospacing="0"/>
        <w:jc w:val="both"/>
        <w:rPr>
          <w:rFonts w:ascii="Calibri" w:hAnsi="Calibri" w:cs="Calibri"/>
          <w:sz w:val="22"/>
          <w:szCs w:val="22"/>
        </w:rPr>
      </w:pPr>
      <w:r w:rsidRPr="002E2B5B">
        <w:rPr>
          <w:rFonts w:ascii="Calibri" w:hAnsi="Calibri" w:cs="Calibri"/>
          <w:b/>
          <w:bCs/>
          <w:sz w:val="22"/>
          <w:szCs w:val="22"/>
        </w:rPr>
        <w:t>I</w:t>
      </w:r>
      <w:r>
        <w:rPr>
          <w:rFonts w:ascii="Calibri" w:hAnsi="Calibri" w:cs="Calibri"/>
          <w:b/>
          <w:bCs/>
          <w:sz w:val="22"/>
          <w:szCs w:val="22"/>
        </w:rPr>
        <w:t>V</w:t>
      </w:r>
      <w:r w:rsidRPr="002E2B5B">
        <w:rPr>
          <w:rFonts w:ascii="Calibri" w:hAnsi="Calibri" w:cs="Calibri"/>
          <w:b/>
          <w:bCs/>
          <w:sz w:val="22"/>
          <w:szCs w:val="22"/>
        </w:rPr>
        <w:t xml:space="preserve"> –</w:t>
      </w:r>
      <w:r>
        <w:rPr>
          <w:rFonts w:ascii="Calibri" w:hAnsi="Calibri" w:cs="Calibri"/>
          <w:b/>
          <w:bCs/>
          <w:sz w:val="22"/>
          <w:szCs w:val="22"/>
        </w:rPr>
        <w:t xml:space="preserve"> INVESTIMENTO CRUZADO</w:t>
      </w:r>
    </w:p>
    <w:p w14:paraId="6A97B40E" w14:textId="7D42D5CA" w:rsidR="007D61C7" w:rsidRPr="008D21F0" w:rsidRDefault="007D61C7" w:rsidP="00937ED9">
      <w:pPr>
        <w:pStyle w:val="NormalWeb"/>
        <w:spacing w:before="0" w:beforeAutospacing="0" w:after="120" w:afterAutospacing="0"/>
        <w:jc w:val="both"/>
        <w:rPr>
          <w:rFonts w:ascii="Calibri" w:hAnsi="Calibri" w:cs="Calibri"/>
          <w:sz w:val="22"/>
          <w:szCs w:val="22"/>
          <w:shd w:val="clear" w:color="auto" w:fill="FFFFFF"/>
        </w:rPr>
      </w:pPr>
      <w:r w:rsidRPr="008D21F0">
        <w:rPr>
          <w:rFonts w:ascii="Calibri" w:hAnsi="Calibri" w:cs="Calibri"/>
          <w:sz w:val="22"/>
          <w:szCs w:val="22"/>
        </w:rPr>
        <w:t>O</w:t>
      </w:r>
      <w:r w:rsidR="00C66E97" w:rsidRPr="008D21F0">
        <w:rPr>
          <w:rFonts w:ascii="Calibri" w:hAnsi="Calibri" w:cs="Calibri"/>
          <w:sz w:val="22"/>
          <w:szCs w:val="22"/>
        </w:rPr>
        <w:t xml:space="preserve"> Anexo 9 do Terceiro Termo Aditivo</w:t>
      </w:r>
      <w:r w:rsidR="00851F2F" w:rsidRPr="008D21F0">
        <w:rPr>
          <w:rFonts w:ascii="Calibri" w:hAnsi="Calibri" w:cs="Calibri"/>
          <w:sz w:val="22"/>
          <w:szCs w:val="22"/>
          <w:shd w:val="clear" w:color="auto" w:fill="FFFFFF"/>
        </w:rPr>
        <w:t xml:space="preserve"> ao contrato de concessão da Estrada de Ferro Vitória a Minas, concedida à VALE S/A</w:t>
      </w:r>
      <w:r w:rsidR="00C66E97" w:rsidRPr="008D21F0">
        <w:rPr>
          <w:rFonts w:ascii="Calibri" w:hAnsi="Calibri" w:cs="Calibri"/>
          <w:sz w:val="22"/>
          <w:szCs w:val="22"/>
        </w:rPr>
        <w:t xml:space="preserve">, </w:t>
      </w:r>
      <w:r w:rsidR="00851F2F" w:rsidRPr="008D21F0">
        <w:rPr>
          <w:rFonts w:ascii="Calibri" w:hAnsi="Calibri" w:cs="Calibri"/>
          <w:sz w:val="22"/>
          <w:szCs w:val="22"/>
          <w:shd w:val="clear" w:color="auto" w:fill="FFFFFF"/>
        </w:rPr>
        <w:t>prevê a renovação antecipada de outorga e descreve</w:t>
      </w:r>
      <w:r w:rsidRPr="008D21F0">
        <w:rPr>
          <w:rFonts w:ascii="Calibri" w:hAnsi="Calibri" w:cs="Calibri"/>
          <w:sz w:val="22"/>
          <w:szCs w:val="22"/>
          <w:shd w:val="clear" w:color="auto" w:fill="FFFFFF"/>
        </w:rPr>
        <w:t xml:space="preserve"> os</w:t>
      </w:r>
      <w:r w:rsidR="00851F2F" w:rsidRPr="008D21F0">
        <w:rPr>
          <w:rFonts w:ascii="Calibri" w:hAnsi="Calibri" w:cs="Calibri"/>
          <w:sz w:val="22"/>
          <w:szCs w:val="22"/>
          <w:shd w:val="clear" w:color="auto" w:fill="FFFFFF"/>
        </w:rPr>
        <w:t xml:space="preserve"> termos que disciplinam as condições de realização das Obrigações de Investimento assumidas pela Concessionária em projetos de titularidade da </w:t>
      </w:r>
      <w:r w:rsidR="00E11BEF">
        <w:rPr>
          <w:rFonts w:ascii="Calibri" w:hAnsi="Calibri" w:cs="Calibri"/>
          <w:sz w:val="22"/>
          <w:szCs w:val="22"/>
        </w:rPr>
        <w:t>Infra</w:t>
      </w:r>
      <w:r w:rsidR="00D97018">
        <w:rPr>
          <w:rFonts w:ascii="Calibri" w:hAnsi="Calibri" w:cs="Calibri"/>
          <w:sz w:val="22"/>
          <w:szCs w:val="22"/>
        </w:rPr>
        <w:t xml:space="preserve"> S.A.</w:t>
      </w:r>
      <w:r w:rsidRPr="008D21F0">
        <w:rPr>
          <w:rFonts w:ascii="Calibri" w:hAnsi="Calibri" w:cs="Calibri"/>
          <w:sz w:val="22"/>
          <w:szCs w:val="22"/>
          <w:shd w:val="clear" w:color="auto" w:fill="FFFFFF"/>
        </w:rPr>
        <w:t>,</w:t>
      </w:r>
      <w:r w:rsidR="00851F2F" w:rsidRPr="008D21F0">
        <w:rPr>
          <w:rFonts w:ascii="Calibri" w:hAnsi="Calibri" w:cs="Calibri"/>
          <w:sz w:val="22"/>
          <w:szCs w:val="22"/>
          <w:shd w:val="clear" w:color="auto" w:fill="FFFFFF"/>
        </w:rPr>
        <w:t xml:space="preserve"> conforme a Lei nº 11.772/2008, envolvendo</w:t>
      </w:r>
      <w:r w:rsidRPr="008D21F0">
        <w:rPr>
          <w:rFonts w:ascii="Calibri" w:hAnsi="Calibri" w:cs="Calibri"/>
          <w:sz w:val="22"/>
          <w:szCs w:val="22"/>
          <w:shd w:val="clear" w:color="auto" w:fill="FFFFFF"/>
        </w:rPr>
        <w:t xml:space="preserve"> a Ferrovia de Integração Oeste Leste (FIOL) e a Ferrovia de Integração Centro-Oeste (FICO):  </w:t>
      </w:r>
    </w:p>
    <w:p w14:paraId="6B3BC145" w14:textId="17209EF9" w:rsidR="007D61C7" w:rsidRPr="008D21F0" w:rsidRDefault="007D61C7" w:rsidP="007D61C7">
      <w:pPr>
        <w:pStyle w:val="PargrafodaLista"/>
        <w:widowControl w:val="0"/>
        <w:numPr>
          <w:ilvl w:val="0"/>
          <w:numId w:val="44"/>
        </w:numPr>
        <w:spacing w:after="120"/>
        <w:jc w:val="both"/>
        <w:rPr>
          <w:rFonts w:ascii="Calibri" w:hAnsi="Calibri" w:cs="Calibri"/>
          <w:sz w:val="22"/>
          <w:szCs w:val="22"/>
        </w:rPr>
      </w:pPr>
      <w:r w:rsidRPr="008D21F0">
        <w:rPr>
          <w:rFonts w:ascii="Calibri" w:hAnsi="Calibri" w:cs="Calibri"/>
          <w:sz w:val="22"/>
          <w:szCs w:val="22"/>
        </w:rPr>
        <w:t xml:space="preserve">A implantação da </w:t>
      </w:r>
      <w:r w:rsidR="00E11BEF">
        <w:rPr>
          <w:rFonts w:ascii="Calibri" w:hAnsi="Calibri" w:cs="Calibri"/>
          <w:sz w:val="22"/>
          <w:szCs w:val="22"/>
        </w:rPr>
        <w:t>Infra</w:t>
      </w:r>
      <w:r w:rsidRPr="008D21F0">
        <w:rPr>
          <w:rFonts w:ascii="Calibri" w:hAnsi="Calibri" w:cs="Calibri"/>
          <w:sz w:val="22"/>
          <w:szCs w:val="22"/>
        </w:rPr>
        <w:t>estrutura e superestrutura ferroviária de Trecho da Ferrovia de Integração Centro-Oeste (FICO), EF-354, compreendido entre os municípios de Água Boa/MT e Mara Rosa/GO; e</w:t>
      </w:r>
    </w:p>
    <w:p w14:paraId="25D804C5" w14:textId="0C70D510" w:rsidR="007D61C7" w:rsidRPr="008D21F0" w:rsidRDefault="007D61C7" w:rsidP="007D61C7">
      <w:pPr>
        <w:pStyle w:val="PargrafodaLista"/>
        <w:widowControl w:val="0"/>
        <w:numPr>
          <w:ilvl w:val="0"/>
          <w:numId w:val="44"/>
        </w:numPr>
        <w:spacing w:after="120"/>
        <w:jc w:val="both"/>
        <w:rPr>
          <w:rFonts w:ascii="Calibri" w:hAnsi="Calibri" w:cs="Calibri"/>
          <w:sz w:val="22"/>
          <w:szCs w:val="22"/>
        </w:rPr>
      </w:pPr>
      <w:r w:rsidRPr="008D21F0">
        <w:rPr>
          <w:rFonts w:ascii="Calibri" w:hAnsi="Calibri" w:cs="Calibri"/>
          <w:sz w:val="22"/>
          <w:szCs w:val="22"/>
        </w:rPr>
        <w:t xml:space="preserve">A aquisição de Trilhos e Dormentes a serem incorporados no Projeto de </w:t>
      </w:r>
      <w:r w:rsidR="00E11BEF">
        <w:rPr>
          <w:rFonts w:ascii="Calibri" w:hAnsi="Calibri" w:cs="Calibri"/>
          <w:sz w:val="22"/>
          <w:szCs w:val="22"/>
        </w:rPr>
        <w:t>Infra</w:t>
      </w:r>
      <w:r w:rsidRPr="008D21F0">
        <w:rPr>
          <w:rFonts w:ascii="Calibri" w:hAnsi="Calibri" w:cs="Calibri"/>
          <w:sz w:val="22"/>
          <w:szCs w:val="22"/>
        </w:rPr>
        <w:t xml:space="preserve">estrutura da Ferrovia Integração Oeste Leste (FIOL), EF – 334. </w:t>
      </w:r>
    </w:p>
    <w:p w14:paraId="32B92C68" w14:textId="3A5D3ED0" w:rsidR="002D2F93" w:rsidRPr="008D21F0" w:rsidRDefault="00B77502" w:rsidP="00937ED9">
      <w:pPr>
        <w:pStyle w:val="NormalWeb"/>
        <w:spacing w:before="0" w:beforeAutospacing="0" w:after="120" w:afterAutospacing="0"/>
        <w:jc w:val="both"/>
        <w:rPr>
          <w:rFonts w:ascii="Calibri" w:hAnsi="Calibri" w:cs="Calibri"/>
          <w:sz w:val="22"/>
          <w:szCs w:val="22"/>
        </w:rPr>
      </w:pPr>
      <w:r w:rsidRPr="008D21F0">
        <w:rPr>
          <w:rFonts w:ascii="Calibri" w:hAnsi="Calibri" w:cs="Calibri"/>
          <w:sz w:val="22"/>
          <w:szCs w:val="22"/>
        </w:rPr>
        <w:t>C</w:t>
      </w:r>
      <w:r w:rsidR="00E42F99" w:rsidRPr="008D21F0">
        <w:rPr>
          <w:rFonts w:ascii="Calibri" w:hAnsi="Calibri" w:cs="Calibri"/>
          <w:sz w:val="22"/>
          <w:szCs w:val="22"/>
        </w:rPr>
        <w:t xml:space="preserve">onforme descrito </w:t>
      </w:r>
      <w:r w:rsidR="00E42F99" w:rsidRPr="00572476">
        <w:rPr>
          <w:rFonts w:ascii="Calibri" w:hAnsi="Calibri" w:cs="Calibri"/>
          <w:sz w:val="22"/>
          <w:szCs w:val="22"/>
        </w:rPr>
        <w:t xml:space="preserve">na Nota 1-IV, </w:t>
      </w:r>
      <w:r w:rsidR="00AC0E93" w:rsidRPr="00572476">
        <w:rPr>
          <w:rFonts w:ascii="Calibri" w:hAnsi="Calibri" w:cs="Calibri"/>
          <w:sz w:val="22"/>
          <w:szCs w:val="22"/>
        </w:rPr>
        <w:t xml:space="preserve">até </w:t>
      </w:r>
      <w:r w:rsidR="00C66E97" w:rsidRPr="00572476">
        <w:rPr>
          <w:rFonts w:ascii="Calibri" w:hAnsi="Calibri" w:cs="Calibri"/>
          <w:sz w:val="22"/>
          <w:szCs w:val="22"/>
        </w:rPr>
        <w:t>o</w:t>
      </w:r>
      <w:r w:rsidR="00C66E97" w:rsidRPr="008D21F0">
        <w:rPr>
          <w:rFonts w:ascii="Calibri" w:hAnsi="Calibri" w:cs="Calibri"/>
          <w:sz w:val="22"/>
          <w:szCs w:val="22"/>
        </w:rPr>
        <w:t xml:space="preserve"> </w:t>
      </w:r>
      <w:r w:rsidR="00D97018">
        <w:rPr>
          <w:rFonts w:ascii="Calibri" w:hAnsi="Calibri" w:cs="Calibri"/>
          <w:sz w:val="22"/>
          <w:szCs w:val="22"/>
        </w:rPr>
        <w:t>3</w:t>
      </w:r>
      <w:r w:rsidR="0029463C">
        <w:rPr>
          <w:rFonts w:ascii="Calibri" w:hAnsi="Calibri" w:cs="Calibri"/>
          <w:sz w:val="22"/>
          <w:szCs w:val="22"/>
        </w:rPr>
        <w:t>º trimestre de 2</w:t>
      </w:r>
      <w:r w:rsidR="00C66E97" w:rsidRPr="008D21F0">
        <w:rPr>
          <w:rFonts w:ascii="Calibri" w:hAnsi="Calibri" w:cs="Calibri"/>
          <w:sz w:val="22"/>
          <w:szCs w:val="22"/>
        </w:rPr>
        <w:t>02</w:t>
      </w:r>
      <w:r w:rsidR="0029463C">
        <w:rPr>
          <w:rFonts w:ascii="Calibri" w:hAnsi="Calibri" w:cs="Calibri"/>
          <w:sz w:val="22"/>
          <w:szCs w:val="22"/>
        </w:rPr>
        <w:t>2</w:t>
      </w:r>
      <w:r w:rsidR="00C66E97" w:rsidRPr="008D21F0">
        <w:rPr>
          <w:rFonts w:ascii="Calibri" w:hAnsi="Calibri" w:cs="Calibri"/>
          <w:sz w:val="22"/>
          <w:szCs w:val="22"/>
        </w:rPr>
        <w:t xml:space="preserve">, </w:t>
      </w:r>
      <w:r w:rsidR="0029463C">
        <w:rPr>
          <w:rFonts w:ascii="Calibri" w:hAnsi="Calibri" w:cs="Calibri"/>
          <w:sz w:val="22"/>
          <w:szCs w:val="22"/>
        </w:rPr>
        <w:t>o saldo total do</w:t>
      </w:r>
      <w:r w:rsidR="00C66E97" w:rsidRPr="008D21F0">
        <w:rPr>
          <w:rFonts w:ascii="Calibri" w:hAnsi="Calibri" w:cs="Calibri"/>
          <w:sz w:val="22"/>
          <w:szCs w:val="22"/>
        </w:rPr>
        <w:t xml:space="preserve"> Ativo Imobilizado</w:t>
      </w:r>
      <w:r w:rsidR="0029463C">
        <w:rPr>
          <w:rFonts w:ascii="Calibri" w:hAnsi="Calibri" w:cs="Calibri"/>
          <w:sz w:val="22"/>
          <w:szCs w:val="22"/>
        </w:rPr>
        <w:t>,</w:t>
      </w:r>
      <w:r w:rsidR="00C66E97" w:rsidRPr="008D21F0">
        <w:rPr>
          <w:rFonts w:ascii="Calibri" w:hAnsi="Calibri" w:cs="Calibri"/>
          <w:sz w:val="22"/>
          <w:szCs w:val="22"/>
        </w:rPr>
        <w:t xml:space="preserve"> </w:t>
      </w:r>
      <w:r w:rsidR="0029463C" w:rsidRPr="008D21F0">
        <w:rPr>
          <w:rFonts w:ascii="Calibri" w:hAnsi="Calibri" w:cs="Calibri"/>
          <w:sz w:val="22"/>
          <w:szCs w:val="22"/>
        </w:rPr>
        <w:t>no âmbito do Investimento Cruzado</w:t>
      </w:r>
      <w:r w:rsidR="0029463C">
        <w:rPr>
          <w:rFonts w:ascii="Calibri" w:hAnsi="Calibri" w:cs="Calibri"/>
          <w:sz w:val="22"/>
          <w:szCs w:val="22"/>
        </w:rPr>
        <w:t xml:space="preserve"> é de R$ </w:t>
      </w:r>
      <w:r w:rsidR="00FE5818">
        <w:rPr>
          <w:rFonts w:ascii="Calibri" w:hAnsi="Calibri" w:cs="Calibri"/>
          <w:sz w:val="22"/>
          <w:szCs w:val="22"/>
        </w:rPr>
        <w:t>518</w:t>
      </w:r>
      <w:r w:rsidR="0029463C">
        <w:rPr>
          <w:rFonts w:ascii="Calibri" w:hAnsi="Calibri" w:cs="Calibri"/>
          <w:sz w:val="22"/>
          <w:szCs w:val="22"/>
        </w:rPr>
        <w:t>,</w:t>
      </w:r>
      <w:r w:rsidR="00FE5818">
        <w:rPr>
          <w:rFonts w:ascii="Calibri" w:hAnsi="Calibri" w:cs="Calibri"/>
          <w:sz w:val="22"/>
          <w:szCs w:val="22"/>
        </w:rPr>
        <w:t>02</w:t>
      </w:r>
      <w:r w:rsidR="0029463C">
        <w:rPr>
          <w:rFonts w:ascii="Calibri" w:hAnsi="Calibri" w:cs="Calibri"/>
          <w:sz w:val="22"/>
          <w:szCs w:val="22"/>
        </w:rPr>
        <w:t xml:space="preserve"> </w:t>
      </w:r>
      <w:r w:rsidR="00C66E97" w:rsidRPr="008D21F0">
        <w:rPr>
          <w:rFonts w:ascii="Calibri" w:hAnsi="Calibri" w:cs="Calibri"/>
          <w:sz w:val="22"/>
          <w:szCs w:val="22"/>
        </w:rPr>
        <w:t>milhões, composto por:</w:t>
      </w:r>
    </w:p>
    <w:tbl>
      <w:tblPr>
        <w:tblW w:w="5000" w:type="pct"/>
        <w:jc w:val="center"/>
        <w:tblCellMar>
          <w:left w:w="70" w:type="dxa"/>
          <w:right w:w="70" w:type="dxa"/>
        </w:tblCellMar>
        <w:tblLook w:val="04A0" w:firstRow="1" w:lastRow="0" w:firstColumn="1" w:lastColumn="0" w:noHBand="0" w:noVBand="1"/>
      </w:tblPr>
      <w:tblGrid>
        <w:gridCol w:w="3094"/>
        <w:gridCol w:w="1298"/>
        <w:gridCol w:w="2280"/>
        <w:gridCol w:w="2173"/>
        <w:gridCol w:w="1622"/>
      </w:tblGrid>
      <w:tr w:rsidR="003830E9" w:rsidRPr="008D21F0" w14:paraId="5F667673" w14:textId="77777777" w:rsidTr="00987B82">
        <w:trPr>
          <w:trHeight w:hRule="exact" w:val="412"/>
          <w:jc w:val="center"/>
        </w:trPr>
        <w:tc>
          <w:tcPr>
            <w:tcW w:w="1478" w:type="pct"/>
            <w:tcBorders>
              <w:top w:val="nil"/>
              <w:left w:val="nil"/>
              <w:bottom w:val="single" w:sz="4" w:space="0" w:color="auto"/>
              <w:right w:val="nil"/>
            </w:tcBorders>
            <w:shd w:val="clear" w:color="auto" w:fill="auto"/>
            <w:noWrap/>
            <w:vAlign w:val="bottom"/>
            <w:hideMark/>
          </w:tcPr>
          <w:p w14:paraId="624CE06B" w14:textId="5F761235" w:rsidR="003830E9" w:rsidRPr="008D21F0" w:rsidRDefault="003830E9" w:rsidP="00937ED9">
            <w:pPr>
              <w:spacing w:after="120"/>
              <w:rPr>
                <w:rFonts w:ascii="Calibri" w:hAnsi="Calibri" w:cs="Calibri"/>
                <w:b/>
                <w:color w:val="000000"/>
                <w:sz w:val="22"/>
                <w:szCs w:val="22"/>
              </w:rPr>
            </w:pPr>
          </w:p>
          <w:p w14:paraId="3A4A6674" w14:textId="77777777" w:rsidR="003830E9" w:rsidRPr="008D21F0" w:rsidRDefault="003830E9" w:rsidP="00937ED9">
            <w:pPr>
              <w:spacing w:after="120"/>
              <w:rPr>
                <w:rFonts w:ascii="Calibri" w:hAnsi="Calibri" w:cs="Calibri"/>
                <w:b/>
                <w:color w:val="000000"/>
                <w:sz w:val="22"/>
                <w:szCs w:val="22"/>
              </w:rPr>
            </w:pPr>
          </w:p>
          <w:p w14:paraId="5349341A" w14:textId="77777777" w:rsidR="003830E9" w:rsidRPr="008D21F0" w:rsidRDefault="003830E9" w:rsidP="00937ED9">
            <w:pPr>
              <w:spacing w:after="120"/>
              <w:rPr>
                <w:rFonts w:ascii="Calibri" w:hAnsi="Calibri" w:cs="Calibri"/>
                <w:b/>
                <w:bCs/>
                <w:color w:val="000000"/>
                <w:sz w:val="16"/>
                <w:szCs w:val="16"/>
              </w:rPr>
            </w:pPr>
            <w:r w:rsidRPr="008D21F0">
              <w:rPr>
                <w:rFonts w:ascii="Calibri" w:hAnsi="Calibri" w:cs="Calibri"/>
                <w:b/>
                <w:bCs/>
                <w:color w:val="000000"/>
                <w:sz w:val="16"/>
                <w:szCs w:val="16"/>
              </w:rPr>
              <w:t>INTANGÍVEL</w:t>
            </w:r>
          </w:p>
        </w:tc>
        <w:tc>
          <w:tcPr>
            <w:tcW w:w="620" w:type="pct"/>
            <w:tcBorders>
              <w:top w:val="nil"/>
              <w:left w:val="nil"/>
              <w:bottom w:val="single" w:sz="4" w:space="0" w:color="auto"/>
              <w:right w:val="nil"/>
            </w:tcBorders>
            <w:shd w:val="clear" w:color="auto" w:fill="auto"/>
            <w:vAlign w:val="bottom"/>
            <w:hideMark/>
          </w:tcPr>
          <w:p w14:paraId="3A60999F" w14:textId="5C91E4DA"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SALDO EM 31/12/202</w:t>
            </w:r>
            <w:r w:rsidR="0029463C">
              <w:rPr>
                <w:rFonts w:ascii="Calibri" w:hAnsi="Calibri" w:cs="Calibri"/>
                <w:b/>
                <w:bCs/>
                <w:color w:val="000000"/>
                <w:sz w:val="16"/>
                <w:szCs w:val="16"/>
              </w:rPr>
              <w:t>1</w:t>
            </w:r>
          </w:p>
        </w:tc>
        <w:tc>
          <w:tcPr>
            <w:tcW w:w="1089" w:type="pct"/>
            <w:tcBorders>
              <w:top w:val="nil"/>
              <w:left w:val="nil"/>
              <w:bottom w:val="single" w:sz="4" w:space="0" w:color="auto"/>
              <w:right w:val="nil"/>
            </w:tcBorders>
            <w:shd w:val="clear" w:color="auto" w:fill="auto"/>
            <w:vAlign w:val="bottom"/>
            <w:hideMark/>
          </w:tcPr>
          <w:p w14:paraId="26F229E0" w14:textId="77777777"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ENTRADAS</w:t>
            </w:r>
          </w:p>
        </w:tc>
        <w:tc>
          <w:tcPr>
            <w:tcW w:w="1038" w:type="pct"/>
            <w:tcBorders>
              <w:top w:val="nil"/>
              <w:left w:val="nil"/>
              <w:bottom w:val="single" w:sz="4" w:space="0" w:color="auto"/>
              <w:right w:val="nil"/>
            </w:tcBorders>
            <w:shd w:val="clear" w:color="auto" w:fill="auto"/>
            <w:vAlign w:val="bottom"/>
            <w:hideMark/>
          </w:tcPr>
          <w:p w14:paraId="515809DE" w14:textId="01939C21"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BAIXAS</w:t>
            </w:r>
          </w:p>
        </w:tc>
        <w:tc>
          <w:tcPr>
            <w:tcW w:w="775" w:type="pct"/>
            <w:tcBorders>
              <w:top w:val="nil"/>
              <w:left w:val="nil"/>
              <w:bottom w:val="single" w:sz="4" w:space="0" w:color="auto"/>
              <w:right w:val="nil"/>
            </w:tcBorders>
            <w:shd w:val="clear" w:color="auto" w:fill="auto"/>
            <w:vAlign w:val="bottom"/>
            <w:hideMark/>
          </w:tcPr>
          <w:p w14:paraId="397F75B2" w14:textId="538BF5BF" w:rsidR="003830E9" w:rsidRPr="008D21F0" w:rsidRDefault="003830E9"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SALDO EM 3</w:t>
            </w:r>
            <w:r w:rsidR="00AC0E93">
              <w:rPr>
                <w:rFonts w:ascii="Calibri" w:hAnsi="Calibri" w:cs="Calibri"/>
                <w:b/>
                <w:bCs/>
                <w:color w:val="000000"/>
                <w:sz w:val="16"/>
                <w:szCs w:val="16"/>
              </w:rPr>
              <w:t>0</w:t>
            </w:r>
            <w:r w:rsidRPr="008D21F0">
              <w:rPr>
                <w:rFonts w:ascii="Calibri" w:hAnsi="Calibri" w:cs="Calibri"/>
                <w:b/>
                <w:bCs/>
                <w:color w:val="000000"/>
                <w:sz w:val="16"/>
                <w:szCs w:val="16"/>
              </w:rPr>
              <w:t>/</w:t>
            </w:r>
            <w:r w:rsidR="0029463C">
              <w:rPr>
                <w:rFonts w:ascii="Calibri" w:hAnsi="Calibri" w:cs="Calibri"/>
                <w:b/>
                <w:bCs/>
                <w:color w:val="000000"/>
                <w:sz w:val="16"/>
                <w:szCs w:val="16"/>
              </w:rPr>
              <w:t>0</w:t>
            </w:r>
            <w:r w:rsidR="00A71BE0">
              <w:rPr>
                <w:rFonts w:ascii="Calibri" w:hAnsi="Calibri" w:cs="Calibri"/>
                <w:b/>
                <w:bCs/>
                <w:color w:val="000000"/>
                <w:sz w:val="16"/>
                <w:szCs w:val="16"/>
              </w:rPr>
              <w:t>9</w:t>
            </w:r>
            <w:r w:rsidRPr="008D21F0">
              <w:rPr>
                <w:rFonts w:ascii="Calibri" w:hAnsi="Calibri" w:cs="Calibri"/>
                <w:b/>
                <w:bCs/>
                <w:color w:val="000000"/>
                <w:sz w:val="16"/>
                <w:szCs w:val="16"/>
              </w:rPr>
              <w:t>/202</w:t>
            </w:r>
            <w:r w:rsidR="0029463C">
              <w:rPr>
                <w:rFonts w:ascii="Calibri" w:hAnsi="Calibri" w:cs="Calibri"/>
                <w:b/>
                <w:bCs/>
                <w:color w:val="000000"/>
                <w:sz w:val="16"/>
                <w:szCs w:val="16"/>
              </w:rPr>
              <w:t>2</w:t>
            </w:r>
          </w:p>
        </w:tc>
      </w:tr>
      <w:tr w:rsidR="002924F8" w:rsidRPr="008D21F0" w14:paraId="0598F0D0" w14:textId="77777777" w:rsidTr="00987B82">
        <w:trPr>
          <w:trHeight w:hRule="exact" w:val="227"/>
          <w:jc w:val="center"/>
        </w:trPr>
        <w:tc>
          <w:tcPr>
            <w:tcW w:w="1478" w:type="pct"/>
            <w:tcBorders>
              <w:top w:val="nil"/>
              <w:left w:val="nil"/>
              <w:bottom w:val="nil"/>
              <w:right w:val="nil"/>
            </w:tcBorders>
            <w:shd w:val="clear" w:color="auto" w:fill="auto"/>
            <w:noWrap/>
            <w:vAlign w:val="bottom"/>
            <w:hideMark/>
          </w:tcPr>
          <w:p w14:paraId="78DAF650" w14:textId="69F0C8DF" w:rsidR="002924F8" w:rsidRPr="008D21F0" w:rsidRDefault="002924F8" w:rsidP="00937ED9">
            <w:pPr>
              <w:spacing w:after="120"/>
              <w:rPr>
                <w:rFonts w:ascii="Calibri" w:hAnsi="Calibri" w:cs="Calibri"/>
                <w:color w:val="000000"/>
                <w:sz w:val="16"/>
                <w:szCs w:val="16"/>
              </w:rPr>
            </w:pPr>
            <w:r w:rsidRPr="008D21F0">
              <w:rPr>
                <w:rFonts w:ascii="Calibri" w:hAnsi="Calibri" w:cs="Calibri"/>
                <w:color w:val="000000"/>
                <w:sz w:val="16"/>
                <w:szCs w:val="16"/>
              </w:rPr>
              <w:t>Terrenos – FICO</w:t>
            </w:r>
          </w:p>
        </w:tc>
        <w:tc>
          <w:tcPr>
            <w:tcW w:w="620" w:type="pct"/>
            <w:tcBorders>
              <w:top w:val="nil"/>
              <w:left w:val="nil"/>
              <w:bottom w:val="nil"/>
              <w:right w:val="nil"/>
            </w:tcBorders>
            <w:shd w:val="clear" w:color="auto" w:fill="auto"/>
            <w:noWrap/>
            <w:vAlign w:val="bottom"/>
            <w:hideMark/>
          </w:tcPr>
          <w:p w14:paraId="0328416B" w14:textId="5AF5EADB" w:rsidR="002924F8" w:rsidRPr="008D21F0" w:rsidRDefault="0029463C" w:rsidP="00937ED9">
            <w:pPr>
              <w:spacing w:after="120"/>
              <w:jc w:val="right"/>
              <w:rPr>
                <w:rFonts w:ascii="Calibri" w:hAnsi="Calibri" w:cs="Calibri"/>
                <w:color w:val="000000"/>
                <w:sz w:val="16"/>
                <w:szCs w:val="16"/>
              </w:rPr>
            </w:pPr>
            <w:r w:rsidRPr="008D21F0">
              <w:rPr>
                <w:rFonts w:ascii="Calibri" w:hAnsi="Calibri" w:cs="Calibri"/>
                <w:color w:val="000000"/>
                <w:sz w:val="16"/>
                <w:szCs w:val="16"/>
              </w:rPr>
              <w:t>500.247</w:t>
            </w:r>
          </w:p>
        </w:tc>
        <w:tc>
          <w:tcPr>
            <w:tcW w:w="1089" w:type="pct"/>
            <w:tcBorders>
              <w:top w:val="nil"/>
              <w:left w:val="nil"/>
              <w:bottom w:val="nil"/>
              <w:right w:val="nil"/>
            </w:tcBorders>
            <w:shd w:val="clear" w:color="auto" w:fill="auto"/>
            <w:noWrap/>
            <w:vAlign w:val="bottom"/>
            <w:hideMark/>
          </w:tcPr>
          <w:p w14:paraId="3A625E25" w14:textId="5D038ED9" w:rsidR="002924F8" w:rsidRPr="008D21F0" w:rsidRDefault="00A71BE0" w:rsidP="00937ED9">
            <w:pPr>
              <w:spacing w:after="120"/>
              <w:jc w:val="right"/>
              <w:rPr>
                <w:rFonts w:ascii="Calibri" w:hAnsi="Calibri" w:cs="Calibri"/>
                <w:color w:val="000000"/>
                <w:sz w:val="16"/>
                <w:szCs w:val="16"/>
              </w:rPr>
            </w:pPr>
            <w:r>
              <w:rPr>
                <w:rFonts w:ascii="Calibri" w:hAnsi="Calibri" w:cs="Calibri"/>
                <w:color w:val="000000"/>
                <w:sz w:val="16"/>
                <w:szCs w:val="16"/>
              </w:rPr>
              <w:t>7.333.686</w:t>
            </w:r>
          </w:p>
        </w:tc>
        <w:tc>
          <w:tcPr>
            <w:tcW w:w="1038" w:type="pct"/>
            <w:tcBorders>
              <w:top w:val="nil"/>
              <w:left w:val="nil"/>
              <w:bottom w:val="nil"/>
              <w:right w:val="nil"/>
            </w:tcBorders>
            <w:shd w:val="clear" w:color="auto" w:fill="auto"/>
            <w:noWrap/>
            <w:vAlign w:val="bottom"/>
            <w:hideMark/>
          </w:tcPr>
          <w:p w14:paraId="4104F8C2" w14:textId="77777777"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775" w:type="pct"/>
            <w:tcBorders>
              <w:top w:val="nil"/>
              <w:left w:val="nil"/>
              <w:bottom w:val="nil"/>
              <w:right w:val="nil"/>
            </w:tcBorders>
            <w:shd w:val="clear" w:color="auto" w:fill="auto"/>
            <w:noWrap/>
            <w:vAlign w:val="bottom"/>
            <w:hideMark/>
          </w:tcPr>
          <w:p w14:paraId="76C8079C" w14:textId="07DD7584" w:rsidR="002924F8" w:rsidRPr="008D21F0" w:rsidRDefault="00A71BE0" w:rsidP="00937ED9">
            <w:pPr>
              <w:spacing w:after="120"/>
              <w:jc w:val="right"/>
              <w:rPr>
                <w:rFonts w:ascii="Calibri" w:hAnsi="Calibri" w:cs="Calibri"/>
                <w:color w:val="000000"/>
                <w:sz w:val="16"/>
                <w:szCs w:val="16"/>
              </w:rPr>
            </w:pPr>
            <w:r>
              <w:rPr>
                <w:rFonts w:ascii="Calibri" w:hAnsi="Calibri" w:cs="Calibri"/>
                <w:color w:val="000000"/>
                <w:sz w:val="16"/>
                <w:szCs w:val="16"/>
              </w:rPr>
              <w:t>7.833.933</w:t>
            </w:r>
          </w:p>
        </w:tc>
      </w:tr>
      <w:tr w:rsidR="002924F8" w:rsidRPr="008D21F0" w14:paraId="20807797" w14:textId="77777777" w:rsidTr="00987B82">
        <w:trPr>
          <w:trHeight w:hRule="exact" w:val="227"/>
          <w:jc w:val="center"/>
        </w:trPr>
        <w:tc>
          <w:tcPr>
            <w:tcW w:w="1478" w:type="pct"/>
            <w:tcBorders>
              <w:top w:val="nil"/>
              <w:left w:val="nil"/>
              <w:bottom w:val="nil"/>
              <w:right w:val="nil"/>
            </w:tcBorders>
            <w:shd w:val="clear" w:color="auto" w:fill="auto"/>
            <w:noWrap/>
            <w:vAlign w:val="bottom"/>
            <w:hideMark/>
          </w:tcPr>
          <w:p w14:paraId="575B21EB" w14:textId="2FB9E10C" w:rsidR="002924F8" w:rsidRPr="008D21F0" w:rsidRDefault="002924F8" w:rsidP="00937ED9">
            <w:pPr>
              <w:spacing w:after="120"/>
              <w:rPr>
                <w:rFonts w:ascii="Calibri" w:hAnsi="Calibri" w:cs="Calibri"/>
                <w:color w:val="000000"/>
                <w:sz w:val="16"/>
                <w:szCs w:val="16"/>
              </w:rPr>
            </w:pPr>
            <w:r w:rsidRPr="008D21F0">
              <w:rPr>
                <w:rFonts w:ascii="Calibri" w:hAnsi="Calibri" w:cs="Calibri"/>
                <w:color w:val="000000"/>
                <w:sz w:val="16"/>
                <w:szCs w:val="16"/>
              </w:rPr>
              <w:t>Obras em Andamento - FICO</w:t>
            </w:r>
          </w:p>
        </w:tc>
        <w:tc>
          <w:tcPr>
            <w:tcW w:w="620" w:type="pct"/>
            <w:tcBorders>
              <w:top w:val="nil"/>
              <w:left w:val="nil"/>
              <w:bottom w:val="nil"/>
              <w:right w:val="nil"/>
            </w:tcBorders>
            <w:shd w:val="clear" w:color="auto" w:fill="auto"/>
            <w:noWrap/>
            <w:vAlign w:val="bottom"/>
            <w:hideMark/>
          </w:tcPr>
          <w:p w14:paraId="5E3123B7" w14:textId="6C6B356A" w:rsidR="002924F8" w:rsidRPr="008D21F0" w:rsidRDefault="0029463C" w:rsidP="00937ED9">
            <w:pPr>
              <w:spacing w:after="120"/>
              <w:jc w:val="right"/>
              <w:rPr>
                <w:rFonts w:ascii="Calibri" w:hAnsi="Calibri" w:cs="Calibri"/>
                <w:color w:val="000000"/>
                <w:sz w:val="16"/>
                <w:szCs w:val="16"/>
              </w:rPr>
            </w:pPr>
            <w:r w:rsidRPr="008D21F0">
              <w:rPr>
                <w:rFonts w:ascii="Calibri" w:hAnsi="Calibri" w:cs="Calibri"/>
                <w:color w:val="000000"/>
                <w:sz w:val="16"/>
                <w:szCs w:val="16"/>
              </w:rPr>
              <w:t>5.398.692</w:t>
            </w:r>
          </w:p>
        </w:tc>
        <w:tc>
          <w:tcPr>
            <w:tcW w:w="1089" w:type="pct"/>
            <w:tcBorders>
              <w:top w:val="nil"/>
              <w:left w:val="nil"/>
              <w:bottom w:val="nil"/>
              <w:right w:val="nil"/>
            </w:tcBorders>
            <w:shd w:val="clear" w:color="auto" w:fill="auto"/>
            <w:noWrap/>
            <w:vAlign w:val="bottom"/>
            <w:hideMark/>
          </w:tcPr>
          <w:p w14:paraId="1E33FA2D" w14:textId="431865AD" w:rsidR="002924F8" w:rsidRPr="008D21F0" w:rsidRDefault="00FE5818" w:rsidP="00937ED9">
            <w:pPr>
              <w:spacing w:after="120"/>
              <w:jc w:val="right"/>
              <w:rPr>
                <w:rFonts w:ascii="Calibri" w:hAnsi="Calibri" w:cs="Calibri"/>
                <w:color w:val="000000"/>
                <w:sz w:val="16"/>
                <w:szCs w:val="16"/>
              </w:rPr>
            </w:pPr>
            <w:r>
              <w:rPr>
                <w:rFonts w:ascii="Calibri" w:hAnsi="Calibri" w:cs="Calibri"/>
                <w:color w:val="000000"/>
                <w:sz w:val="16"/>
                <w:szCs w:val="16"/>
              </w:rPr>
              <w:t>92.166.474</w:t>
            </w:r>
          </w:p>
        </w:tc>
        <w:tc>
          <w:tcPr>
            <w:tcW w:w="1038" w:type="pct"/>
            <w:tcBorders>
              <w:top w:val="nil"/>
              <w:left w:val="nil"/>
              <w:bottom w:val="nil"/>
              <w:right w:val="nil"/>
            </w:tcBorders>
            <w:shd w:val="clear" w:color="auto" w:fill="auto"/>
            <w:noWrap/>
            <w:vAlign w:val="bottom"/>
            <w:hideMark/>
          </w:tcPr>
          <w:p w14:paraId="714C9CD9" w14:textId="77777777"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775" w:type="pct"/>
            <w:tcBorders>
              <w:top w:val="nil"/>
              <w:left w:val="nil"/>
              <w:bottom w:val="nil"/>
              <w:right w:val="nil"/>
            </w:tcBorders>
            <w:shd w:val="clear" w:color="auto" w:fill="auto"/>
            <w:noWrap/>
            <w:vAlign w:val="bottom"/>
            <w:hideMark/>
          </w:tcPr>
          <w:p w14:paraId="232A15B0" w14:textId="5BA36AA9" w:rsidR="002924F8" w:rsidRPr="008D21F0" w:rsidRDefault="00FE5818" w:rsidP="00937ED9">
            <w:pPr>
              <w:spacing w:after="120"/>
              <w:jc w:val="right"/>
              <w:rPr>
                <w:rFonts w:ascii="Calibri" w:hAnsi="Calibri" w:cs="Calibri"/>
                <w:color w:val="000000"/>
                <w:sz w:val="16"/>
                <w:szCs w:val="16"/>
              </w:rPr>
            </w:pPr>
            <w:r>
              <w:rPr>
                <w:rFonts w:ascii="Calibri" w:hAnsi="Calibri" w:cs="Calibri"/>
                <w:color w:val="000000"/>
                <w:sz w:val="16"/>
                <w:szCs w:val="16"/>
              </w:rPr>
              <w:t>97.565.166</w:t>
            </w:r>
          </w:p>
        </w:tc>
      </w:tr>
      <w:tr w:rsidR="002924F8" w:rsidRPr="008D21F0" w14:paraId="4556A43D" w14:textId="77777777" w:rsidTr="00987B82">
        <w:trPr>
          <w:trHeight w:hRule="exact" w:val="227"/>
          <w:jc w:val="center"/>
        </w:trPr>
        <w:tc>
          <w:tcPr>
            <w:tcW w:w="1478" w:type="pct"/>
            <w:tcBorders>
              <w:top w:val="nil"/>
              <w:left w:val="nil"/>
              <w:bottom w:val="nil"/>
              <w:right w:val="nil"/>
            </w:tcBorders>
            <w:shd w:val="clear" w:color="auto" w:fill="auto"/>
            <w:noWrap/>
            <w:vAlign w:val="bottom"/>
            <w:hideMark/>
          </w:tcPr>
          <w:p w14:paraId="7B78B28B" w14:textId="08502948" w:rsidR="002924F8" w:rsidRPr="008D21F0" w:rsidRDefault="002924F8" w:rsidP="00937ED9">
            <w:pPr>
              <w:spacing w:after="120"/>
              <w:rPr>
                <w:rFonts w:ascii="Calibri" w:hAnsi="Calibri" w:cs="Calibri"/>
                <w:color w:val="000000"/>
                <w:sz w:val="16"/>
                <w:szCs w:val="16"/>
              </w:rPr>
            </w:pPr>
            <w:r w:rsidRPr="008D21F0">
              <w:rPr>
                <w:rFonts w:ascii="Calibri" w:hAnsi="Calibri" w:cs="Calibri"/>
                <w:color w:val="000000"/>
                <w:sz w:val="16"/>
                <w:szCs w:val="16"/>
              </w:rPr>
              <w:t>Obras em Andamento - FIOL</w:t>
            </w:r>
          </w:p>
        </w:tc>
        <w:tc>
          <w:tcPr>
            <w:tcW w:w="620" w:type="pct"/>
            <w:tcBorders>
              <w:top w:val="nil"/>
              <w:left w:val="nil"/>
              <w:bottom w:val="nil"/>
              <w:right w:val="nil"/>
            </w:tcBorders>
            <w:shd w:val="clear" w:color="auto" w:fill="auto"/>
            <w:noWrap/>
            <w:vAlign w:val="bottom"/>
            <w:hideMark/>
          </w:tcPr>
          <w:p w14:paraId="606684C4" w14:textId="393D40F0" w:rsidR="002924F8" w:rsidRPr="008D21F0" w:rsidRDefault="0029463C" w:rsidP="00937ED9">
            <w:pPr>
              <w:spacing w:after="120"/>
              <w:jc w:val="right"/>
              <w:rPr>
                <w:rFonts w:ascii="Calibri" w:hAnsi="Calibri" w:cs="Calibri"/>
                <w:color w:val="000000"/>
                <w:sz w:val="16"/>
                <w:szCs w:val="16"/>
              </w:rPr>
            </w:pPr>
            <w:r w:rsidRPr="008D21F0">
              <w:rPr>
                <w:rFonts w:ascii="Calibri" w:hAnsi="Calibri" w:cs="Calibri"/>
                <w:color w:val="000000"/>
                <w:sz w:val="16"/>
                <w:szCs w:val="16"/>
              </w:rPr>
              <w:t>258.532.118</w:t>
            </w:r>
          </w:p>
        </w:tc>
        <w:tc>
          <w:tcPr>
            <w:tcW w:w="1089" w:type="pct"/>
            <w:tcBorders>
              <w:top w:val="nil"/>
              <w:left w:val="nil"/>
              <w:bottom w:val="nil"/>
              <w:right w:val="nil"/>
            </w:tcBorders>
            <w:shd w:val="clear" w:color="auto" w:fill="auto"/>
            <w:noWrap/>
            <w:vAlign w:val="bottom"/>
            <w:hideMark/>
          </w:tcPr>
          <w:p w14:paraId="58004039" w14:textId="18A03659" w:rsidR="002924F8" w:rsidRPr="008D21F0" w:rsidRDefault="00FE5818" w:rsidP="00937ED9">
            <w:pPr>
              <w:spacing w:after="120"/>
              <w:jc w:val="right"/>
              <w:rPr>
                <w:rFonts w:ascii="Calibri" w:hAnsi="Calibri" w:cs="Calibri"/>
                <w:color w:val="000000"/>
                <w:sz w:val="16"/>
                <w:szCs w:val="16"/>
              </w:rPr>
            </w:pPr>
            <w:r>
              <w:rPr>
                <w:rFonts w:ascii="Calibri" w:hAnsi="Calibri" w:cs="Calibri"/>
                <w:color w:val="000000"/>
                <w:sz w:val="16"/>
                <w:szCs w:val="16"/>
              </w:rPr>
              <w:t>154.087.689</w:t>
            </w:r>
          </w:p>
        </w:tc>
        <w:tc>
          <w:tcPr>
            <w:tcW w:w="1038" w:type="pct"/>
            <w:tcBorders>
              <w:top w:val="nil"/>
              <w:left w:val="nil"/>
              <w:bottom w:val="nil"/>
              <w:right w:val="nil"/>
            </w:tcBorders>
            <w:shd w:val="clear" w:color="auto" w:fill="auto"/>
            <w:noWrap/>
            <w:vAlign w:val="bottom"/>
            <w:hideMark/>
          </w:tcPr>
          <w:p w14:paraId="27D7ED86" w14:textId="77777777" w:rsidR="002924F8" w:rsidRPr="008D21F0" w:rsidRDefault="002924F8" w:rsidP="00937ED9">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c>
          <w:tcPr>
            <w:tcW w:w="775" w:type="pct"/>
            <w:tcBorders>
              <w:top w:val="nil"/>
              <w:left w:val="nil"/>
              <w:bottom w:val="nil"/>
              <w:right w:val="nil"/>
            </w:tcBorders>
            <w:shd w:val="clear" w:color="auto" w:fill="auto"/>
            <w:noWrap/>
            <w:vAlign w:val="bottom"/>
            <w:hideMark/>
          </w:tcPr>
          <w:p w14:paraId="21BFE8BA" w14:textId="300CBB68" w:rsidR="002924F8" w:rsidRPr="008D21F0" w:rsidRDefault="00FE5818" w:rsidP="00937ED9">
            <w:pPr>
              <w:spacing w:after="120"/>
              <w:jc w:val="right"/>
              <w:rPr>
                <w:rFonts w:ascii="Calibri" w:hAnsi="Calibri" w:cs="Calibri"/>
                <w:color w:val="000000"/>
                <w:sz w:val="16"/>
                <w:szCs w:val="16"/>
              </w:rPr>
            </w:pPr>
            <w:r>
              <w:rPr>
                <w:rFonts w:ascii="Calibri" w:hAnsi="Calibri" w:cs="Calibri"/>
                <w:color w:val="000000"/>
                <w:sz w:val="16"/>
                <w:szCs w:val="16"/>
              </w:rPr>
              <w:t>412.619.807</w:t>
            </w:r>
          </w:p>
        </w:tc>
      </w:tr>
      <w:tr w:rsidR="002924F8" w:rsidRPr="008D21F0" w14:paraId="1CB5711B" w14:textId="77777777" w:rsidTr="00987B82">
        <w:trPr>
          <w:trHeight w:hRule="exact" w:val="227"/>
          <w:jc w:val="center"/>
        </w:trPr>
        <w:tc>
          <w:tcPr>
            <w:tcW w:w="1478" w:type="pct"/>
            <w:tcBorders>
              <w:top w:val="single" w:sz="4" w:space="0" w:color="auto"/>
              <w:left w:val="nil"/>
              <w:bottom w:val="single" w:sz="4" w:space="0" w:color="auto"/>
              <w:right w:val="nil"/>
            </w:tcBorders>
            <w:shd w:val="clear" w:color="auto" w:fill="auto"/>
            <w:noWrap/>
            <w:vAlign w:val="bottom"/>
            <w:hideMark/>
          </w:tcPr>
          <w:p w14:paraId="27E785DD" w14:textId="601F6074" w:rsidR="002924F8" w:rsidRPr="008D21F0" w:rsidRDefault="002924F8" w:rsidP="00937ED9">
            <w:pPr>
              <w:spacing w:after="120"/>
              <w:rPr>
                <w:rFonts w:ascii="Calibri" w:hAnsi="Calibri" w:cs="Calibri"/>
                <w:b/>
                <w:bCs/>
                <w:color w:val="000000"/>
                <w:sz w:val="16"/>
                <w:szCs w:val="16"/>
              </w:rPr>
            </w:pPr>
            <w:r w:rsidRPr="008D21F0">
              <w:rPr>
                <w:rFonts w:ascii="Calibri" w:hAnsi="Calibri" w:cs="Calibri"/>
                <w:b/>
                <w:bCs/>
                <w:color w:val="000000"/>
                <w:sz w:val="16"/>
                <w:szCs w:val="16"/>
              </w:rPr>
              <w:t>Total Investimento Cruzado</w:t>
            </w:r>
          </w:p>
        </w:tc>
        <w:tc>
          <w:tcPr>
            <w:tcW w:w="620" w:type="pct"/>
            <w:tcBorders>
              <w:top w:val="single" w:sz="4" w:space="0" w:color="auto"/>
              <w:left w:val="nil"/>
              <w:bottom w:val="single" w:sz="4" w:space="0" w:color="auto"/>
              <w:right w:val="nil"/>
            </w:tcBorders>
            <w:shd w:val="clear" w:color="auto" w:fill="auto"/>
            <w:noWrap/>
            <w:vAlign w:val="bottom"/>
            <w:hideMark/>
          </w:tcPr>
          <w:p w14:paraId="7807309F" w14:textId="2CC4835B" w:rsidR="002924F8" w:rsidRPr="008D21F0" w:rsidRDefault="0029463C"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264.431.057</w:t>
            </w:r>
          </w:p>
        </w:tc>
        <w:tc>
          <w:tcPr>
            <w:tcW w:w="1089" w:type="pct"/>
            <w:tcBorders>
              <w:top w:val="single" w:sz="4" w:space="0" w:color="auto"/>
              <w:left w:val="nil"/>
              <w:bottom w:val="single" w:sz="4" w:space="0" w:color="auto"/>
              <w:right w:val="nil"/>
            </w:tcBorders>
            <w:shd w:val="clear" w:color="auto" w:fill="auto"/>
            <w:noWrap/>
            <w:vAlign w:val="bottom"/>
            <w:hideMark/>
          </w:tcPr>
          <w:p w14:paraId="46E12C96" w14:textId="569AF08F" w:rsidR="002924F8" w:rsidRPr="008D21F0" w:rsidRDefault="00FE5818" w:rsidP="00937ED9">
            <w:pPr>
              <w:spacing w:after="120"/>
              <w:jc w:val="right"/>
              <w:rPr>
                <w:rFonts w:ascii="Calibri" w:hAnsi="Calibri" w:cs="Calibri"/>
                <w:b/>
                <w:bCs/>
                <w:color w:val="000000"/>
                <w:sz w:val="16"/>
                <w:szCs w:val="16"/>
              </w:rPr>
            </w:pPr>
            <w:r>
              <w:rPr>
                <w:rFonts w:ascii="Calibri" w:hAnsi="Calibri" w:cs="Calibri"/>
                <w:b/>
                <w:bCs/>
                <w:color w:val="000000"/>
                <w:sz w:val="16"/>
                <w:szCs w:val="16"/>
              </w:rPr>
              <w:t>253.587.849</w:t>
            </w:r>
          </w:p>
        </w:tc>
        <w:tc>
          <w:tcPr>
            <w:tcW w:w="1038" w:type="pct"/>
            <w:tcBorders>
              <w:top w:val="single" w:sz="4" w:space="0" w:color="auto"/>
              <w:left w:val="nil"/>
              <w:bottom w:val="single" w:sz="4" w:space="0" w:color="auto"/>
              <w:right w:val="nil"/>
            </w:tcBorders>
            <w:shd w:val="clear" w:color="auto" w:fill="auto"/>
            <w:noWrap/>
            <w:vAlign w:val="bottom"/>
            <w:hideMark/>
          </w:tcPr>
          <w:p w14:paraId="6E5B16CA" w14:textId="77777777" w:rsidR="002924F8" w:rsidRPr="008D21F0" w:rsidRDefault="002924F8" w:rsidP="00937ED9">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0</w:t>
            </w:r>
          </w:p>
        </w:tc>
        <w:tc>
          <w:tcPr>
            <w:tcW w:w="775" w:type="pct"/>
            <w:tcBorders>
              <w:top w:val="single" w:sz="4" w:space="0" w:color="auto"/>
              <w:left w:val="nil"/>
              <w:bottom w:val="single" w:sz="4" w:space="0" w:color="auto"/>
              <w:right w:val="nil"/>
            </w:tcBorders>
            <w:shd w:val="clear" w:color="auto" w:fill="auto"/>
            <w:noWrap/>
            <w:vAlign w:val="bottom"/>
            <w:hideMark/>
          </w:tcPr>
          <w:p w14:paraId="0962000D" w14:textId="77777777" w:rsidR="002924F8" w:rsidRDefault="00FE5818" w:rsidP="00937ED9">
            <w:pPr>
              <w:spacing w:after="120"/>
              <w:jc w:val="right"/>
              <w:rPr>
                <w:rFonts w:ascii="Calibri" w:hAnsi="Calibri" w:cs="Calibri"/>
                <w:b/>
                <w:bCs/>
                <w:color w:val="000000"/>
                <w:sz w:val="16"/>
                <w:szCs w:val="16"/>
              </w:rPr>
            </w:pPr>
            <w:r>
              <w:rPr>
                <w:rFonts w:ascii="Calibri" w:hAnsi="Calibri" w:cs="Calibri"/>
                <w:b/>
                <w:bCs/>
                <w:color w:val="000000"/>
                <w:sz w:val="16"/>
                <w:szCs w:val="16"/>
              </w:rPr>
              <w:t>518.018.906</w:t>
            </w:r>
          </w:p>
          <w:p w14:paraId="3786320E" w14:textId="7FF23180" w:rsidR="00FE5818" w:rsidRPr="008D21F0" w:rsidRDefault="00FE5818" w:rsidP="00937ED9">
            <w:pPr>
              <w:spacing w:after="120"/>
              <w:jc w:val="right"/>
              <w:rPr>
                <w:rFonts w:ascii="Calibri" w:hAnsi="Calibri" w:cs="Calibri"/>
                <w:b/>
                <w:bCs/>
                <w:color w:val="000000"/>
                <w:sz w:val="16"/>
                <w:szCs w:val="16"/>
              </w:rPr>
            </w:pPr>
          </w:p>
        </w:tc>
      </w:tr>
    </w:tbl>
    <w:p w14:paraId="401119EE" w14:textId="6D2595C6" w:rsidR="00B77502" w:rsidRPr="00A16F6B" w:rsidRDefault="00B77502" w:rsidP="000B3A75">
      <w:pPr>
        <w:pStyle w:val="NormalWeb"/>
        <w:spacing w:before="120" w:beforeAutospacing="0" w:after="120" w:afterAutospacing="0"/>
        <w:jc w:val="both"/>
        <w:rPr>
          <w:rFonts w:ascii="Calibri" w:hAnsi="Calibri" w:cs="Calibri"/>
          <w:bCs/>
          <w:color w:val="000000"/>
          <w:sz w:val="22"/>
          <w:szCs w:val="22"/>
        </w:rPr>
      </w:pPr>
      <w:r w:rsidRPr="00A16F6B">
        <w:rPr>
          <w:rFonts w:ascii="Calibri" w:hAnsi="Calibri" w:cs="Calibri"/>
          <w:bCs/>
          <w:color w:val="000000"/>
          <w:sz w:val="22"/>
          <w:szCs w:val="22"/>
        </w:rPr>
        <w:t>Os custos incorridos sobre a FIOL</w:t>
      </w:r>
      <w:r w:rsidR="00A16F6B">
        <w:rPr>
          <w:rFonts w:ascii="Calibri" w:hAnsi="Calibri" w:cs="Calibri"/>
          <w:bCs/>
          <w:color w:val="000000"/>
          <w:sz w:val="22"/>
          <w:szCs w:val="22"/>
        </w:rPr>
        <w:t>,</w:t>
      </w:r>
      <w:r w:rsidRPr="00A16F6B">
        <w:rPr>
          <w:rFonts w:ascii="Calibri" w:hAnsi="Calibri" w:cs="Calibri"/>
          <w:bCs/>
          <w:color w:val="000000"/>
          <w:sz w:val="22"/>
          <w:szCs w:val="22"/>
        </w:rPr>
        <w:t xml:space="preserve"> no âmbito do Investimento Cruzado</w:t>
      </w:r>
      <w:r w:rsidR="00A16F6B">
        <w:rPr>
          <w:rFonts w:ascii="Calibri" w:hAnsi="Calibri" w:cs="Calibri"/>
          <w:bCs/>
          <w:color w:val="000000"/>
          <w:sz w:val="22"/>
          <w:szCs w:val="22"/>
        </w:rPr>
        <w:t>,</w:t>
      </w:r>
      <w:r w:rsidRPr="00A16F6B">
        <w:rPr>
          <w:rFonts w:ascii="Calibri" w:hAnsi="Calibri" w:cs="Calibri"/>
          <w:bCs/>
          <w:color w:val="000000"/>
          <w:sz w:val="22"/>
          <w:szCs w:val="22"/>
        </w:rPr>
        <w:t xml:space="preserve"> até </w:t>
      </w:r>
      <w:r w:rsidR="003D50C0">
        <w:rPr>
          <w:rFonts w:ascii="Calibri" w:hAnsi="Calibri" w:cs="Calibri"/>
          <w:bCs/>
          <w:color w:val="000000"/>
          <w:sz w:val="22"/>
          <w:szCs w:val="22"/>
        </w:rPr>
        <w:t>30</w:t>
      </w:r>
      <w:r w:rsidRPr="00A16F6B">
        <w:rPr>
          <w:rFonts w:ascii="Calibri" w:hAnsi="Calibri" w:cs="Calibri"/>
          <w:bCs/>
          <w:color w:val="000000"/>
          <w:sz w:val="22"/>
          <w:szCs w:val="22"/>
        </w:rPr>
        <w:t xml:space="preserve"> de </w:t>
      </w:r>
      <w:r w:rsidR="00FE5818">
        <w:rPr>
          <w:rFonts w:ascii="Calibri" w:hAnsi="Calibri" w:cs="Calibri"/>
          <w:bCs/>
          <w:color w:val="000000"/>
          <w:sz w:val="22"/>
          <w:szCs w:val="22"/>
        </w:rPr>
        <w:t>setembr</w:t>
      </w:r>
      <w:r w:rsidRPr="00A16F6B">
        <w:rPr>
          <w:rFonts w:ascii="Calibri" w:hAnsi="Calibri" w:cs="Calibri"/>
          <w:bCs/>
          <w:color w:val="000000"/>
          <w:sz w:val="22"/>
          <w:szCs w:val="22"/>
        </w:rPr>
        <w:t>o de 202</w:t>
      </w:r>
      <w:r w:rsidR="00A16F6B" w:rsidRPr="00A16F6B">
        <w:rPr>
          <w:rFonts w:ascii="Calibri" w:hAnsi="Calibri" w:cs="Calibri"/>
          <w:bCs/>
          <w:color w:val="000000"/>
          <w:sz w:val="22"/>
          <w:szCs w:val="22"/>
        </w:rPr>
        <w:t>2</w:t>
      </w:r>
      <w:r w:rsidR="00A16F6B">
        <w:rPr>
          <w:rFonts w:ascii="Calibri" w:hAnsi="Calibri" w:cs="Calibri"/>
          <w:bCs/>
          <w:color w:val="000000"/>
          <w:sz w:val="22"/>
          <w:szCs w:val="22"/>
        </w:rPr>
        <w:t>,</w:t>
      </w:r>
      <w:r w:rsidRPr="00A16F6B">
        <w:rPr>
          <w:rFonts w:ascii="Calibri" w:hAnsi="Calibri" w:cs="Calibri"/>
          <w:bCs/>
          <w:color w:val="000000"/>
          <w:sz w:val="22"/>
          <w:szCs w:val="22"/>
        </w:rPr>
        <w:t xml:space="preserve"> </w:t>
      </w:r>
      <w:r w:rsidR="0085038B" w:rsidRPr="00A16F6B">
        <w:rPr>
          <w:rFonts w:ascii="Calibri" w:hAnsi="Calibri" w:cs="Calibri"/>
          <w:bCs/>
          <w:color w:val="000000"/>
          <w:sz w:val="22"/>
          <w:szCs w:val="22"/>
        </w:rPr>
        <w:t>somaram</w:t>
      </w:r>
      <w:r w:rsidRPr="00A16F6B">
        <w:rPr>
          <w:rFonts w:ascii="Calibri" w:hAnsi="Calibri" w:cs="Calibri"/>
          <w:bCs/>
          <w:color w:val="000000"/>
          <w:sz w:val="22"/>
          <w:szCs w:val="22"/>
        </w:rPr>
        <w:t xml:space="preserve"> R$ </w:t>
      </w:r>
      <w:r w:rsidR="00F06BD6">
        <w:rPr>
          <w:rFonts w:ascii="Calibri" w:hAnsi="Calibri" w:cs="Calibri"/>
          <w:bCs/>
          <w:color w:val="000000"/>
          <w:sz w:val="22"/>
          <w:szCs w:val="22"/>
        </w:rPr>
        <w:t>412</w:t>
      </w:r>
      <w:r w:rsidRPr="00A16F6B">
        <w:rPr>
          <w:rFonts w:ascii="Calibri" w:hAnsi="Calibri" w:cs="Calibri"/>
          <w:bCs/>
          <w:color w:val="000000"/>
          <w:sz w:val="22"/>
          <w:szCs w:val="22"/>
        </w:rPr>
        <w:t>,</w:t>
      </w:r>
      <w:r w:rsidR="00FE5818">
        <w:rPr>
          <w:rFonts w:ascii="Calibri" w:hAnsi="Calibri" w:cs="Calibri"/>
          <w:bCs/>
          <w:color w:val="000000"/>
          <w:sz w:val="22"/>
          <w:szCs w:val="22"/>
        </w:rPr>
        <w:t>62</w:t>
      </w:r>
      <w:r w:rsidRPr="00A16F6B">
        <w:rPr>
          <w:rFonts w:ascii="Calibri" w:hAnsi="Calibri" w:cs="Calibri"/>
          <w:bCs/>
          <w:color w:val="000000"/>
          <w:sz w:val="22"/>
          <w:szCs w:val="22"/>
        </w:rPr>
        <w:t xml:space="preserve"> milhões, o que corresponde a </w:t>
      </w:r>
      <w:r w:rsidR="00F06BD6">
        <w:rPr>
          <w:rFonts w:ascii="Calibri" w:hAnsi="Calibri" w:cs="Calibri"/>
          <w:bCs/>
          <w:color w:val="000000"/>
          <w:sz w:val="22"/>
          <w:szCs w:val="22"/>
        </w:rPr>
        <w:t>21</w:t>
      </w:r>
      <w:r w:rsidR="00A16F6B" w:rsidRPr="00A16F6B">
        <w:rPr>
          <w:rFonts w:ascii="Calibri" w:hAnsi="Calibri" w:cs="Calibri"/>
          <w:bCs/>
          <w:color w:val="000000"/>
          <w:sz w:val="22"/>
          <w:szCs w:val="22"/>
        </w:rPr>
        <w:t>,</w:t>
      </w:r>
      <w:r w:rsidR="00F06BD6">
        <w:rPr>
          <w:rFonts w:ascii="Calibri" w:hAnsi="Calibri" w:cs="Calibri"/>
          <w:bCs/>
          <w:color w:val="000000"/>
          <w:sz w:val="22"/>
          <w:szCs w:val="22"/>
        </w:rPr>
        <w:t>6</w:t>
      </w:r>
      <w:r w:rsidR="00A16F6B" w:rsidRPr="00A16F6B">
        <w:rPr>
          <w:rFonts w:ascii="Calibri" w:hAnsi="Calibri" w:cs="Calibri"/>
          <w:bCs/>
          <w:color w:val="000000"/>
          <w:sz w:val="22"/>
          <w:szCs w:val="22"/>
        </w:rPr>
        <w:t xml:space="preserve"> </w:t>
      </w:r>
      <w:r w:rsidRPr="00A16F6B">
        <w:rPr>
          <w:rFonts w:ascii="Calibri" w:hAnsi="Calibri" w:cs="Calibri"/>
          <w:bCs/>
          <w:color w:val="000000"/>
          <w:sz w:val="22"/>
          <w:szCs w:val="22"/>
        </w:rPr>
        <w:t xml:space="preserve">% </w:t>
      </w:r>
      <w:r w:rsidR="00DE40D1">
        <w:rPr>
          <w:rFonts w:ascii="Calibri" w:hAnsi="Calibri" w:cs="Calibri"/>
          <w:bCs/>
          <w:color w:val="000000"/>
          <w:sz w:val="22"/>
          <w:szCs w:val="22"/>
        </w:rPr>
        <w:t xml:space="preserve">acima </w:t>
      </w:r>
      <w:r w:rsidRPr="00A16F6B">
        <w:rPr>
          <w:rFonts w:ascii="Calibri" w:hAnsi="Calibri" w:cs="Calibri"/>
          <w:bCs/>
          <w:color w:val="000000"/>
          <w:sz w:val="22"/>
          <w:szCs w:val="22"/>
        </w:rPr>
        <w:t xml:space="preserve">do valor </w:t>
      </w:r>
      <w:r w:rsidR="0085038B" w:rsidRPr="00A16F6B">
        <w:rPr>
          <w:rFonts w:ascii="Calibri" w:hAnsi="Calibri" w:cs="Calibri"/>
          <w:bCs/>
          <w:color w:val="000000"/>
          <w:sz w:val="22"/>
          <w:szCs w:val="22"/>
        </w:rPr>
        <w:t>estimado</w:t>
      </w:r>
      <w:r w:rsidRPr="00A16F6B">
        <w:rPr>
          <w:rFonts w:ascii="Calibri" w:hAnsi="Calibri" w:cs="Calibri"/>
          <w:bCs/>
          <w:color w:val="000000"/>
          <w:sz w:val="22"/>
          <w:szCs w:val="22"/>
        </w:rPr>
        <w:t xml:space="preserve"> no Anexo 9 (</w:t>
      </w:r>
      <w:r w:rsidR="0085038B" w:rsidRPr="00A16F6B">
        <w:rPr>
          <w:rFonts w:ascii="Calibri" w:hAnsi="Calibri" w:cs="Calibri"/>
          <w:bCs/>
          <w:color w:val="000000"/>
          <w:sz w:val="22"/>
          <w:szCs w:val="22"/>
        </w:rPr>
        <w:t xml:space="preserve">R$ 339,4 milhões). </w:t>
      </w:r>
    </w:p>
    <w:p w14:paraId="45BFAA28" w14:textId="261689F6" w:rsidR="0085038B" w:rsidRDefault="0085038B" w:rsidP="000B3A75">
      <w:pPr>
        <w:pStyle w:val="NormalWeb"/>
        <w:spacing w:before="120" w:beforeAutospacing="0" w:after="120" w:afterAutospacing="0"/>
        <w:jc w:val="both"/>
        <w:rPr>
          <w:rFonts w:ascii="Calibri" w:hAnsi="Calibri" w:cs="Calibri"/>
          <w:bCs/>
          <w:color w:val="000000"/>
          <w:sz w:val="22"/>
          <w:szCs w:val="22"/>
        </w:rPr>
      </w:pPr>
      <w:r w:rsidRPr="00A16F6B">
        <w:rPr>
          <w:rFonts w:ascii="Calibri" w:hAnsi="Calibri" w:cs="Calibri"/>
          <w:bCs/>
          <w:color w:val="000000"/>
          <w:sz w:val="22"/>
          <w:szCs w:val="22"/>
        </w:rPr>
        <w:t>No projeto FICO foram investidos, no Investimento Cruzado</w:t>
      </w:r>
      <w:r w:rsidR="00A16F6B">
        <w:rPr>
          <w:rFonts w:ascii="Calibri" w:hAnsi="Calibri" w:cs="Calibri"/>
          <w:bCs/>
          <w:color w:val="000000"/>
          <w:sz w:val="22"/>
          <w:szCs w:val="22"/>
        </w:rPr>
        <w:t>,</w:t>
      </w:r>
      <w:r w:rsidR="00D226C7" w:rsidRPr="00A16F6B">
        <w:rPr>
          <w:rFonts w:ascii="Calibri" w:hAnsi="Calibri" w:cs="Calibri"/>
          <w:bCs/>
          <w:color w:val="000000"/>
          <w:sz w:val="22"/>
          <w:szCs w:val="22"/>
        </w:rPr>
        <w:t xml:space="preserve"> </w:t>
      </w:r>
      <w:r w:rsidR="00A16F6B" w:rsidRPr="00A16F6B">
        <w:rPr>
          <w:rFonts w:ascii="Calibri" w:hAnsi="Calibri" w:cs="Calibri"/>
          <w:bCs/>
          <w:color w:val="000000"/>
          <w:sz w:val="22"/>
          <w:szCs w:val="22"/>
        </w:rPr>
        <w:t>até 3</w:t>
      </w:r>
      <w:r w:rsidR="003D50C0">
        <w:rPr>
          <w:rFonts w:ascii="Calibri" w:hAnsi="Calibri" w:cs="Calibri"/>
          <w:bCs/>
          <w:color w:val="000000"/>
          <w:sz w:val="22"/>
          <w:szCs w:val="22"/>
        </w:rPr>
        <w:t>0</w:t>
      </w:r>
      <w:r w:rsidR="00A16F6B" w:rsidRPr="00A16F6B">
        <w:rPr>
          <w:rFonts w:ascii="Calibri" w:hAnsi="Calibri" w:cs="Calibri"/>
          <w:bCs/>
          <w:color w:val="000000"/>
          <w:sz w:val="22"/>
          <w:szCs w:val="22"/>
        </w:rPr>
        <w:t xml:space="preserve"> de </w:t>
      </w:r>
      <w:r w:rsidR="00FE5818">
        <w:rPr>
          <w:rFonts w:ascii="Calibri" w:hAnsi="Calibri" w:cs="Calibri"/>
          <w:bCs/>
          <w:color w:val="000000"/>
          <w:sz w:val="22"/>
          <w:szCs w:val="22"/>
        </w:rPr>
        <w:t>setembr</w:t>
      </w:r>
      <w:r w:rsidR="00A16F6B" w:rsidRPr="00A16F6B">
        <w:rPr>
          <w:rFonts w:ascii="Calibri" w:hAnsi="Calibri" w:cs="Calibri"/>
          <w:bCs/>
          <w:color w:val="000000"/>
          <w:sz w:val="22"/>
          <w:szCs w:val="22"/>
        </w:rPr>
        <w:t>o de 2022</w:t>
      </w:r>
      <w:r w:rsidRPr="00A16F6B">
        <w:rPr>
          <w:rFonts w:ascii="Calibri" w:hAnsi="Calibri" w:cs="Calibri"/>
          <w:bCs/>
          <w:color w:val="000000"/>
          <w:sz w:val="22"/>
          <w:szCs w:val="22"/>
        </w:rPr>
        <w:t xml:space="preserve">, R$ </w:t>
      </w:r>
      <w:r w:rsidR="00FE5818">
        <w:rPr>
          <w:rFonts w:ascii="Calibri" w:hAnsi="Calibri" w:cs="Calibri"/>
          <w:bCs/>
          <w:color w:val="000000"/>
          <w:sz w:val="22"/>
          <w:szCs w:val="22"/>
        </w:rPr>
        <w:t>10</w:t>
      </w:r>
      <w:r w:rsidR="003D50C0">
        <w:rPr>
          <w:rFonts w:ascii="Calibri" w:hAnsi="Calibri" w:cs="Calibri"/>
          <w:bCs/>
          <w:color w:val="000000"/>
          <w:sz w:val="22"/>
          <w:szCs w:val="22"/>
        </w:rPr>
        <w:t>5</w:t>
      </w:r>
      <w:r w:rsidRPr="00A16F6B">
        <w:rPr>
          <w:rFonts w:ascii="Calibri" w:hAnsi="Calibri" w:cs="Calibri"/>
          <w:bCs/>
          <w:color w:val="000000"/>
          <w:sz w:val="22"/>
          <w:szCs w:val="22"/>
        </w:rPr>
        <w:t>,</w:t>
      </w:r>
      <w:r w:rsidR="00FE5818">
        <w:rPr>
          <w:rFonts w:ascii="Calibri" w:hAnsi="Calibri" w:cs="Calibri"/>
          <w:bCs/>
          <w:color w:val="000000"/>
          <w:sz w:val="22"/>
          <w:szCs w:val="22"/>
        </w:rPr>
        <w:t>40</w:t>
      </w:r>
      <w:r w:rsidRPr="00A16F6B">
        <w:rPr>
          <w:rFonts w:ascii="Calibri" w:hAnsi="Calibri" w:cs="Calibri"/>
          <w:bCs/>
          <w:color w:val="000000"/>
          <w:sz w:val="22"/>
          <w:szCs w:val="22"/>
        </w:rPr>
        <w:t xml:space="preserve"> milhões, sendo R$ </w:t>
      </w:r>
      <w:r w:rsidR="00FE5818">
        <w:rPr>
          <w:rFonts w:ascii="Calibri" w:hAnsi="Calibri" w:cs="Calibri"/>
          <w:bCs/>
          <w:color w:val="000000"/>
          <w:sz w:val="22"/>
          <w:szCs w:val="22"/>
        </w:rPr>
        <w:t>7</w:t>
      </w:r>
      <w:r w:rsidR="00C514C3">
        <w:rPr>
          <w:rFonts w:ascii="Calibri" w:hAnsi="Calibri" w:cs="Calibri"/>
          <w:bCs/>
          <w:color w:val="000000"/>
          <w:sz w:val="22"/>
          <w:szCs w:val="22"/>
        </w:rPr>
        <w:t>,</w:t>
      </w:r>
      <w:r w:rsidR="003D50C0">
        <w:rPr>
          <w:rFonts w:ascii="Calibri" w:hAnsi="Calibri" w:cs="Calibri"/>
          <w:bCs/>
          <w:color w:val="000000"/>
          <w:sz w:val="22"/>
          <w:szCs w:val="22"/>
        </w:rPr>
        <w:t>8</w:t>
      </w:r>
      <w:r w:rsidR="00FE5818">
        <w:rPr>
          <w:rFonts w:ascii="Calibri" w:hAnsi="Calibri" w:cs="Calibri"/>
          <w:bCs/>
          <w:color w:val="000000"/>
          <w:sz w:val="22"/>
          <w:szCs w:val="22"/>
        </w:rPr>
        <w:t>3</w:t>
      </w:r>
      <w:r w:rsidRPr="00A16F6B">
        <w:rPr>
          <w:rFonts w:ascii="Calibri" w:hAnsi="Calibri" w:cs="Calibri"/>
          <w:bCs/>
          <w:color w:val="000000"/>
          <w:sz w:val="22"/>
          <w:szCs w:val="22"/>
        </w:rPr>
        <w:t xml:space="preserve"> mil</w:t>
      </w:r>
      <w:r w:rsidR="00C514C3">
        <w:rPr>
          <w:rFonts w:ascii="Calibri" w:hAnsi="Calibri" w:cs="Calibri"/>
          <w:bCs/>
          <w:color w:val="000000"/>
          <w:sz w:val="22"/>
          <w:szCs w:val="22"/>
        </w:rPr>
        <w:t>h</w:t>
      </w:r>
      <w:r w:rsidR="003D50C0">
        <w:rPr>
          <w:rFonts w:ascii="Calibri" w:hAnsi="Calibri" w:cs="Calibri"/>
          <w:bCs/>
          <w:color w:val="000000"/>
          <w:sz w:val="22"/>
          <w:szCs w:val="22"/>
        </w:rPr>
        <w:t>ões</w:t>
      </w:r>
      <w:r w:rsidRPr="00A16F6B">
        <w:rPr>
          <w:rFonts w:ascii="Calibri" w:hAnsi="Calibri" w:cs="Calibri"/>
          <w:bCs/>
          <w:color w:val="000000"/>
          <w:sz w:val="22"/>
          <w:szCs w:val="22"/>
        </w:rPr>
        <w:t xml:space="preserve"> em desapropriações e R$ </w:t>
      </w:r>
      <w:r w:rsidR="00FE5818">
        <w:rPr>
          <w:rFonts w:ascii="Calibri" w:hAnsi="Calibri" w:cs="Calibri"/>
          <w:bCs/>
          <w:color w:val="000000"/>
          <w:sz w:val="22"/>
          <w:szCs w:val="22"/>
        </w:rPr>
        <w:t>97</w:t>
      </w:r>
      <w:r w:rsidRPr="00A16F6B">
        <w:rPr>
          <w:rFonts w:ascii="Calibri" w:hAnsi="Calibri" w:cs="Calibri"/>
          <w:bCs/>
          <w:color w:val="000000"/>
          <w:sz w:val="22"/>
          <w:szCs w:val="22"/>
        </w:rPr>
        <w:t>,</w:t>
      </w:r>
      <w:r w:rsidR="00FE5818">
        <w:rPr>
          <w:rFonts w:ascii="Calibri" w:hAnsi="Calibri" w:cs="Calibri"/>
          <w:bCs/>
          <w:color w:val="000000"/>
          <w:sz w:val="22"/>
          <w:szCs w:val="22"/>
        </w:rPr>
        <w:t>57</w:t>
      </w:r>
      <w:r w:rsidRPr="00A16F6B">
        <w:rPr>
          <w:rFonts w:ascii="Calibri" w:hAnsi="Calibri" w:cs="Calibri"/>
          <w:bCs/>
          <w:color w:val="000000"/>
          <w:sz w:val="22"/>
          <w:szCs w:val="22"/>
        </w:rPr>
        <w:t xml:space="preserve"> milhões em custos indiretos preliminares de obras, </w:t>
      </w:r>
      <w:r w:rsidR="00D226C7" w:rsidRPr="00A16F6B">
        <w:rPr>
          <w:rFonts w:ascii="Calibri" w:hAnsi="Calibri" w:cs="Calibri"/>
          <w:bCs/>
          <w:color w:val="000000"/>
          <w:sz w:val="22"/>
          <w:szCs w:val="22"/>
        </w:rPr>
        <w:t xml:space="preserve">tais </w:t>
      </w:r>
      <w:r w:rsidRPr="00A16F6B">
        <w:rPr>
          <w:rFonts w:ascii="Calibri" w:hAnsi="Calibri" w:cs="Calibri"/>
          <w:bCs/>
          <w:color w:val="000000"/>
          <w:sz w:val="22"/>
          <w:szCs w:val="22"/>
        </w:rPr>
        <w:t>como</w:t>
      </w:r>
      <w:r w:rsidR="00D226C7" w:rsidRPr="00A16F6B">
        <w:rPr>
          <w:rFonts w:ascii="Calibri" w:hAnsi="Calibri" w:cs="Calibri"/>
          <w:bCs/>
          <w:color w:val="000000"/>
          <w:sz w:val="22"/>
          <w:szCs w:val="22"/>
        </w:rPr>
        <w:t>:</w:t>
      </w:r>
      <w:r w:rsidRPr="00A16F6B">
        <w:rPr>
          <w:rFonts w:ascii="Calibri" w:hAnsi="Calibri" w:cs="Calibri"/>
          <w:bCs/>
          <w:color w:val="000000"/>
          <w:sz w:val="22"/>
          <w:szCs w:val="22"/>
        </w:rPr>
        <w:t xml:space="preserve"> preparação de canteiros de obras, </w:t>
      </w:r>
      <w:r w:rsidR="00D226C7" w:rsidRPr="00A16F6B">
        <w:rPr>
          <w:rFonts w:ascii="Calibri" w:hAnsi="Calibri" w:cs="Calibri"/>
          <w:bCs/>
          <w:color w:val="000000"/>
          <w:sz w:val="22"/>
          <w:szCs w:val="22"/>
        </w:rPr>
        <w:t xml:space="preserve">sondagens, projetos de Obras Especiais (OAEs), </w:t>
      </w:r>
      <w:r w:rsidRPr="00A16F6B">
        <w:rPr>
          <w:rFonts w:ascii="Calibri" w:hAnsi="Calibri" w:cs="Calibri"/>
          <w:bCs/>
          <w:color w:val="000000"/>
          <w:sz w:val="22"/>
          <w:szCs w:val="22"/>
        </w:rPr>
        <w:t>serviços médicos, hospedagem</w:t>
      </w:r>
      <w:r w:rsidR="00D226C7" w:rsidRPr="00A16F6B">
        <w:rPr>
          <w:rFonts w:ascii="Calibri" w:hAnsi="Calibri" w:cs="Calibri"/>
          <w:bCs/>
          <w:color w:val="000000"/>
          <w:sz w:val="22"/>
          <w:szCs w:val="22"/>
        </w:rPr>
        <w:t xml:space="preserve"> e locação de sala (escritório da </w:t>
      </w:r>
      <w:r w:rsidR="00B406C5">
        <w:rPr>
          <w:rFonts w:ascii="Calibri" w:hAnsi="Calibri" w:cs="Calibri"/>
          <w:bCs/>
          <w:color w:val="000000"/>
          <w:sz w:val="22"/>
          <w:szCs w:val="22"/>
        </w:rPr>
        <w:t>Infra S.A.</w:t>
      </w:r>
      <w:r w:rsidR="00D226C7" w:rsidRPr="00A16F6B">
        <w:rPr>
          <w:rFonts w:ascii="Calibri" w:hAnsi="Calibri" w:cs="Calibri"/>
          <w:bCs/>
          <w:color w:val="000000"/>
          <w:sz w:val="22"/>
          <w:szCs w:val="22"/>
        </w:rPr>
        <w:t xml:space="preserve"> em Alto Horizonte).  </w:t>
      </w:r>
    </w:p>
    <w:p w14:paraId="3E08F650" w14:textId="485E85CA" w:rsidR="002924F8" w:rsidRDefault="002924F8" w:rsidP="000B3A75">
      <w:pPr>
        <w:pStyle w:val="NormalWeb"/>
        <w:spacing w:before="120" w:beforeAutospacing="0" w:after="120" w:afterAutospacing="0"/>
        <w:jc w:val="both"/>
        <w:rPr>
          <w:rFonts w:ascii="Calibri" w:hAnsi="Calibri" w:cs="Calibri"/>
          <w:sz w:val="22"/>
          <w:szCs w:val="22"/>
        </w:rPr>
      </w:pPr>
      <w:r w:rsidRPr="002E2B5B">
        <w:rPr>
          <w:rFonts w:ascii="Calibri" w:hAnsi="Calibri" w:cs="Calibri"/>
          <w:b/>
          <w:color w:val="000000"/>
          <w:sz w:val="22"/>
          <w:szCs w:val="22"/>
        </w:rPr>
        <w:t xml:space="preserve">NOTA </w:t>
      </w:r>
      <w:r w:rsidR="00882740">
        <w:rPr>
          <w:rFonts w:ascii="Calibri" w:hAnsi="Calibri" w:cs="Calibri"/>
          <w:b/>
          <w:color w:val="000000"/>
          <w:sz w:val="22"/>
          <w:szCs w:val="22"/>
        </w:rPr>
        <w:t>10</w:t>
      </w:r>
      <w:r w:rsidRPr="002E2B5B">
        <w:rPr>
          <w:rFonts w:ascii="Calibri" w:hAnsi="Calibri" w:cs="Calibri"/>
          <w:b/>
          <w:color w:val="000000"/>
          <w:sz w:val="22"/>
          <w:szCs w:val="22"/>
        </w:rPr>
        <w:t xml:space="preserve"> – INTANGÍVEL</w:t>
      </w:r>
    </w:p>
    <w:tbl>
      <w:tblPr>
        <w:tblW w:w="5000" w:type="pct"/>
        <w:tblLayout w:type="fixed"/>
        <w:tblCellMar>
          <w:left w:w="70" w:type="dxa"/>
          <w:right w:w="70" w:type="dxa"/>
        </w:tblCellMar>
        <w:tblLook w:val="04A0" w:firstRow="1" w:lastRow="0" w:firstColumn="1" w:lastColumn="0" w:noHBand="0" w:noVBand="1"/>
      </w:tblPr>
      <w:tblGrid>
        <w:gridCol w:w="3645"/>
        <w:gridCol w:w="2156"/>
        <w:gridCol w:w="852"/>
        <w:gridCol w:w="986"/>
        <w:gridCol w:w="1017"/>
        <w:gridCol w:w="856"/>
        <w:gridCol w:w="955"/>
      </w:tblGrid>
      <w:tr w:rsidR="00937EA9" w:rsidRPr="00D9006E" w14:paraId="10AB65EE" w14:textId="77777777" w:rsidTr="00B83E3B">
        <w:trPr>
          <w:trHeight w:hRule="exact" w:val="412"/>
        </w:trPr>
        <w:tc>
          <w:tcPr>
            <w:tcW w:w="1741" w:type="pct"/>
            <w:tcBorders>
              <w:top w:val="nil"/>
              <w:left w:val="nil"/>
              <w:bottom w:val="single" w:sz="12" w:space="0" w:color="auto"/>
              <w:right w:val="nil"/>
            </w:tcBorders>
            <w:shd w:val="clear" w:color="auto" w:fill="auto"/>
            <w:noWrap/>
            <w:vAlign w:val="bottom"/>
            <w:hideMark/>
          </w:tcPr>
          <w:p w14:paraId="2881FF1F" w14:textId="5503F076" w:rsidR="00937EA9" w:rsidRPr="00D9006E" w:rsidRDefault="00937EA9" w:rsidP="00851CEF">
            <w:pPr>
              <w:spacing w:after="120"/>
              <w:rPr>
                <w:rFonts w:ascii="Calibri" w:hAnsi="Calibri" w:cs="Calibri"/>
                <w:b/>
                <w:bCs/>
                <w:color w:val="000000"/>
                <w:sz w:val="14"/>
                <w:szCs w:val="14"/>
              </w:rPr>
            </w:pPr>
            <w:r w:rsidRPr="00D9006E">
              <w:rPr>
                <w:rFonts w:ascii="Calibri" w:hAnsi="Calibri" w:cs="Calibri"/>
                <w:b/>
                <w:color w:val="000000"/>
                <w:sz w:val="14"/>
                <w:szCs w:val="14"/>
              </w:rPr>
              <w:t>Contrato</w:t>
            </w:r>
          </w:p>
        </w:tc>
        <w:tc>
          <w:tcPr>
            <w:tcW w:w="1030" w:type="pct"/>
            <w:tcBorders>
              <w:top w:val="nil"/>
              <w:left w:val="nil"/>
              <w:bottom w:val="single" w:sz="12" w:space="0" w:color="auto"/>
              <w:right w:val="nil"/>
            </w:tcBorders>
            <w:shd w:val="clear" w:color="auto" w:fill="auto"/>
            <w:vAlign w:val="bottom"/>
            <w:hideMark/>
          </w:tcPr>
          <w:p w14:paraId="1E251704" w14:textId="2FAC2A3A" w:rsidR="00937EA9" w:rsidRPr="00D9006E" w:rsidRDefault="00937EA9" w:rsidP="006027E4">
            <w:pPr>
              <w:spacing w:after="120"/>
              <w:jc w:val="center"/>
              <w:rPr>
                <w:rFonts w:ascii="Calibri" w:hAnsi="Calibri" w:cs="Calibri"/>
                <w:b/>
                <w:bCs/>
                <w:color w:val="000000"/>
                <w:sz w:val="14"/>
                <w:szCs w:val="14"/>
              </w:rPr>
            </w:pPr>
            <w:r w:rsidRPr="00D9006E">
              <w:rPr>
                <w:rFonts w:ascii="Calibri" w:hAnsi="Calibri" w:cs="Calibri"/>
                <w:b/>
                <w:bCs/>
                <w:color w:val="000000"/>
                <w:sz w:val="14"/>
                <w:szCs w:val="14"/>
              </w:rPr>
              <w:t>Rodovia/Porto</w:t>
            </w:r>
          </w:p>
        </w:tc>
        <w:tc>
          <w:tcPr>
            <w:tcW w:w="407" w:type="pct"/>
            <w:tcBorders>
              <w:top w:val="nil"/>
              <w:left w:val="nil"/>
              <w:bottom w:val="single" w:sz="12" w:space="0" w:color="auto"/>
              <w:right w:val="nil"/>
            </w:tcBorders>
            <w:shd w:val="clear" w:color="auto" w:fill="auto"/>
            <w:vAlign w:val="center"/>
            <w:hideMark/>
          </w:tcPr>
          <w:p w14:paraId="0FF0A443" w14:textId="0F376621" w:rsidR="00937EA9" w:rsidRPr="00D9006E" w:rsidRDefault="00937EA9" w:rsidP="00563D49">
            <w:pPr>
              <w:spacing w:after="120"/>
              <w:jc w:val="right"/>
              <w:rPr>
                <w:rFonts w:ascii="Calibri" w:hAnsi="Calibri" w:cs="Calibri"/>
                <w:b/>
                <w:bCs/>
                <w:color w:val="000000"/>
                <w:sz w:val="14"/>
                <w:szCs w:val="14"/>
              </w:rPr>
            </w:pPr>
            <w:r w:rsidRPr="00D9006E">
              <w:rPr>
                <w:rFonts w:ascii="Calibri" w:hAnsi="Calibri" w:cs="Calibri"/>
                <w:b/>
                <w:bCs/>
                <w:color w:val="000000"/>
                <w:sz w:val="14"/>
                <w:szCs w:val="14"/>
              </w:rPr>
              <w:t>Saldo em 31/12/2021</w:t>
            </w:r>
          </w:p>
        </w:tc>
        <w:tc>
          <w:tcPr>
            <w:tcW w:w="471" w:type="pct"/>
            <w:tcBorders>
              <w:top w:val="nil"/>
              <w:left w:val="nil"/>
              <w:bottom w:val="single" w:sz="12" w:space="0" w:color="auto"/>
              <w:right w:val="nil"/>
            </w:tcBorders>
            <w:shd w:val="clear" w:color="auto" w:fill="auto"/>
            <w:vAlign w:val="bottom"/>
            <w:hideMark/>
          </w:tcPr>
          <w:p w14:paraId="1DDA4D79" w14:textId="7FAA3A53" w:rsidR="00937EA9" w:rsidRPr="00D9006E" w:rsidRDefault="00937EA9" w:rsidP="004C105B">
            <w:pPr>
              <w:spacing w:after="120"/>
              <w:jc w:val="center"/>
              <w:rPr>
                <w:rFonts w:ascii="Calibri" w:hAnsi="Calibri" w:cs="Calibri"/>
                <w:b/>
                <w:bCs/>
                <w:color w:val="000000"/>
                <w:sz w:val="14"/>
                <w:szCs w:val="14"/>
              </w:rPr>
            </w:pPr>
            <w:r>
              <w:rPr>
                <w:rFonts w:ascii="Calibri" w:hAnsi="Calibri" w:cs="Calibri"/>
                <w:b/>
                <w:bCs/>
                <w:color w:val="000000"/>
                <w:sz w:val="14"/>
                <w:szCs w:val="14"/>
              </w:rPr>
              <w:t>Entradas</w:t>
            </w:r>
          </w:p>
        </w:tc>
        <w:tc>
          <w:tcPr>
            <w:tcW w:w="486" w:type="pct"/>
            <w:tcBorders>
              <w:top w:val="nil"/>
              <w:left w:val="nil"/>
              <w:bottom w:val="single" w:sz="12" w:space="0" w:color="auto"/>
              <w:right w:val="nil"/>
            </w:tcBorders>
            <w:shd w:val="clear" w:color="auto" w:fill="auto"/>
            <w:vAlign w:val="bottom"/>
            <w:hideMark/>
          </w:tcPr>
          <w:p w14:paraId="5ADAD819" w14:textId="69B48FB2" w:rsidR="00937EA9" w:rsidRPr="00D9006E" w:rsidRDefault="00937EA9" w:rsidP="004C105B">
            <w:pPr>
              <w:spacing w:after="120"/>
              <w:jc w:val="center"/>
              <w:rPr>
                <w:rFonts w:ascii="Calibri" w:hAnsi="Calibri" w:cs="Calibri"/>
                <w:b/>
                <w:bCs/>
                <w:color w:val="000000"/>
                <w:sz w:val="14"/>
                <w:szCs w:val="14"/>
              </w:rPr>
            </w:pPr>
            <w:r w:rsidRPr="00D9006E">
              <w:rPr>
                <w:rFonts w:ascii="Calibri" w:hAnsi="Calibri" w:cs="Calibri"/>
                <w:b/>
                <w:bCs/>
                <w:color w:val="000000"/>
                <w:sz w:val="14"/>
                <w:szCs w:val="14"/>
              </w:rPr>
              <w:t>Reclassificação</w:t>
            </w:r>
          </w:p>
        </w:tc>
        <w:tc>
          <w:tcPr>
            <w:tcW w:w="409" w:type="pct"/>
            <w:tcBorders>
              <w:top w:val="nil"/>
              <w:left w:val="nil"/>
              <w:bottom w:val="single" w:sz="12" w:space="0" w:color="auto"/>
              <w:right w:val="nil"/>
            </w:tcBorders>
            <w:shd w:val="clear" w:color="auto" w:fill="auto"/>
            <w:vAlign w:val="bottom"/>
            <w:hideMark/>
          </w:tcPr>
          <w:p w14:paraId="18A11951" w14:textId="76EB2C87" w:rsidR="00937EA9" w:rsidRPr="00D9006E" w:rsidRDefault="00937EA9" w:rsidP="004C105B">
            <w:pPr>
              <w:spacing w:after="120"/>
              <w:jc w:val="center"/>
              <w:rPr>
                <w:rFonts w:ascii="Calibri" w:hAnsi="Calibri" w:cs="Calibri"/>
                <w:b/>
                <w:bCs/>
                <w:color w:val="000000"/>
                <w:sz w:val="14"/>
                <w:szCs w:val="14"/>
              </w:rPr>
            </w:pPr>
            <w:r w:rsidRPr="00D9006E">
              <w:rPr>
                <w:rFonts w:ascii="Calibri" w:hAnsi="Calibri" w:cs="Calibri"/>
                <w:b/>
                <w:bCs/>
                <w:color w:val="000000"/>
                <w:sz w:val="14"/>
                <w:szCs w:val="14"/>
              </w:rPr>
              <w:t>Baixa</w:t>
            </w:r>
          </w:p>
        </w:tc>
        <w:tc>
          <w:tcPr>
            <w:tcW w:w="456" w:type="pct"/>
            <w:tcBorders>
              <w:top w:val="nil"/>
              <w:left w:val="nil"/>
              <w:bottom w:val="single" w:sz="12" w:space="0" w:color="auto"/>
              <w:right w:val="nil"/>
            </w:tcBorders>
            <w:shd w:val="clear" w:color="auto" w:fill="auto"/>
            <w:vAlign w:val="center"/>
            <w:hideMark/>
          </w:tcPr>
          <w:p w14:paraId="7754F0EB" w14:textId="5664981F" w:rsidR="00937EA9" w:rsidRPr="00D9006E" w:rsidRDefault="00937EA9" w:rsidP="00563D49">
            <w:pPr>
              <w:spacing w:after="120"/>
              <w:jc w:val="right"/>
              <w:rPr>
                <w:rFonts w:ascii="Calibri" w:hAnsi="Calibri" w:cs="Calibri"/>
                <w:b/>
                <w:bCs/>
                <w:color w:val="000000"/>
                <w:sz w:val="14"/>
                <w:szCs w:val="14"/>
              </w:rPr>
            </w:pPr>
            <w:r w:rsidRPr="00D9006E">
              <w:rPr>
                <w:rFonts w:ascii="Calibri" w:hAnsi="Calibri" w:cs="Calibri"/>
                <w:b/>
                <w:bCs/>
                <w:color w:val="000000"/>
                <w:sz w:val="14"/>
                <w:szCs w:val="14"/>
              </w:rPr>
              <w:t>Saldo em 30/09/2022</w:t>
            </w:r>
          </w:p>
        </w:tc>
      </w:tr>
      <w:tr w:rsidR="00937EA9" w:rsidRPr="00D9006E" w14:paraId="12027DA7" w14:textId="77777777" w:rsidTr="00B83E3B">
        <w:trPr>
          <w:trHeight w:hRule="exact" w:val="227"/>
        </w:trPr>
        <w:tc>
          <w:tcPr>
            <w:tcW w:w="1741" w:type="pct"/>
            <w:tcBorders>
              <w:top w:val="single" w:sz="12" w:space="0" w:color="auto"/>
              <w:left w:val="nil"/>
              <w:bottom w:val="single" w:sz="2" w:space="0" w:color="auto"/>
              <w:right w:val="nil"/>
            </w:tcBorders>
            <w:shd w:val="clear" w:color="auto" w:fill="auto"/>
            <w:noWrap/>
            <w:vAlign w:val="center"/>
            <w:hideMark/>
          </w:tcPr>
          <w:p w14:paraId="1A7206FF" w14:textId="073EB80E"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01/2019 – Acordo IFC</w:t>
            </w:r>
          </w:p>
        </w:tc>
        <w:tc>
          <w:tcPr>
            <w:tcW w:w="1030" w:type="pct"/>
            <w:tcBorders>
              <w:top w:val="single" w:sz="12" w:space="0" w:color="auto"/>
              <w:left w:val="nil"/>
              <w:bottom w:val="single" w:sz="2" w:space="0" w:color="auto"/>
              <w:right w:val="nil"/>
            </w:tcBorders>
            <w:shd w:val="clear" w:color="auto" w:fill="auto"/>
            <w:noWrap/>
            <w:vAlign w:val="center"/>
            <w:hideMark/>
          </w:tcPr>
          <w:p w14:paraId="23832C92" w14:textId="2897D5AB"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Anel de Integração</w:t>
            </w:r>
          </w:p>
        </w:tc>
        <w:tc>
          <w:tcPr>
            <w:tcW w:w="407" w:type="pct"/>
            <w:tcBorders>
              <w:top w:val="single" w:sz="12" w:space="0" w:color="auto"/>
              <w:left w:val="nil"/>
              <w:bottom w:val="single" w:sz="2" w:space="0" w:color="auto"/>
              <w:right w:val="nil"/>
            </w:tcBorders>
            <w:shd w:val="clear" w:color="auto" w:fill="auto"/>
            <w:noWrap/>
            <w:vAlign w:val="center"/>
            <w:hideMark/>
          </w:tcPr>
          <w:p w14:paraId="7A519EE6" w14:textId="15FF6288" w:rsidR="00937EA9" w:rsidRPr="00D9006E" w:rsidRDefault="00937EA9" w:rsidP="00937EA9">
            <w:pPr>
              <w:spacing w:after="120"/>
              <w:jc w:val="right"/>
              <w:rPr>
                <w:rFonts w:ascii="Calibri" w:hAnsi="Calibri" w:cs="Calibri"/>
                <w:color w:val="000000"/>
                <w:sz w:val="14"/>
                <w:szCs w:val="14"/>
              </w:rPr>
            </w:pPr>
            <w:r>
              <w:rPr>
                <w:rFonts w:ascii="Calibri" w:hAnsi="Calibri" w:cs="Calibri"/>
                <w:color w:val="000000"/>
                <w:sz w:val="14"/>
                <w:szCs w:val="14"/>
              </w:rPr>
              <w:t>-</w:t>
            </w:r>
          </w:p>
        </w:tc>
        <w:tc>
          <w:tcPr>
            <w:tcW w:w="471" w:type="pct"/>
            <w:tcBorders>
              <w:top w:val="single" w:sz="12" w:space="0" w:color="auto"/>
              <w:left w:val="nil"/>
              <w:bottom w:val="single" w:sz="2" w:space="0" w:color="auto"/>
              <w:right w:val="nil"/>
            </w:tcBorders>
            <w:shd w:val="clear" w:color="auto" w:fill="auto"/>
            <w:noWrap/>
            <w:vAlign w:val="center"/>
            <w:hideMark/>
          </w:tcPr>
          <w:p w14:paraId="2849D0CC" w14:textId="68C5A287"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39.671.622</w:t>
            </w:r>
          </w:p>
        </w:tc>
        <w:tc>
          <w:tcPr>
            <w:tcW w:w="486" w:type="pct"/>
            <w:tcBorders>
              <w:top w:val="single" w:sz="12" w:space="0" w:color="auto"/>
              <w:left w:val="nil"/>
              <w:bottom w:val="single" w:sz="2" w:space="0" w:color="auto"/>
              <w:right w:val="nil"/>
            </w:tcBorders>
            <w:shd w:val="clear" w:color="auto" w:fill="auto"/>
            <w:noWrap/>
            <w:vAlign w:val="center"/>
            <w:hideMark/>
          </w:tcPr>
          <w:p w14:paraId="32DBE3AC" w14:textId="0D05A578" w:rsidR="00937EA9" w:rsidRPr="00D9006E" w:rsidRDefault="00937EA9" w:rsidP="00937EA9">
            <w:pPr>
              <w:spacing w:after="120"/>
              <w:jc w:val="right"/>
              <w:rPr>
                <w:rFonts w:ascii="Calibri" w:hAnsi="Calibri" w:cs="Calibri"/>
                <w:color w:val="000000"/>
                <w:sz w:val="14"/>
                <w:szCs w:val="14"/>
              </w:rPr>
            </w:pPr>
            <w:r>
              <w:rPr>
                <w:rFonts w:ascii="Calibri" w:hAnsi="Calibri" w:cs="Calibri"/>
                <w:color w:val="000000"/>
                <w:sz w:val="14"/>
                <w:szCs w:val="14"/>
              </w:rPr>
              <w:t>-</w:t>
            </w:r>
          </w:p>
        </w:tc>
        <w:tc>
          <w:tcPr>
            <w:tcW w:w="409" w:type="pct"/>
            <w:tcBorders>
              <w:top w:val="single" w:sz="12" w:space="0" w:color="auto"/>
              <w:left w:val="nil"/>
              <w:bottom w:val="single" w:sz="2" w:space="0" w:color="auto"/>
              <w:right w:val="nil"/>
            </w:tcBorders>
            <w:shd w:val="clear" w:color="auto" w:fill="auto"/>
            <w:noWrap/>
            <w:vAlign w:val="center"/>
            <w:hideMark/>
          </w:tcPr>
          <w:p w14:paraId="38BA14DA" w14:textId="0138322F" w:rsidR="00937EA9" w:rsidRPr="00D9006E" w:rsidRDefault="00937EA9" w:rsidP="00937EA9">
            <w:pPr>
              <w:spacing w:after="120"/>
              <w:jc w:val="right"/>
              <w:rPr>
                <w:rFonts w:ascii="Calibri" w:hAnsi="Calibri" w:cs="Calibri"/>
                <w:color w:val="000000"/>
                <w:sz w:val="14"/>
                <w:szCs w:val="14"/>
              </w:rPr>
            </w:pPr>
            <w:r>
              <w:rPr>
                <w:rFonts w:ascii="Calibri" w:hAnsi="Calibri" w:cs="Calibri"/>
                <w:color w:val="000000"/>
                <w:sz w:val="14"/>
                <w:szCs w:val="14"/>
              </w:rPr>
              <w:t>-</w:t>
            </w:r>
          </w:p>
        </w:tc>
        <w:tc>
          <w:tcPr>
            <w:tcW w:w="456" w:type="pct"/>
            <w:tcBorders>
              <w:top w:val="single" w:sz="12" w:space="0" w:color="auto"/>
              <w:left w:val="nil"/>
              <w:bottom w:val="single" w:sz="2" w:space="0" w:color="auto"/>
              <w:right w:val="nil"/>
            </w:tcBorders>
            <w:shd w:val="clear" w:color="auto" w:fill="auto"/>
            <w:noWrap/>
            <w:vAlign w:val="center"/>
            <w:hideMark/>
          </w:tcPr>
          <w:p w14:paraId="55BEC117" w14:textId="09487FD4"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39.671.622</w:t>
            </w:r>
          </w:p>
        </w:tc>
      </w:tr>
      <w:tr w:rsidR="00937EA9" w:rsidRPr="00D9006E" w14:paraId="0EAF1584" w14:textId="77777777" w:rsidTr="00B83E3B">
        <w:trPr>
          <w:trHeight w:hRule="exact" w:val="227"/>
        </w:trPr>
        <w:tc>
          <w:tcPr>
            <w:tcW w:w="1741" w:type="pct"/>
            <w:vMerge w:val="restart"/>
            <w:tcBorders>
              <w:top w:val="single" w:sz="2" w:space="0" w:color="auto"/>
              <w:left w:val="nil"/>
              <w:right w:val="nil"/>
            </w:tcBorders>
            <w:shd w:val="clear" w:color="auto" w:fill="auto"/>
            <w:noWrap/>
            <w:vAlign w:val="center"/>
          </w:tcPr>
          <w:p w14:paraId="26489B5F" w14:textId="7E75D978"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13/2017 - IFC</w:t>
            </w:r>
          </w:p>
        </w:tc>
        <w:tc>
          <w:tcPr>
            <w:tcW w:w="1030" w:type="pct"/>
            <w:tcBorders>
              <w:top w:val="single" w:sz="2" w:space="0" w:color="auto"/>
              <w:left w:val="nil"/>
              <w:bottom w:val="nil"/>
              <w:right w:val="nil"/>
            </w:tcBorders>
            <w:shd w:val="clear" w:color="auto" w:fill="auto"/>
            <w:noWrap/>
            <w:vAlign w:val="center"/>
          </w:tcPr>
          <w:p w14:paraId="4A7D4056" w14:textId="6D024914"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BR-153/080/414/TO/GO</w:t>
            </w:r>
          </w:p>
        </w:tc>
        <w:tc>
          <w:tcPr>
            <w:tcW w:w="407" w:type="pct"/>
            <w:vMerge w:val="restart"/>
            <w:tcBorders>
              <w:top w:val="single" w:sz="2" w:space="0" w:color="auto"/>
              <w:left w:val="nil"/>
              <w:right w:val="nil"/>
            </w:tcBorders>
            <w:shd w:val="clear" w:color="auto" w:fill="auto"/>
            <w:noWrap/>
            <w:vAlign w:val="center"/>
          </w:tcPr>
          <w:p w14:paraId="4219FF41" w14:textId="1D2F960E" w:rsidR="00937EA9" w:rsidRPr="00D9006E" w:rsidRDefault="00937EA9" w:rsidP="00937EA9">
            <w:pPr>
              <w:spacing w:after="120"/>
              <w:jc w:val="right"/>
              <w:rPr>
                <w:rFonts w:ascii="Calibri" w:hAnsi="Calibri" w:cs="Calibri"/>
                <w:color w:val="000000"/>
                <w:sz w:val="14"/>
                <w:szCs w:val="14"/>
              </w:rPr>
            </w:pPr>
            <w:r>
              <w:rPr>
                <w:rFonts w:ascii="Calibri" w:hAnsi="Calibri" w:cs="Calibri"/>
                <w:color w:val="000000"/>
                <w:sz w:val="14"/>
                <w:szCs w:val="14"/>
              </w:rPr>
              <w:t>-</w:t>
            </w:r>
          </w:p>
        </w:tc>
        <w:tc>
          <w:tcPr>
            <w:tcW w:w="471" w:type="pct"/>
            <w:vMerge w:val="restart"/>
            <w:tcBorders>
              <w:top w:val="single" w:sz="2" w:space="0" w:color="auto"/>
              <w:left w:val="nil"/>
              <w:right w:val="nil"/>
            </w:tcBorders>
            <w:shd w:val="clear" w:color="auto" w:fill="auto"/>
            <w:noWrap/>
            <w:vAlign w:val="center"/>
          </w:tcPr>
          <w:p w14:paraId="7A623C8C" w14:textId="6C83481C"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10.340.782</w:t>
            </w:r>
          </w:p>
        </w:tc>
        <w:tc>
          <w:tcPr>
            <w:tcW w:w="486" w:type="pct"/>
            <w:vMerge w:val="restart"/>
            <w:tcBorders>
              <w:top w:val="single" w:sz="2" w:space="0" w:color="auto"/>
              <w:left w:val="nil"/>
              <w:right w:val="nil"/>
            </w:tcBorders>
            <w:shd w:val="clear" w:color="auto" w:fill="auto"/>
            <w:noWrap/>
            <w:vAlign w:val="center"/>
          </w:tcPr>
          <w:p w14:paraId="25B9C231" w14:textId="19BEB57D"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vMerge w:val="restart"/>
            <w:tcBorders>
              <w:top w:val="single" w:sz="2" w:space="0" w:color="auto"/>
              <w:left w:val="nil"/>
              <w:right w:val="nil"/>
            </w:tcBorders>
            <w:shd w:val="clear" w:color="auto" w:fill="auto"/>
            <w:noWrap/>
            <w:vAlign w:val="center"/>
          </w:tcPr>
          <w:p w14:paraId="625BAB0A" w14:textId="153ED837" w:rsidR="00937EA9" w:rsidRPr="00D9006E" w:rsidRDefault="00937EA9" w:rsidP="00937EA9">
            <w:pPr>
              <w:spacing w:after="120"/>
              <w:jc w:val="right"/>
              <w:rPr>
                <w:rFonts w:ascii="Calibri" w:hAnsi="Calibri" w:cs="Calibri"/>
                <w:color w:val="000000"/>
                <w:sz w:val="14"/>
                <w:szCs w:val="14"/>
              </w:rPr>
            </w:pPr>
            <w:r>
              <w:rPr>
                <w:rFonts w:ascii="Calibri" w:hAnsi="Calibri" w:cs="Calibri"/>
                <w:color w:val="000000"/>
                <w:sz w:val="14"/>
                <w:szCs w:val="14"/>
              </w:rPr>
              <w:t>-</w:t>
            </w:r>
          </w:p>
        </w:tc>
        <w:tc>
          <w:tcPr>
            <w:tcW w:w="456" w:type="pct"/>
            <w:vMerge w:val="restart"/>
            <w:tcBorders>
              <w:top w:val="single" w:sz="2" w:space="0" w:color="auto"/>
              <w:left w:val="nil"/>
              <w:right w:val="nil"/>
            </w:tcBorders>
            <w:shd w:val="clear" w:color="auto" w:fill="auto"/>
            <w:noWrap/>
            <w:vAlign w:val="center"/>
          </w:tcPr>
          <w:p w14:paraId="71BD8548" w14:textId="44D71692"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10.340.782</w:t>
            </w:r>
          </w:p>
        </w:tc>
      </w:tr>
      <w:tr w:rsidR="00937EA9" w:rsidRPr="00D9006E" w14:paraId="1059018D" w14:textId="77777777" w:rsidTr="00B83E3B">
        <w:trPr>
          <w:trHeight w:hRule="exact" w:val="227"/>
        </w:trPr>
        <w:tc>
          <w:tcPr>
            <w:tcW w:w="1741" w:type="pct"/>
            <w:vMerge/>
            <w:tcBorders>
              <w:left w:val="nil"/>
              <w:right w:val="nil"/>
            </w:tcBorders>
            <w:shd w:val="clear" w:color="auto" w:fill="auto"/>
            <w:noWrap/>
            <w:vAlign w:val="center"/>
          </w:tcPr>
          <w:p w14:paraId="5C5B9852" w14:textId="77777777" w:rsidR="00937EA9" w:rsidRPr="00D9006E" w:rsidRDefault="00937EA9" w:rsidP="00563D49">
            <w:pPr>
              <w:spacing w:after="120"/>
              <w:rPr>
                <w:rFonts w:ascii="Calibri" w:hAnsi="Calibri" w:cs="Calibri"/>
                <w:color w:val="000000"/>
                <w:sz w:val="14"/>
                <w:szCs w:val="14"/>
              </w:rPr>
            </w:pPr>
          </w:p>
        </w:tc>
        <w:tc>
          <w:tcPr>
            <w:tcW w:w="1030" w:type="pct"/>
            <w:tcBorders>
              <w:left w:val="nil"/>
              <w:bottom w:val="nil"/>
              <w:right w:val="nil"/>
            </w:tcBorders>
            <w:shd w:val="clear" w:color="auto" w:fill="auto"/>
            <w:noWrap/>
            <w:vAlign w:val="center"/>
          </w:tcPr>
          <w:p w14:paraId="40EF570F" w14:textId="25F284B4" w:rsidR="00937EA9" w:rsidRPr="00D9006E" w:rsidRDefault="00937EA9" w:rsidP="001E20DD">
            <w:pPr>
              <w:spacing w:after="120"/>
              <w:rPr>
                <w:rFonts w:ascii="Calibri" w:hAnsi="Calibri" w:cs="Calibri"/>
                <w:color w:val="000000"/>
                <w:sz w:val="14"/>
                <w:szCs w:val="14"/>
              </w:rPr>
            </w:pPr>
            <w:r w:rsidRPr="00D9006E">
              <w:rPr>
                <w:rFonts w:ascii="Calibri" w:hAnsi="Calibri" w:cs="Calibri"/>
                <w:color w:val="000000"/>
                <w:sz w:val="14"/>
                <w:szCs w:val="14"/>
              </w:rPr>
              <w:t>BR-116/101/SP/RJ (Dutra)</w:t>
            </w:r>
          </w:p>
        </w:tc>
        <w:tc>
          <w:tcPr>
            <w:tcW w:w="407" w:type="pct"/>
            <w:vMerge/>
            <w:tcBorders>
              <w:left w:val="nil"/>
              <w:right w:val="nil"/>
            </w:tcBorders>
            <w:shd w:val="clear" w:color="auto" w:fill="auto"/>
            <w:noWrap/>
            <w:vAlign w:val="center"/>
          </w:tcPr>
          <w:p w14:paraId="38EBA90D" w14:textId="77777777" w:rsidR="00937EA9" w:rsidRPr="00D9006E" w:rsidRDefault="00937EA9" w:rsidP="00563D49">
            <w:pPr>
              <w:spacing w:after="120"/>
              <w:jc w:val="right"/>
              <w:rPr>
                <w:rFonts w:ascii="Calibri" w:hAnsi="Calibri" w:cs="Calibri"/>
                <w:color w:val="000000"/>
                <w:sz w:val="14"/>
                <w:szCs w:val="14"/>
              </w:rPr>
            </w:pPr>
          </w:p>
        </w:tc>
        <w:tc>
          <w:tcPr>
            <w:tcW w:w="471" w:type="pct"/>
            <w:vMerge/>
            <w:tcBorders>
              <w:left w:val="nil"/>
              <w:right w:val="nil"/>
            </w:tcBorders>
            <w:shd w:val="clear" w:color="auto" w:fill="auto"/>
            <w:noWrap/>
            <w:vAlign w:val="center"/>
          </w:tcPr>
          <w:p w14:paraId="43C11FF4" w14:textId="3DE76831" w:rsidR="00937EA9" w:rsidRPr="00D9006E" w:rsidRDefault="00937EA9" w:rsidP="00563D49">
            <w:pPr>
              <w:spacing w:after="120"/>
              <w:jc w:val="right"/>
              <w:rPr>
                <w:rFonts w:ascii="Calibri" w:hAnsi="Calibri" w:cs="Calibri"/>
                <w:color w:val="000000"/>
                <w:sz w:val="14"/>
                <w:szCs w:val="14"/>
              </w:rPr>
            </w:pPr>
          </w:p>
        </w:tc>
        <w:tc>
          <w:tcPr>
            <w:tcW w:w="486" w:type="pct"/>
            <w:vMerge/>
            <w:tcBorders>
              <w:left w:val="nil"/>
              <w:right w:val="nil"/>
            </w:tcBorders>
            <w:shd w:val="clear" w:color="auto" w:fill="auto"/>
            <w:noWrap/>
            <w:vAlign w:val="center"/>
          </w:tcPr>
          <w:p w14:paraId="62F3B160" w14:textId="77777777" w:rsidR="00937EA9" w:rsidRPr="00D9006E" w:rsidRDefault="00937EA9" w:rsidP="00563D49">
            <w:pPr>
              <w:spacing w:after="120"/>
              <w:jc w:val="right"/>
              <w:rPr>
                <w:rFonts w:ascii="Calibri" w:hAnsi="Calibri" w:cs="Calibri"/>
                <w:color w:val="000000"/>
                <w:sz w:val="14"/>
                <w:szCs w:val="14"/>
              </w:rPr>
            </w:pPr>
          </w:p>
        </w:tc>
        <w:tc>
          <w:tcPr>
            <w:tcW w:w="409" w:type="pct"/>
            <w:vMerge/>
            <w:tcBorders>
              <w:left w:val="nil"/>
              <w:right w:val="nil"/>
            </w:tcBorders>
            <w:shd w:val="clear" w:color="auto" w:fill="auto"/>
            <w:noWrap/>
            <w:vAlign w:val="center"/>
          </w:tcPr>
          <w:p w14:paraId="39E892A2" w14:textId="142BB900" w:rsidR="00937EA9" w:rsidRPr="00D9006E" w:rsidRDefault="00937EA9" w:rsidP="00851CEF">
            <w:pPr>
              <w:spacing w:after="120"/>
              <w:jc w:val="right"/>
              <w:rPr>
                <w:rFonts w:ascii="Calibri" w:hAnsi="Calibri" w:cs="Calibri"/>
                <w:color w:val="000000"/>
                <w:sz w:val="14"/>
                <w:szCs w:val="14"/>
              </w:rPr>
            </w:pPr>
          </w:p>
        </w:tc>
        <w:tc>
          <w:tcPr>
            <w:tcW w:w="456" w:type="pct"/>
            <w:vMerge/>
            <w:tcBorders>
              <w:left w:val="nil"/>
              <w:right w:val="nil"/>
            </w:tcBorders>
            <w:shd w:val="clear" w:color="auto" w:fill="auto"/>
            <w:noWrap/>
            <w:vAlign w:val="center"/>
          </w:tcPr>
          <w:p w14:paraId="2A4E13C4" w14:textId="6C8CDBFD" w:rsidR="00937EA9" w:rsidRPr="00D9006E" w:rsidRDefault="00937EA9" w:rsidP="00563D49">
            <w:pPr>
              <w:spacing w:after="120"/>
              <w:jc w:val="right"/>
              <w:rPr>
                <w:rFonts w:ascii="Calibri" w:hAnsi="Calibri" w:cs="Calibri"/>
                <w:color w:val="000000"/>
                <w:sz w:val="14"/>
                <w:szCs w:val="14"/>
              </w:rPr>
            </w:pPr>
          </w:p>
        </w:tc>
      </w:tr>
      <w:tr w:rsidR="00937EA9" w:rsidRPr="00D9006E" w14:paraId="25BE3BCB" w14:textId="77777777" w:rsidTr="00B83E3B">
        <w:trPr>
          <w:trHeight w:hRule="exact" w:val="227"/>
        </w:trPr>
        <w:tc>
          <w:tcPr>
            <w:tcW w:w="1741" w:type="pct"/>
            <w:vMerge/>
            <w:tcBorders>
              <w:left w:val="nil"/>
              <w:right w:val="nil"/>
            </w:tcBorders>
            <w:shd w:val="clear" w:color="auto" w:fill="auto"/>
            <w:noWrap/>
            <w:vAlign w:val="center"/>
          </w:tcPr>
          <w:p w14:paraId="27420A8F" w14:textId="77777777" w:rsidR="00937EA9" w:rsidRPr="00D9006E" w:rsidRDefault="00937EA9" w:rsidP="00563D49">
            <w:pPr>
              <w:spacing w:after="120"/>
              <w:rPr>
                <w:rFonts w:ascii="Calibri" w:hAnsi="Calibri" w:cs="Calibri"/>
                <w:color w:val="000000"/>
                <w:sz w:val="14"/>
                <w:szCs w:val="14"/>
              </w:rPr>
            </w:pPr>
          </w:p>
        </w:tc>
        <w:tc>
          <w:tcPr>
            <w:tcW w:w="1030" w:type="pct"/>
            <w:tcBorders>
              <w:left w:val="nil"/>
              <w:bottom w:val="nil"/>
              <w:right w:val="nil"/>
            </w:tcBorders>
            <w:shd w:val="clear" w:color="auto" w:fill="auto"/>
            <w:noWrap/>
            <w:vAlign w:val="center"/>
          </w:tcPr>
          <w:p w14:paraId="2B9BCA2C" w14:textId="58A96D0A" w:rsidR="00937EA9" w:rsidRPr="00D9006E" w:rsidRDefault="00937EA9" w:rsidP="001E20DD">
            <w:pPr>
              <w:spacing w:after="120"/>
              <w:rPr>
                <w:rFonts w:ascii="Calibri" w:hAnsi="Calibri" w:cs="Calibri"/>
                <w:color w:val="000000"/>
                <w:sz w:val="14"/>
                <w:szCs w:val="14"/>
              </w:rPr>
            </w:pPr>
            <w:r w:rsidRPr="00D9006E">
              <w:rPr>
                <w:rFonts w:ascii="Calibri" w:hAnsi="Calibri" w:cs="Calibri"/>
                <w:color w:val="000000"/>
                <w:sz w:val="14"/>
                <w:szCs w:val="14"/>
              </w:rPr>
              <w:t>BR-040/495/MG/RJ (Concer)</w:t>
            </w:r>
          </w:p>
        </w:tc>
        <w:tc>
          <w:tcPr>
            <w:tcW w:w="407" w:type="pct"/>
            <w:vMerge/>
            <w:tcBorders>
              <w:left w:val="nil"/>
              <w:right w:val="nil"/>
            </w:tcBorders>
            <w:shd w:val="clear" w:color="auto" w:fill="auto"/>
            <w:noWrap/>
            <w:vAlign w:val="center"/>
          </w:tcPr>
          <w:p w14:paraId="12A7B2A2" w14:textId="77777777" w:rsidR="00937EA9" w:rsidRPr="00D9006E" w:rsidRDefault="00937EA9" w:rsidP="00563D49">
            <w:pPr>
              <w:spacing w:after="120"/>
              <w:jc w:val="right"/>
              <w:rPr>
                <w:rFonts w:ascii="Calibri" w:hAnsi="Calibri" w:cs="Calibri"/>
                <w:color w:val="000000"/>
                <w:sz w:val="14"/>
                <w:szCs w:val="14"/>
              </w:rPr>
            </w:pPr>
          </w:p>
        </w:tc>
        <w:tc>
          <w:tcPr>
            <w:tcW w:w="471" w:type="pct"/>
            <w:vMerge/>
            <w:tcBorders>
              <w:left w:val="nil"/>
              <w:right w:val="nil"/>
            </w:tcBorders>
            <w:shd w:val="clear" w:color="auto" w:fill="auto"/>
            <w:noWrap/>
            <w:vAlign w:val="center"/>
          </w:tcPr>
          <w:p w14:paraId="467CB09E" w14:textId="77777777" w:rsidR="00937EA9" w:rsidRPr="00D9006E" w:rsidRDefault="00937EA9" w:rsidP="00563D49">
            <w:pPr>
              <w:spacing w:after="120"/>
              <w:jc w:val="right"/>
              <w:rPr>
                <w:rFonts w:ascii="Calibri" w:hAnsi="Calibri" w:cs="Calibri"/>
                <w:color w:val="000000"/>
                <w:sz w:val="14"/>
                <w:szCs w:val="14"/>
              </w:rPr>
            </w:pPr>
          </w:p>
        </w:tc>
        <w:tc>
          <w:tcPr>
            <w:tcW w:w="486" w:type="pct"/>
            <w:vMerge/>
            <w:tcBorders>
              <w:left w:val="nil"/>
              <w:right w:val="nil"/>
            </w:tcBorders>
            <w:shd w:val="clear" w:color="auto" w:fill="auto"/>
            <w:noWrap/>
            <w:vAlign w:val="center"/>
          </w:tcPr>
          <w:p w14:paraId="389066FB" w14:textId="77777777" w:rsidR="00937EA9" w:rsidRPr="00D9006E" w:rsidRDefault="00937EA9" w:rsidP="00563D49">
            <w:pPr>
              <w:spacing w:after="120"/>
              <w:jc w:val="right"/>
              <w:rPr>
                <w:rFonts w:ascii="Calibri" w:hAnsi="Calibri" w:cs="Calibri"/>
                <w:color w:val="000000"/>
                <w:sz w:val="14"/>
                <w:szCs w:val="14"/>
              </w:rPr>
            </w:pPr>
          </w:p>
        </w:tc>
        <w:tc>
          <w:tcPr>
            <w:tcW w:w="409" w:type="pct"/>
            <w:vMerge/>
            <w:tcBorders>
              <w:left w:val="nil"/>
              <w:right w:val="nil"/>
            </w:tcBorders>
            <w:shd w:val="clear" w:color="auto" w:fill="auto"/>
            <w:noWrap/>
            <w:vAlign w:val="center"/>
          </w:tcPr>
          <w:p w14:paraId="16CB6CE6" w14:textId="77777777" w:rsidR="00937EA9" w:rsidRPr="00D9006E" w:rsidRDefault="00937EA9" w:rsidP="00563D49">
            <w:pPr>
              <w:spacing w:after="120"/>
              <w:jc w:val="right"/>
              <w:rPr>
                <w:rFonts w:ascii="Calibri" w:hAnsi="Calibri" w:cs="Calibri"/>
                <w:color w:val="000000"/>
                <w:sz w:val="14"/>
                <w:szCs w:val="14"/>
              </w:rPr>
            </w:pPr>
          </w:p>
        </w:tc>
        <w:tc>
          <w:tcPr>
            <w:tcW w:w="456" w:type="pct"/>
            <w:vMerge/>
            <w:tcBorders>
              <w:left w:val="nil"/>
              <w:right w:val="nil"/>
            </w:tcBorders>
            <w:shd w:val="clear" w:color="auto" w:fill="auto"/>
            <w:noWrap/>
            <w:vAlign w:val="center"/>
          </w:tcPr>
          <w:p w14:paraId="151D727F" w14:textId="289E9EC4" w:rsidR="00937EA9" w:rsidRPr="00D9006E" w:rsidRDefault="00937EA9" w:rsidP="00563D49">
            <w:pPr>
              <w:spacing w:after="120"/>
              <w:jc w:val="right"/>
              <w:rPr>
                <w:rFonts w:ascii="Calibri" w:hAnsi="Calibri" w:cs="Calibri"/>
                <w:color w:val="000000"/>
                <w:sz w:val="14"/>
                <w:szCs w:val="14"/>
              </w:rPr>
            </w:pPr>
          </w:p>
        </w:tc>
      </w:tr>
      <w:tr w:rsidR="00937EA9" w:rsidRPr="00D9006E" w14:paraId="76AF8CEC" w14:textId="77777777" w:rsidTr="00B83E3B">
        <w:trPr>
          <w:trHeight w:hRule="exact" w:val="227"/>
        </w:trPr>
        <w:tc>
          <w:tcPr>
            <w:tcW w:w="1741" w:type="pct"/>
            <w:vMerge/>
            <w:tcBorders>
              <w:left w:val="nil"/>
              <w:bottom w:val="single" w:sz="2" w:space="0" w:color="auto"/>
              <w:right w:val="nil"/>
            </w:tcBorders>
            <w:shd w:val="clear" w:color="auto" w:fill="auto"/>
            <w:noWrap/>
            <w:vAlign w:val="center"/>
          </w:tcPr>
          <w:p w14:paraId="4D0D8B43" w14:textId="77777777" w:rsidR="00937EA9" w:rsidRPr="00D9006E" w:rsidRDefault="00937EA9" w:rsidP="00563D49">
            <w:pPr>
              <w:spacing w:after="120"/>
              <w:rPr>
                <w:rFonts w:ascii="Calibri" w:hAnsi="Calibri" w:cs="Calibri"/>
                <w:color w:val="000000"/>
                <w:sz w:val="14"/>
                <w:szCs w:val="14"/>
              </w:rPr>
            </w:pPr>
          </w:p>
        </w:tc>
        <w:tc>
          <w:tcPr>
            <w:tcW w:w="1030" w:type="pct"/>
            <w:tcBorders>
              <w:left w:val="nil"/>
              <w:bottom w:val="single" w:sz="2" w:space="0" w:color="auto"/>
              <w:right w:val="nil"/>
            </w:tcBorders>
            <w:shd w:val="clear" w:color="auto" w:fill="auto"/>
            <w:noWrap/>
            <w:vAlign w:val="center"/>
          </w:tcPr>
          <w:p w14:paraId="1BA45DF0" w14:textId="3C54A12E" w:rsidR="00937EA9" w:rsidRPr="00D9006E" w:rsidRDefault="00937EA9" w:rsidP="001E20DD">
            <w:pPr>
              <w:spacing w:after="120"/>
              <w:rPr>
                <w:rFonts w:ascii="Calibri" w:hAnsi="Calibri" w:cs="Calibri"/>
                <w:color w:val="000000"/>
                <w:sz w:val="14"/>
                <w:szCs w:val="14"/>
              </w:rPr>
            </w:pPr>
            <w:r w:rsidRPr="00D9006E">
              <w:rPr>
                <w:rFonts w:ascii="Calibri" w:hAnsi="Calibri" w:cs="Calibri"/>
                <w:color w:val="000000"/>
                <w:sz w:val="14"/>
                <w:szCs w:val="14"/>
              </w:rPr>
              <w:t>BR-116/493/RJ/MG (CRT)</w:t>
            </w:r>
          </w:p>
        </w:tc>
        <w:tc>
          <w:tcPr>
            <w:tcW w:w="407" w:type="pct"/>
            <w:vMerge/>
            <w:tcBorders>
              <w:left w:val="nil"/>
              <w:bottom w:val="single" w:sz="2" w:space="0" w:color="auto"/>
              <w:right w:val="nil"/>
            </w:tcBorders>
            <w:shd w:val="clear" w:color="auto" w:fill="auto"/>
            <w:noWrap/>
            <w:vAlign w:val="center"/>
          </w:tcPr>
          <w:p w14:paraId="0BB47670" w14:textId="77777777" w:rsidR="00937EA9" w:rsidRPr="00D9006E" w:rsidRDefault="00937EA9" w:rsidP="00563D49">
            <w:pPr>
              <w:spacing w:after="120"/>
              <w:jc w:val="right"/>
              <w:rPr>
                <w:rFonts w:ascii="Calibri" w:hAnsi="Calibri" w:cs="Calibri"/>
                <w:color w:val="000000"/>
                <w:sz w:val="14"/>
                <w:szCs w:val="14"/>
              </w:rPr>
            </w:pPr>
          </w:p>
        </w:tc>
        <w:tc>
          <w:tcPr>
            <w:tcW w:w="471" w:type="pct"/>
            <w:vMerge/>
            <w:tcBorders>
              <w:left w:val="nil"/>
              <w:bottom w:val="single" w:sz="2" w:space="0" w:color="auto"/>
              <w:right w:val="nil"/>
            </w:tcBorders>
            <w:shd w:val="clear" w:color="auto" w:fill="auto"/>
            <w:noWrap/>
            <w:vAlign w:val="center"/>
          </w:tcPr>
          <w:p w14:paraId="25306DA6" w14:textId="77777777" w:rsidR="00937EA9" w:rsidRPr="00D9006E" w:rsidRDefault="00937EA9" w:rsidP="00563D49">
            <w:pPr>
              <w:spacing w:after="120"/>
              <w:jc w:val="right"/>
              <w:rPr>
                <w:rFonts w:ascii="Calibri" w:hAnsi="Calibri" w:cs="Calibri"/>
                <w:color w:val="000000"/>
                <w:sz w:val="14"/>
                <w:szCs w:val="14"/>
              </w:rPr>
            </w:pPr>
          </w:p>
        </w:tc>
        <w:tc>
          <w:tcPr>
            <w:tcW w:w="486" w:type="pct"/>
            <w:vMerge/>
            <w:tcBorders>
              <w:left w:val="nil"/>
              <w:bottom w:val="single" w:sz="2" w:space="0" w:color="auto"/>
              <w:right w:val="nil"/>
            </w:tcBorders>
            <w:shd w:val="clear" w:color="auto" w:fill="auto"/>
            <w:noWrap/>
            <w:vAlign w:val="center"/>
          </w:tcPr>
          <w:p w14:paraId="4DEB2D4E" w14:textId="77777777" w:rsidR="00937EA9" w:rsidRPr="00D9006E" w:rsidRDefault="00937EA9" w:rsidP="00563D49">
            <w:pPr>
              <w:spacing w:after="120"/>
              <w:jc w:val="right"/>
              <w:rPr>
                <w:rFonts w:ascii="Calibri" w:hAnsi="Calibri" w:cs="Calibri"/>
                <w:color w:val="000000"/>
                <w:sz w:val="14"/>
                <w:szCs w:val="14"/>
              </w:rPr>
            </w:pPr>
          </w:p>
        </w:tc>
        <w:tc>
          <w:tcPr>
            <w:tcW w:w="409" w:type="pct"/>
            <w:vMerge/>
            <w:tcBorders>
              <w:left w:val="nil"/>
              <w:bottom w:val="single" w:sz="2" w:space="0" w:color="auto"/>
              <w:right w:val="nil"/>
            </w:tcBorders>
            <w:shd w:val="clear" w:color="auto" w:fill="auto"/>
            <w:noWrap/>
            <w:vAlign w:val="center"/>
          </w:tcPr>
          <w:p w14:paraId="5235E56C" w14:textId="77777777" w:rsidR="00937EA9" w:rsidRPr="00D9006E" w:rsidRDefault="00937EA9" w:rsidP="00563D49">
            <w:pPr>
              <w:spacing w:after="120"/>
              <w:jc w:val="right"/>
              <w:rPr>
                <w:rFonts w:ascii="Calibri" w:hAnsi="Calibri" w:cs="Calibri"/>
                <w:color w:val="000000"/>
                <w:sz w:val="14"/>
                <w:szCs w:val="14"/>
              </w:rPr>
            </w:pPr>
          </w:p>
        </w:tc>
        <w:tc>
          <w:tcPr>
            <w:tcW w:w="456" w:type="pct"/>
            <w:vMerge/>
            <w:tcBorders>
              <w:left w:val="nil"/>
              <w:bottom w:val="single" w:sz="2" w:space="0" w:color="auto"/>
              <w:right w:val="nil"/>
            </w:tcBorders>
            <w:shd w:val="clear" w:color="auto" w:fill="auto"/>
            <w:noWrap/>
            <w:vAlign w:val="center"/>
          </w:tcPr>
          <w:p w14:paraId="78AF4323" w14:textId="1D8FCBBE" w:rsidR="00937EA9" w:rsidRPr="00D9006E" w:rsidRDefault="00937EA9" w:rsidP="00563D49">
            <w:pPr>
              <w:spacing w:after="120"/>
              <w:jc w:val="right"/>
              <w:rPr>
                <w:rFonts w:ascii="Calibri" w:hAnsi="Calibri" w:cs="Calibri"/>
                <w:color w:val="000000"/>
                <w:sz w:val="14"/>
                <w:szCs w:val="14"/>
              </w:rPr>
            </w:pPr>
          </w:p>
        </w:tc>
      </w:tr>
      <w:tr w:rsidR="00937EA9" w:rsidRPr="00D9006E" w14:paraId="27B93826" w14:textId="77777777" w:rsidTr="00B83E3B">
        <w:trPr>
          <w:trHeight w:hRule="exact" w:val="227"/>
        </w:trPr>
        <w:tc>
          <w:tcPr>
            <w:tcW w:w="1741" w:type="pct"/>
            <w:tcBorders>
              <w:top w:val="single" w:sz="2" w:space="0" w:color="auto"/>
              <w:left w:val="nil"/>
              <w:bottom w:val="nil"/>
              <w:right w:val="nil"/>
            </w:tcBorders>
            <w:shd w:val="clear" w:color="auto" w:fill="auto"/>
            <w:noWrap/>
            <w:vAlign w:val="center"/>
          </w:tcPr>
          <w:p w14:paraId="37C0A770" w14:textId="3A960590"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02/2021 - Acordo BID</w:t>
            </w:r>
          </w:p>
        </w:tc>
        <w:tc>
          <w:tcPr>
            <w:tcW w:w="1030" w:type="pct"/>
            <w:tcBorders>
              <w:top w:val="single" w:sz="2" w:space="0" w:color="auto"/>
              <w:left w:val="nil"/>
              <w:bottom w:val="nil"/>
              <w:right w:val="nil"/>
            </w:tcBorders>
            <w:shd w:val="clear" w:color="auto" w:fill="auto"/>
            <w:noWrap/>
            <w:vAlign w:val="center"/>
          </w:tcPr>
          <w:p w14:paraId="74E44522" w14:textId="774B08FE"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Malha Rodoviária de SC</w:t>
            </w:r>
          </w:p>
        </w:tc>
        <w:tc>
          <w:tcPr>
            <w:tcW w:w="407" w:type="pct"/>
            <w:tcBorders>
              <w:top w:val="single" w:sz="2" w:space="0" w:color="auto"/>
              <w:left w:val="nil"/>
              <w:bottom w:val="nil"/>
              <w:right w:val="nil"/>
            </w:tcBorders>
            <w:shd w:val="clear" w:color="auto" w:fill="auto"/>
            <w:noWrap/>
            <w:vAlign w:val="center"/>
          </w:tcPr>
          <w:p w14:paraId="743D1432" w14:textId="6EB13138"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71" w:type="pct"/>
            <w:tcBorders>
              <w:top w:val="single" w:sz="2" w:space="0" w:color="auto"/>
              <w:left w:val="nil"/>
              <w:bottom w:val="nil"/>
              <w:right w:val="nil"/>
            </w:tcBorders>
            <w:shd w:val="clear" w:color="auto" w:fill="auto"/>
            <w:noWrap/>
            <w:vAlign w:val="center"/>
          </w:tcPr>
          <w:p w14:paraId="663CC343" w14:textId="068507AC"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7.128.367</w:t>
            </w:r>
          </w:p>
        </w:tc>
        <w:tc>
          <w:tcPr>
            <w:tcW w:w="486" w:type="pct"/>
            <w:tcBorders>
              <w:top w:val="single" w:sz="2" w:space="0" w:color="auto"/>
              <w:left w:val="nil"/>
              <w:bottom w:val="nil"/>
              <w:right w:val="nil"/>
            </w:tcBorders>
            <w:shd w:val="clear" w:color="auto" w:fill="auto"/>
            <w:noWrap/>
            <w:vAlign w:val="center"/>
          </w:tcPr>
          <w:p w14:paraId="441BE058" w14:textId="0331AC8F"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tcBorders>
              <w:top w:val="single" w:sz="2" w:space="0" w:color="auto"/>
              <w:left w:val="nil"/>
              <w:bottom w:val="nil"/>
              <w:right w:val="nil"/>
            </w:tcBorders>
            <w:shd w:val="clear" w:color="auto" w:fill="auto"/>
            <w:noWrap/>
          </w:tcPr>
          <w:p w14:paraId="7C7A653C" w14:textId="0CE1B13A" w:rsidR="00937EA9" w:rsidRPr="00D9006E" w:rsidRDefault="00937EA9" w:rsidP="00937EA9">
            <w:pPr>
              <w:spacing w:after="120"/>
              <w:jc w:val="right"/>
              <w:rPr>
                <w:rFonts w:ascii="Calibri" w:hAnsi="Calibri" w:cs="Calibri"/>
                <w:color w:val="000000"/>
                <w:sz w:val="14"/>
                <w:szCs w:val="14"/>
              </w:rPr>
            </w:pPr>
            <w:r w:rsidRPr="00793A70">
              <w:rPr>
                <w:rFonts w:ascii="Calibri" w:hAnsi="Calibri" w:cs="Calibri"/>
                <w:color w:val="000000"/>
                <w:sz w:val="14"/>
                <w:szCs w:val="14"/>
              </w:rPr>
              <w:t>-</w:t>
            </w:r>
          </w:p>
        </w:tc>
        <w:tc>
          <w:tcPr>
            <w:tcW w:w="456" w:type="pct"/>
            <w:tcBorders>
              <w:top w:val="single" w:sz="2" w:space="0" w:color="auto"/>
              <w:left w:val="nil"/>
              <w:bottom w:val="nil"/>
              <w:right w:val="nil"/>
            </w:tcBorders>
            <w:shd w:val="clear" w:color="auto" w:fill="auto"/>
            <w:noWrap/>
            <w:vAlign w:val="center"/>
          </w:tcPr>
          <w:p w14:paraId="7E8AA3C2" w14:textId="72ECCEE4"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7.128.367</w:t>
            </w:r>
          </w:p>
        </w:tc>
      </w:tr>
      <w:tr w:rsidR="00937EA9" w:rsidRPr="00D9006E" w14:paraId="4A969600" w14:textId="77777777" w:rsidTr="00B83E3B">
        <w:trPr>
          <w:trHeight w:hRule="exact" w:val="227"/>
        </w:trPr>
        <w:tc>
          <w:tcPr>
            <w:tcW w:w="1741" w:type="pct"/>
            <w:tcBorders>
              <w:left w:val="nil"/>
              <w:bottom w:val="nil"/>
              <w:right w:val="nil"/>
            </w:tcBorders>
            <w:shd w:val="clear" w:color="auto" w:fill="auto"/>
            <w:noWrap/>
            <w:vAlign w:val="center"/>
          </w:tcPr>
          <w:p w14:paraId="7F74236E" w14:textId="4071EC7A"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05/2019 - MRS</w:t>
            </w:r>
          </w:p>
        </w:tc>
        <w:tc>
          <w:tcPr>
            <w:tcW w:w="1030" w:type="pct"/>
            <w:tcBorders>
              <w:left w:val="nil"/>
              <w:bottom w:val="nil"/>
              <w:right w:val="nil"/>
            </w:tcBorders>
            <w:shd w:val="clear" w:color="auto" w:fill="auto"/>
            <w:noWrap/>
            <w:vAlign w:val="center"/>
          </w:tcPr>
          <w:p w14:paraId="25802395" w14:textId="553B1391"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EF-170</w:t>
            </w:r>
          </w:p>
        </w:tc>
        <w:tc>
          <w:tcPr>
            <w:tcW w:w="407" w:type="pct"/>
            <w:tcBorders>
              <w:left w:val="nil"/>
              <w:bottom w:val="nil"/>
              <w:right w:val="nil"/>
            </w:tcBorders>
            <w:shd w:val="clear" w:color="auto" w:fill="auto"/>
            <w:noWrap/>
          </w:tcPr>
          <w:p w14:paraId="3FE1BEE8" w14:textId="034058D1" w:rsidR="00937EA9" w:rsidRPr="00D9006E" w:rsidRDefault="00937EA9" w:rsidP="00937EA9">
            <w:pPr>
              <w:spacing w:after="120"/>
              <w:jc w:val="right"/>
              <w:rPr>
                <w:rFonts w:ascii="Calibri" w:hAnsi="Calibri" w:cs="Calibri"/>
                <w:color w:val="000000"/>
                <w:sz w:val="14"/>
                <w:szCs w:val="14"/>
              </w:rPr>
            </w:pPr>
            <w:r w:rsidRPr="0039615B">
              <w:rPr>
                <w:rFonts w:ascii="Calibri" w:hAnsi="Calibri" w:cs="Calibri"/>
                <w:color w:val="000000"/>
                <w:sz w:val="14"/>
                <w:szCs w:val="14"/>
              </w:rPr>
              <w:t>-</w:t>
            </w:r>
          </w:p>
        </w:tc>
        <w:tc>
          <w:tcPr>
            <w:tcW w:w="471" w:type="pct"/>
            <w:tcBorders>
              <w:left w:val="nil"/>
              <w:bottom w:val="nil"/>
              <w:right w:val="nil"/>
            </w:tcBorders>
            <w:shd w:val="clear" w:color="auto" w:fill="auto"/>
            <w:noWrap/>
            <w:vAlign w:val="center"/>
          </w:tcPr>
          <w:p w14:paraId="52659176" w14:textId="3932A066"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6.550.677</w:t>
            </w:r>
          </w:p>
        </w:tc>
        <w:tc>
          <w:tcPr>
            <w:tcW w:w="486" w:type="pct"/>
            <w:tcBorders>
              <w:left w:val="nil"/>
              <w:bottom w:val="nil"/>
              <w:right w:val="nil"/>
            </w:tcBorders>
            <w:shd w:val="clear" w:color="auto" w:fill="auto"/>
            <w:noWrap/>
            <w:vAlign w:val="center"/>
          </w:tcPr>
          <w:p w14:paraId="1D8A4B23" w14:textId="23B5A72B"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tcBorders>
              <w:left w:val="nil"/>
              <w:bottom w:val="nil"/>
              <w:right w:val="nil"/>
            </w:tcBorders>
            <w:shd w:val="clear" w:color="auto" w:fill="auto"/>
            <w:noWrap/>
          </w:tcPr>
          <w:p w14:paraId="5D714D70" w14:textId="6DB975D6" w:rsidR="00937EA9" w:rsidRPr="00D9006E" w:rsidRDefault="00937EA9" w:rsidP="00937EA9">
            <w:pPr>
              <w:spacing w:after="120"/>
              <w:jc w:val="right"/>
              <w:rPr>
                <w:rFonts w:ascii="Calibri" w:hAnsi="Calibri" w:cs="Calibri"/>
                <w:color w:val="000000"/>
                <w:sz w:val="14"/>
                <w:szCs w:val="14"/>
              </w:rPr>
            </w:pPr>
            <w:r w:rsidRPr="00793A70">
              <w:rPr>
                <w:rFonts w:ascii="Calibri" w:hAnsi="Calibri" w:cs="Calibri"/>
                <w:color w:val="000000"/>
                <w:sz w:val="14"/>
                <w:szCs w:val="14"/>
              </w:rPr>
              <w:t>-</w:t>
            </w:r>
          </w:p>
        </w:tc>
        <w:tc>
          <w:tcPr>
            <w:tcW w:w="456" w:type="pct"/>
            <w:tcBorders>
              <w:left w:val="nil"/>
              <w:bottom w:val="nil"/>
              <w:right w:val="nil"/>
            </w:tcBorders>
            <w:shd w:val="clear" w:color="auto" w:fill="auto"/>
            <w:noWrap/>
            <w:vAlign w:val="center"/>
          </w:tcPr>
          <w:p w14:paraId="53464A20" w14:textId="60CBF71C"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6.550.677</w:t>
            </w:r>
          </w:p>
        </w:tc>
      </w:tr>
      <w:tr w:rsidR="00937EA9" w:rsidRPr="00D9006E" w14:paraId="3E08A9C4" w14:textId="77777777" w:rsidTr="00B83E3B">
        <w:trPr>
          <w:trHeight w:hRule="exact" w:val="227"/>
        </w:trPr>
        <w:tc>
          <w:tcPr>
            <w:tcW w:w="1741" w:type="pct"/>
            <w:tcBorders>
              <w:left w:val="nil"/>
              <w:bottom w:val="nil"/>
              <w:right w:val="nil"/>
            </w:tcBorders>
            <w:shd w:val="clear" w:color="auto" w:fill="auto"/>
            <w:noWrap/>
            <w:vAlign w:val="center"/>
          </w:tcPr>
          <w:p w14:paraId="77AF6203" w14:textId="0D29C26C"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12/2013 - STE</w:t>
            </w:r>
          </w:p>
        </w:tc>
        <w:tc>
          <w:tcPr>
            <w:tcW w:w="1030" w:type="pct"/>
            <w:tcBorders>
              <w:left w:val="nil"/>
              <w:bottom w:val="nil"/>
              <w:right w:val="nil"/>
            </w:tcBorders>
            <w:shd w:val="clear" w:color="auto" w:fill="auto"/>
            <w:noWrap/>
            <w:vAlign w:val="center"/>
          </w:tcPr>
          <w:p w14:paraId="1E4FFC36" w14:textId="4B3D2964"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BR-116</w:t>
            </w:r>
          </w:p>
        </w:tc>
        <w:tc>
          <w:tcPr>
            <w:tcW w:w="407" w:type="pct"/>
            <w:tcBorders>
              <w:left w:val="nil"/>
              <w:bottom w:val="nil"/>
              <w:right w:val="nil"/>
            </w:tcBorders>
            <w:shd w:val="clear" w:color="auto" w:fill="auto"/>
            <w:noWrap/>
          </w:tcPr>
          <w:p w14:paraId="7D8B657A" w14:textId="569C0814" w:rsidR="00937EA9" w:rsidRPr="00D9006E" w:rsidRDefault="00937EA9" w:rsidP="00937EA9">
            <w:pPr>
              <w:spacing w:after="120"/>
              <w:jc w:val="right"/>
              <w:rPr>
                <w:rFonts w:ascii="Calibri" w:hAnsi="Calibri" w:cs="Calibri"/>
                <w:color w:val="000000"/>
                <w:sz w:val="14"/>
                <w:szCs w:val="14"/>
              </w:rPr>
            </w:pPr>
            <w:r w:rsidRPr="0039615B">
              <w:rPr>
                <w:rFonts w:ascii="Calibri" w:hAnsi="Calibri" w:cs="Calibri"/>
                <w:color w:val="000000"/>
                <w:sz w:val="14"/>
                <w:szCs w:val="14"/>
              </w:rPr>
              <w:t>-</w:t>
            </w:r>
          </w:p>
        </w:tc>
        <w:tc>
          <w:tcPr>
            <w:tcW w:w="471" w:type="pct"/>
            <w:tcBorders>
              <w:left w:val="nil"/>
              <w:bottom w:val="nil"/>
              <w:right w:val="nil"/>
            </w:tcBorders>
            <w:shd w:val="clear" w:color="auto" w:fill="auto"/>
            <w:noWrap/>
            <w:vAlign w:val="center"/>
          </w:tcPr>
          <w:p w14:paraId="67C0EC8F" w14:textId="46B86660"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86" w:type="pct"/>
            <w:tcBorders>
              <w:left w:val="nil"/>
              <w:bottom w:val="nil"/>
              <w:right w:val="nil"/>
            </w:tcBorders>
            <w:shd w:val="clear" w:color="auto" w:fill="auto"/>
            <w:noWrap/>
            <w:vAlign w:val="center"/>
          </w:tcPr>
          <w:p w14:paraId="6F4011DF" w14:textId="0ADADF77"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tcBorders>
              <w:left w:val="nil"/>
              <w:bottom w:val="nil"/>
              <w:right w:val="nil"/>
            </w:tcBorders>
            <w:shd w:val="clear" w:color="auto" w:fill="auto"/>
            <w:noWrap/>
          </w:tcPr>
          <w:p w14:paraId="07FA95BF" w14:textId="04488B60" w:rsidR="00937EA9" w:rsidRPr="00D9006E" w:rsidRDefault="00937EA9" w:rsidP="00937EA9">
            <w:pPr>
              <w:spacing w:after="120"/>
              <w:jc w:val="right"/>
              <w:rPr>
                <w:rFonts w:ascii="Calibri" w:hAnsi="Calibri" w:cs="Calibri"/>
                <w:color w:val="000000"/>
                <w:sz w:val="14"/>
                <w:szCs w:val="14"/>
              </w:rPr>
            </w:pPr>
            <w:r w:rsidRPr="00793A70">
              <w:rPr>
                <w:rFonts w:ascii="Calibri" w:hAnsi="Calibri" w:cs="Calibri"/>
                <w:color w:val="000000"/>
                <w:sz w:val="14"/>
                <w:szCs w:val="14"/>
              </w:rPr>
              <w:t>-</w:t>
            </w:r>
          </w:p>
        </w:tc>
        <w:tc>
          <w:tcPr>
            <w:tcW w:w="456" w:type="pct"/>
            <w:tcBorders>
              <w:left w:val="nil"/>
              <w:bottom w:val="nil"/>
              <w:right w:val="nil"/>
            </w:tcBorders>
            <w:shd w:val="clear" w:color="auto" w:fill="auto"/>
            <w:noWrap/>
            <w:vAlign w:val="center"/>
          </w:tcPr>
          <w:p w14:paraId="08F1C469" w14:textId="0BD3DDDE"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r>
      <w:tr w:rsidR="00937EA9" w:rsidRPr="00D9006E" w14:paraId="7BDD81DA" w14:textId="77777777" w:rsidTr="00B83E3B">
        <w:trPr>
          <w:trHeight w:hRule="exact" w:val="227"/>
        </w:trPr>
        <w:tc>
          <w:tcPr>
            <w:tcW w:w="1741" w:type="pct"/>
            <w:tcBorders>
              <w:left w:val="nil"/>
              <w:bottom w:val="nil"/>
              <w:right w:val="nil"/>
            </w:tcBorders>
            <w:shd w:val="clear" w:color="auto" w:fill="auto"/>
            <w:noWrap/>
            <w:vAlign w:val="center"/>
          </w:tcPr>
          <w:p w14:paraId="777895A7" w14:textId="021E47E2"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11/2018 - Egis/ Engemin</w:t>
            </w:r>
          </w:p>
        </w:tc>
        <w:tc>
          <w:tcPr>
            <w:tcW w:w="1030" w:type="pct"/>
            <w:tcBorders>
              <w:left w:val="nil"/>
              <w:bottom w:val="nil"/>
              <w:right w:val="nil"/>
            </w:tcBorders>
            <w:shd w:val="clear" w:color="auto" w:fill="auto"/>
            <w:noWrap/>
            <w:vAlign w:val="center"/>
          </w:tcPr>
          <w:p w14:paraId="6812326F" w14:textId="57033EC7"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BR/364/MT/RO</w:t>
            </w:r>
          </w:p>
        </w:tc>
        <w:tc>
          <w:tcPr>
            <w:tcW w:w="407" w:type="pct"/>
            <w:tcBorders>
              <w:left w:val="nil"/>
              <w:bottom w:val="nil"/>
              <w:right w:val="nil"/>
            </w:tcBorders>
            <w:shd w:val="clear" w:color="auto" w:fill="auto"/>
            <w:noWrap/>
          </w:tcPr>
          <w:p w14:paraId="1D25B573" w14:textId="3AEEC7AA" w:rsidR="00937EA9" w:rsidRPr="00D9006E" w:rsidRDefault="00937EA9" w:rsidP="00937EA9">
            <w:pPr>
              <w:spacing w:after="120"/>
              <w:jc w:val="right"/>
              <w:rPr>
                <w:rFonts w:ascii="Calibri" w:hAnsi="Calibri" w:cs="Calibri"/>
                <w:color w:val="000000"/>
                <w:sz w:val="14"/>
                <w:szCs w:val="14"/>
              </w:rPr>
            </w:pPr>
            <w:r w:rsidRPr="0039615B">
              <w:rPr>
                <w:rFonts w:ascii="Calibri" w:hAnsi="Calibri" w:cs="Calibri"/>
                <w:color w:val="000000"/>
                <w:sz w:val="14"/>
                <w:szCs w:val="14"/>
              </w:rPr>
              <w:t>-</w:t>
            </w:r>
          </w:p>
        </w:tc>
        <w:tc>
          <w:tcPr>
            <w:tcW w:w="471" w:type="pct"/>
            <w:tcBorders>
              <w:left w:val="nil"/>
              <w:bottom w:val="nil"/>
              <w:right w:val="nil"/>
            </w:tcBorders>
            <w:shd w:val="clear" w:color="auto" w:fill="auto"/>
            <w:noWrap/>
            <w:vAlign w:val="center"/>
          </w:tcPr>
          <w:p w14:paraId="4AAED08C" w14:textId="45BFE0FC"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4.051.345</w:t>
            </w:r>
          </w:p>
        </w:tc>
        <w:tc>
          <w:tcPr>
            <w:tcW w:w="486" w:type="pct"/>
            <w:tcBorders>
              <w:left w:val="nil"/>
              <w:bottom w:val="nil"/>
              <w:right w:val="nil"/>
            </w:tcBorders>
            <w:shd w:val="clear" w:color="auto" w:fill="auto"/>
            <w:noWrap/>
            <w:vAlign w:val="center"/>
          </w:tcPr>
          <w:p w14:paraId="2F83678C" w14:textId="09BB7D40"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tcBorders>
              <w:left w:val="nil"/>
              <w:bottom w:val="nil"/>
              <w:right w:val="nil"/>
            </w:tcBorders>
            <w:shd w:val="clear" w:color="auto" w:fill="auto"/>
            <w:noWrap/>
          </w:tcPr>
          <w:p w14:paraId="5F2833C9" w14:textId="1C8C8F8E" w:rsidR="00937EA9" w:rsidRPr="00D9006E" w:rsidRDefault="00937EA9" w:rsidP="00937EA9">
            <w:pPr>
              <w:spacing w:after="120"/>
              <w:jc w:val="right"/>
              <w:rPr>
                <w:rFonts w:ascii="Calibri" w:hAnsi="Calibri" w:cs="Calibri"/>
                <w:color w:val="000000"/>
                <w:sz w:val="14"/>
                <w:szCs w:val="14"/>
              </w:rPr>
            </w:pPr>
            <w:r w:rsidRPr="00793A70">
              <w:rPr>
                <w:rFonts w:ascii="Calibri" w:hAnsi="Calibri" w:cs="Calibri"/>
                <w:color w:val="000000"/>
                <w:sz w:val="14"/>
                <w:szCs w:val="14"/>
              </w:rPr>
              <w:t>-</w:t>
            </w:r>
          </w:p>
        </w:tc>
        <w:tc>
          <w:tcPr>
            <w:tcW w:w="456" w:type="pct"/>
            <w:tcBorders>
              <w:left w:val="nil"/>
              <w:bottom w:val="nil"/>
              <w:right w:val="nil"/>
            </w:tcBorders>
            <w:shd w:val="clear" w:color="auto" w:fill="auto"/>
            <w:noWrap/>
            <w:vAlign w:val="center"/>
          </w:tcPr>
          <w:p w14:paraId="4B46F2CD" w14:textId="21DE3DA7"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4.051.345</w:t>
            </w:r>
          </w:p>
        </w:tc>
      </w:tr>
      <w:tr w:rsidR="00937EA9" w:rsidRPr="00D9006E" w14:paraId="5DDFCB94" w14:textId="77777777" w:rsidTr="00B83E3B">
        <w:trPr>
          <w:trHeight w:hRule="exact" w:val="227"/>
        </w:trPr>
        <w:tc>
          <w:tcPr>
            <w:tcW w:w="1741" w:type="pct"/>
            <w:tcBorders>
              <w:left w:val="nil"/>
              <w:bottom w:val="nil"/>
              <w:right w:val="nil"/>
            </w:tcBorders>
            <w:shd w:val="clear" w:color="auto" w:fill="auto"/>
            <w:noWrap/>
            <w:vAlign w:val="center"/>
          </w:tcPr>
          <w:p w14:paraId="07297C55" w14:textId="15C69223"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16/2015 - MRS</w:t>
            </w:r>
          </w:p>
        </w:tc>
        <w:tc>
          <w:tcPr>
            <w:tcW w:w="1030" w:type="pct"/>
            <w:tcBorders>
              <w:left w:val="nil"/>
              <w:bottom w:val="nil"/>
              <w:right w:val="nil"/>
            </w:tcBorders>
            <w:shd w:val="clear" w:color="auto" w:fill="auto"/>
            <w:noWrap/>
            <w:vAlign w:val="center"/>
          </w:tcPr>
          <w:p w14:paraId="5D9376BC" w14:textId="4B6B7A31"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BR-156/476/282/480</w:t>
            </w:r>
          </w:p>
        </w:tc>
        <w:tc>
          <w:tcPr>
            <w:tcW w:w="407" w:type="pct"/>
            <w:tcBorders>
              <w:left w:val="nil"/>
              <w:bottom w:val="nil"/>
              <w:right w:val="nil"/>
            </w:tcBorders>
            <w:shd w:val="clear" w:color="auto" w:fill="auto"/>
            <w:noWrap/>
          </w:tcPr>
          <w:p w14:paraId="7D3EEA6D" w14:textId="756E9621" w:rsidR="00937EA9" w:rsidRPr="00D9006E" w:rsidRDefault="00937EA9" w:rsidP="00937EA9">
            <w:pPr>
              <w:spacing w:after="120"/>
              <w:jc w:val="right"/>
              <w:rPr>
                <w:rFonts w:ascii="Calibri" w:hAnsi="Calibri" w:cs="Calibri"/>
                <w:color w:val="000000"/>
                <w:sz w:val="14"/>
                <w:szCs w:val="14"/>
              </w:rPr>
            </w:pPr>
            <w:r w:rsidRPr="0039615B">
              <w:rPr>
                <w:rFonts w:ascii="Calibri" w:hAnsi="Calibri" w:cs="Calibri"/>
                <w:color w:val="000000"/>
                <w:sz w:val="14"/>
                <w:szCs w:val="14"/>
              </w:rPr>
              <w:t>-</w:t>
            </w:r>
          </w:p>
        </w:tc>
        <w:tc>
          <w:tcPr>
            <w:tcW w:w="471" w:type="pct"/>
            <w:tcBorders>
              <w:left w:val="nil"/>
              <w:bottom w:val="nil"/>
              <w:right w:val="nil"/>
            </w:tcBorders>
            <w:shd w:val="clear" w:color="auto" w:fill="auto"/>
            <w:noWrap/>
            <w:vAlign w:val="center"/>
          </w:tcPr>
          <w:p w14:paraId="71B45985" w14:textId="0C662A0B"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3.908.420</w:t>
            </w:r>
          </w:p>
        </w:tc>
        <w:tc>
          <w:tcPr>
            <w:tcW w:w="486" w:type="pct"/>
            <w:tcBorders>
              <w:left w:val="nil"/>
              <w:bottom w:val="nil"/>
              <w:right w:val="nil"/>
            </w:tcBorders>
            <w:shd w:val="clear" w:color="auto" w:fill="auto"/>
            <w:noWrap/>
            <w:vAlign w:val="center"/>
          </w:tcPr>
          <w:p w14:paraId="2EDB4252" w14:textId="78C0A962"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tcBorders>
              <w:left w:val="nil"/>
              <w:bottom w:val="nil"/>
              <w:right w:val="nil"/>
            </w:tcBorders>
            <w:shd w:val="clear" w:color="auto" w:fill="auto"/>
            <w:noWrap/>
          </w:tcPr>
          <w:p w14:paraId="2C8C1922" w14:textId="65D4883D" w:rsidR="00937EA9" w:rsidRPr="00D9006E" w:rsidRDefault="00937EA9" w:rsidP="00937EA9">
            <w:pPr>
              <w:spacing w:after="120"/>
              <w:jc w:val="right"/>
              <w:rPr>
                <w:rFonts w:ascii="Calibri" w:hAnsi="Calibri" w:cs="Calibri"/>
                <w:color w:val="000000"/>
                <w:sz w:val="14"/>
                <w:szCs w:val="14"/>
              </w:rPr>
            </w:pPr>
            <w:r w:rsidRPr="00793A70">
              <w:rPr>
                <w:rFonts w:ascii="Calibri" w:hAnsi="Calibri" w:cs="Calibri"/>
                <w:color w:val="000000"/>
                <w:sz w:val="14"/>
                <w:szCs w:val="14"/>
              </w:rPr>
              <w:t>-</w:t>
            </w:r>
          </w:p>
        </w:tc>
        <w:tc>
          <w:tcPr>
            <w:tcW w:w="456" w:type="pct"/>
            <w:tcBorders>
              <w:left w:val="nil"/>
              <w:bottom w:val="nil"/>
              <w:right w:val="nil"/>
            </w:tcBorders>
            <w:shd w:val="clear" w:color="auto" w:fill="auto"/>
            <w:noWrap/>
            <w:vAlign w:val="center"/>
          </w:tcPr>
          <w:p w14:paraId="2955DBD9" w14:textId="6B96122D"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3.908.420</w:t>
            </w:r>
          </w:p>
        </w:tc>
      </w:tr>
      <w:tr w:rsidR="00937EA9" w:rsidRPr="00D9006E" w14:paraId="1E8CBFC3" w14:textId="77777777" w:rsidTr="00B83E3B">
        <w:trPr>
          <w:trHeight w:hRule="exact" w:val="227"/>
        </w:trPr>
        <w:tc>
          <w:tcPr>
            <w:tcW w:w="1741" w:type="pct"/>
            <w:tcBorders>
              <w:left w:val="nil"/>
              <w:bottom w:val="nil"/>
              <w:right w:val="nil"/>
            </w:tcBorders>
            <w:shd w:val="clear" w:color="auto" w:fill="auto"/>
            <w:noWrap/>
            <w:vAlign w:val="center"/>
          </w:tcPr>
          <w:p w14:paraId="0BC0B93E" w14:textId="1FD45B5A"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16/2021 - SKILL</w:t>
            </w:r>
          </w:p>
        </w:tc>
        <w:tc>
          <w:tcPr>
            <w:tcW w:w="1030" w:type="pct"/>
            <w:tcBorders>
              <w:left w:val="nil"/>
              <w:bottom w:val="nil"/>
              <w:right w:val="nil"/>
            </w:tcBorders>
            <w:shd w:val="clear" w:color="auto" w:fill="auto"/>
            <w:noWrap/>
            <w:vAlign w:val="center"/>
          </w:tcPr>
          <w:p w14:paraId="7B8F3D30" w14:textId="316F8213"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 158/MT - Trecho Norte e Sul</w:t>
            </w:r>
          </w:p>
        </w:tc>
        <w:tc>
          <w:tcPr>
            <w:tcW w:w="407" w:type="pct"/>
            <w:tcBorders>
              <w:left w:val="nil"/>
              <w:bottom w:val="nil"/>
              <w:right w:val="nil"/>
            </w:tcBorders>
            <w:shd w:val="clear" w:color="auto" w:fill="auto"/>
            <w:noWrap/>
          </w:tcPr>
          <w:p w14:paraId="412B4715" w14:textId="2E8253DE" w:rsidR="00937EA9" w:rsidRPr="00D9006E" w:rsidRDefault="00937EA9" w:rsidP="00937EA9">
            <w:pPr>
              <w:spacing w:after="120"/>
              <w:jc w:val="right"/>
              <w:rPr>
                <w:rFonts w:ascii="Calibri" w:hAnsi="Calibri" w:cs="Calibri"/>
                <w:color w:val="000000"/>
                <w:sz w:val="14"/>
                <w:szCs w:val="14"/>
              </w:rPr>
            </w:pPr>
            <w:r w:rsidRPr="0039615B">
              <w:rPr>
                <w:rFonts w:ascii="Calibri" w:hAnsi="Calibri" w:cs="Calibri"/>
                <w:color w:val="000000"/>
                <w:sz w:val="14"/>
                <w:szCs w:val="14"/>
              </w:rPr>
              <w:t>-</w:t>
            </w:r>
          </w:p>
        </w:tc>
        <w:tc>
          <w:tcPr>
            <w:tcW w:w="471" w:type="pct"/>
            <w:tcBorders>
              <w:left w:val="nil"/>
              <w:bottom w:val="nil"/>
              <w:right w:val="nil"/>
            </w:tcBorders>
            <w:shd w:val="clear" w:color="auto" w:fill="auto"/>
            <w:noWrap/>
          </w:tcPr>
          <w:p w14:paraId="3452D928" w14:textId="12B560C0"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3.652.504</w:t>
            </w:r>
          </w:p>
        </w:tc>
        <w:tc>
          <w:tcPr>
            <w:tcW w:w="486" w:type="pct"/>
            <w:tcBorders>
              <w:left w:val="nil"/>
              <w:bottom w:val="nil"/>
              <w:right w:val="nil"/>
            </w:tcBorders>
            <w:shd w:val="clear" w:color="auto" w:fill="auto"/>
            <w:noWrap/>
            <w:vAlign w:val="center"/>
          </w:tcPr>
          <w:p w14:paraId="696195EA" w14:textId="122F0A18"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tcBorders>
              <w:left w:val="nil"/>
              <w:bottom w:val="nil"/>
              <w:right w:val="nil"/>
            </w:tcBorders>
            <w:shd w:val="clear" w:color="auto" w:fill="auto"/>
            <w:noWrap/>
          </w:tcPr>
          <w:p w14:paraId="5FC12FA9" w14:textId="0A4F9C50" w:rsidR="00937EA9" w:rsidRPr="00D9006E" w:rsidRDefault="00937EA9" w:rsidP="00937EA9">
            <w:pPr>
              <w:spacing w:after="120"/>
              <w:jc w:val="right"/>
              <w:rPr>
                <w:rFonts w:ascii="Calibri" w:hAnsi="Calibri" w:cs="Calibri"/>
                <w:color w:val="000000"/>
                <w:sz w:val="14"/>
                <w:szCs w:val="14"/>
              </w:rPr>
            </w:pPr>
            <w:r w:rsidRPr="00793A70">
              <w:rPr>
                <w:rFonts w:ascii="Calibri" w:hAnsi="Calibri" w:cs="Calibri"/>
                <w:color w:val="000000"/>
                <w:sz w:val="14"/>
                <w:szCs w:val="14"/>
              </w:rPr>
              <w:t>-</w:t>
            </w:r>
          </w:p>
        </w:tc>
        <w:tc>
          <w:tcPr>
            <w:tcW w:w="456" w:type="pct"/>
            <w:tcBorders>
              <w:left w:val="nil"/>
              <w:bottom w:val="nil"/>
              <w:right w:val="nil"/>
            </w:tcBorders>
            <w:shd w:val="clear" w:color="auto" w:fill="auto"/>
            <w:noWrap/>
          </w:tcPr>
          <w:p w14:paraId="0586C6FE" w14:textId="3401026F"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3.652.504</w:t>
            </w:r>
          </w:p>
        </w:tc>
      </w:tr>
      <w:tr w:rsidR="00937EA9" w:rsidRPr="00D9006E" w14:paraId="3041B5BE" w14:textId="77777777" w:rsidTr="00B83E3B">
        <w:trPr>
          <w:trHeight w:hRule="exact" w:val="227"/>
        </w:trPr>
        <w:tc>
          <w:tcPr>
            <w:tcW w:w="1741" w:type="pct"/>
            <w:tcBorders>
              <w:left w:val="nil"/>
              <w:bottom w:val="nil"/>
              <w:right w:val="nil"/>
            </w:tcBorders>
            <w:shd w:val="clear" w:color="auto" w:fill="auto"/>
            <w:noWrap/>
            <w:vAlign w:val="center"/>
          </w:tcPr>
          <w:p w14:paraId="1C9DE65A" w14:textId="2F212E46"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CT 06/2022 - Consórcio EF 170</w:t>
            </w:r>
          </w:p>
        </w:tc>
        <w:tc>
          <w:tcPr>
            <w:tcW w:w="1030" w:type="pct"/>
            <w:tcBorders>
              <w:left w:val="nil"/>
              <w:bottom w:val="nil"/>
              <w:right w:val="nil"/>
            </w:tcBorders>
            <w:shd w:val="clear" w:color="auto" w:fill="auto"/>
            <w:noWrap/>
            <w:vAlign w:val="center"/>
          </w:tcPr>
          <w:p w14:paraId="709ACC41" w14:textId="53408BE1"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EF-170</w:t>
            </w:r>
          </w:p>
        </w:tc>
        <w:tc>
          <w:tcPr>
            <w:tcW w:w="407" w:type="pct"/>
            <w:tcBorders>
              <w:left w:val="nil"/>
              <w:bottom w:val="nil"/>
              <w:right w:val="nil"/>
            </w:tcBorders>
            <w:shd w:val="clear" w:color="auto" w:fill="auto"/>
            <w:noWrap/>
            <w:vAlign w:val="center"/>
          </w:tcPr>
          <w:p w14:paraId="7D9AD757" w14:textId="30657F14"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71" w:type="pct"/>
            <w:tcBorders>
              <w:left w:val="nil"/>
              <w:bottom w:val="nil"/>
              <w:right w:val="nil"/>
            </w:tcBorders>
            <w:shd w:val="clear" w:color="auto" w:fill="auto"/>
            <w:noWrap/>
          </w:tcPr>
          <w:p w14:paraId="38441D04" w14:textId="587EE216"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3.246.980</w:t>
            </w:r>
          </w:p>
        </w:tc>
        <w:tc>
          <w:tcPr>
            <w:tcW w:w="486" w:type="pct"/>
            <w:tcBorders>
              <w:left w:val="nil"/>
              <w:bottom w:val="nil"/>
              <w:right w:val="nil"/>
            </w:tcBorders>
            <w:shd w:val="clear" w:color="auto" w:fill="auto"/>
            <w:noWrap/>
            <w:vAlign w:val="center"/>
          </w:tcPr>
          <w:p w14:paraId="2819F866" w14:textId="31A2E701"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tcBorders>
              <w:left w:val="nil"/>
              <w:bottom w:val="nil"/>
              <w:right w:val="nil"/>
            </w:tcBorders>
            <w:shd w:val="clear" w:color="auto" w:fill="auto"/>
            <w:noWrap/>
          </w:tcPr>
          <w:p w14:paraId="075B21A6" w14:textId="61065EDF" w:rsidR="00937EA9" w:rsidRPr="00D9006E" w:rsidRDefault="00937EA9" w:rsidP="00937EA9">
            <w:pPr>
              <w:spacing w:after="120"/>
              <w:jc w:val="right"/>
              <w:rPr>
                <w:rFonts w:ascii="Calibri" w:hAnsi="Calibri" w:cs="Calibri"/>
                <w:color w:val="000000"/>
                <w:sz w:val="14"/>
                <w:szCs w:val="14"/>
              </w:rPr>
            </w:pPr>
            <w:r w:rsidRPr="00793A70">
              <w:rPr>
                <w:rFonts w:ascii="Calibri" w:hAnsi="Calibri" w:cs="Calibri"/>
                <w:color w:val="000000"/>
                <w:sz w:val="14"/>
                <w:szCs w:val="14"/>
              </w:rPr>
              <w:t>-</w:t>
            </w:r>
          </w:p>
        </w:tc>
        <w:tc>
          <w:tcPr>
            <w:tcW w:w="456" w:type="pct"/>
            <w:tcBorders>
              <w:left w:val="nil"/>
              <w:bottom w:val="nil"/>
              <w:right w:val="nil"/>
            </w:tcBorders>
            <w:shd w:val="clear" w:color="auto" w:fill="auto"/>
            <w:noWrap/>
          </w:tcPr>
          <w:p w14:paraId="361A7686" w14:textId="6602C01A"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3.246.980</w:t>
            </w:r>
          </w:p>
        </w:tc>
      </w:tr>
      <w:tr w:rsidR="00937EA9" w:rsidRPr="00D9006E" w14:paraId="1358900A" w14:textId="77777777" w:rsidTr="00B83E3B">
        <w:trPr>
          <w:trHeight w:hRule="exact" w:val="227"/>
        </w:trPr>
        <w:tc>
          <w:tcPr>
            <w:tcW w:w="1741" w:type="pct"/>
            <w:tcBorders>
              <w:left w:val="nil"/>
              <w:bottom w:val="nil"/>
              <w:right w:val="nil"/>
            </w:tcBorders>
            <w:shd w:val="clear" w:color="auto" w:fill="auto"/>
            <w:noWrap/>
            <w:vAlign w:val="center"/>
          </w:tcPr>
          <w:p w14:paraId="5E2EF803" w14:textId="27BC72FC"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SR/MT 762/2020 - MRS</w:t>
            </w:r>
          </w:p>
        </w:tc>
        <w:tc>
          <w:tcPr>
            <w:tcW w:w="1030" w:type="pct"/>
            <w:tcBorders>
              <w:left w:val="nil"/>
              <w:bottom w:val="nil"/>
              <w:right w:val="nil"/>
            </w:tcBorders>
            <w:shd w:val="clear" w:color="auto" w:fill="auto"/>
            <w:noWrap/>
            <w:vAlign w:val="center"/>
          </w:tcPr>
          <w:p w14:paraId="4AED6E72" w14:textId="2291B7D9"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 -158/MT -Trecho Norte</w:t>
            </w:r>
          </w:p>
        </w:tc>
        <w:tc>
          <w:tcPr>
            <w:tcW w:w="407" w:type="pct"/>
            <w:tcBorders>
              <w:left w:val="nil"/>
              <w:bottom w:val="nil"/>
              <w:right w:val="nil"/>
            </w:tcBorders>
            <w:shd w:val="clear" w:color="auto" w:fill="auto"/>
            <w:noWrap/>
            <w:vAlign w:val="center"/>
          </w:tcPr>
          <w:p w14:paraId="11B2DFB6" w14:textId="40C8F74F"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71" w:type="pct"/>
            <w:tcBorders>
              <w:left w:val="nil"/>
              <w:bottom w:val="nil"/>
              <w:right w:val="nil"/>
            </w:tcBorders>
            <w:shd w:val="clear" w:color="auto" w:fill="auto"/>
            <w:noWrap/>
          </w:tcPr>
          <w:p w14:paraId="163D09DC" w14:textId="1F5A3984"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2.659.763</w:t>
            </w:r>
          </w:p>
        </w:tc>
        <w:tc>
          <w:tcPr>
            <w:tcW w:w="486" w:type="pct"/>
            <w:tcBorders>
              <w:left w:val="nil"/>
              <w:bottom w:val="nil"/>
              <w:right w:val="nil"/>
            </w:tcBorders>
            <w:shd w:val="clear" w:color="auto" w:fill="auto"/>
            <w:noWrap/>
            <w:vAlign w:val="center"/>
          </w:tcPr>
          <w:p w14:paraId="3EAFEE00" w14:textId="5184D240"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tcBorders>
              <w:left w:val="nil"/>
              <w:bottom w:val="nil"/>
              <w:right w:val="nil"/>
            </w:tcBorders>
            <w:shd w:val="clear" w:color="auto" w:fill="auto"/>
            <w:noWrap/>
          </w:tcPr>
          <w:p w14:paraId="7E4A4EDD" w14:textId="5DE42E92" w:rsidR="00937EA9" w:rsidRPr="00D9006E" w:rsidRDefault="00937EA9" w:rsidP="00937EA9">
            <w:pPr>
              <w:spacing w:after="120"/>
              <w:jc w:val="right"/>
              <w:rPr>
                <w:rFonts w:ascii="Calibri" w:hAnsi="Calibri" w:cs="Calibri"/>
                <w:color w:val="000000"/>
                <w:sz w:val="14"/>
                <w:szCs w:val="14"/>
              </w:rPr>
            </w:pPr>
            <w:r w:rsidRPr="00793A70">
              <w:rPr>
                <w:rFonts w:ascii="Calibri" w:hAnsi="Calibri" w:cs="Calibri"/>
                <w:color w:val="000000"/>
                <w:sz w:val="14"/>
                <w:szCs w:val="14"/>
              </w:rPr>
              <w:t>-</w:t>
            </w:r>
          </w:p>
        </w:tc>
        <w:tc>
          <w:tcPr>
            <w:tcW w:w="456" w:type="pct"/>
            <w:tcBorders>
              <w:left w:val="nil"/>
              <w:bottom w:val="nil"/>
              <w:right w:val="nil"/>
            </w:tcBorders>
            <w:shd w:val="clear" w:color="auto" w:fill="auto"/>
            <w:noWrap/>
          </w:tcPr>
          <w:p w14:paraId="05F4972F" w14:textId="4E13924F"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2.659.763</w:t>
            </w:r>
          </w:p>
        </w:tc>
      </w:tr>
      <w:tr w:rsidR="00937EA9" w:rsidRPr="00D9006E" w14:paraId="01B10DB3" w14:textId="77777777" w:rsidTr="00B83E3B">
        <w:trPr>
          <w:trHeight w:hRule="exact" w:val="227"/>
        </w:trPr>
        <w:tc>
          <w:tcPr>
            <w:tcW w:w="1741" w:type="pct"/>
            <w:tcBorders>
              <w:left w:val="nil"/>
              <w:bottom w:val="nil"/>
              <w:right w:val="nil"/>
            </w:tcBorders>
            <w:shd w:val="clear" w:color="auto" w:fill="auto"/>
            <w:noWrap/>
            <w:vAlign w:val="center"/>
          </w:tcPr>
          <w:p w14:paraId="2133EE97" w14:textId="7C73DCA5"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17/2015 - MRS</w:t>
            </w:r>
          </w:p>
        </w:tc>
        <w:tc>
          <w:tcPr>
            <w:tcW w:w="1030" w:type="pct"/>
            <w:tcBorders>
              <w:left w:val="nil"/>
              <w:bottom w:val="nil"/>
              <w:right w:val="nil"/>
            </w:tcBorders>
            <w:shd w:val="clear" w:color="auto" w:fill="auto"/>
            <w:noWrap/>
            <w:vAlign w:val="center"/>
          </w:tcPr>
          <w:p w14:paraId="6054E168" w14:textId="711E567B"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BR-364</w:t>
            </w:r>
          </w:p>
        </w:tc>
        <w:tc>
          <w:tcPr>
            <w:tcW w:w="407" w:type="pct"/>
            <w:tcBorders>
              <w:left w:val="nil"/>
              <w:bottom w:val="nil"/>
              <w:right w:val="nil"/>
            </w:tcBorders>
            <w:shd w:val="clear" w:color="auto" w:fill="auto"/>
            <w:noWrap/>
          </w:tcPr>
          <w:p w14:paraId="335848B8" w14:textId="18CE9DB6" w:rsidR="00937EA9" w:rsidRPr="00D9006E" w:rsidRDefault="00937EA9" w:rsidP="00937EA9">
            <w:pPr>
              <w:spacing w:after="120"/>
              <w:jc w:val="right"/>
              <w:rPr>
                <w:rFonts w:ascii="Calibri" w:hAnsi="Calibri" w:cs="Calibri"/>
                <w:color w:val="000000"/>
                <w:sz w:val="14"/>
                <w:szCs w:val="14"/>
              </w:rPr>
            </w:pPr>
            <w:r w:rsidRPr="00590463">
              <w:rPr>
                <w:rFonts w:ascii="Calibri" w:hAnsi="Calibri" w:cs="Calibri"/>
                <w:color w:val="000000"/>
                <w:sz w:val="14"/>
                <w:szCs w:val="14"/>
              </w:rPr>
              <w:t>-</w:t>
            </w:r>
          </w:p>
        </w:tc>
        <w:tc>
          <w:tcPr>
            <w:tcW w:w="471" w:type="pct"/>
            <w:tcBorders>
              <w:left w:val="nil"/>
              <w:bottom w:val="nil"/>
              <w:right w:val="nil"/>
            </w:tcBorders>
            <w:shd w:val="clear" w:color="auto" w:fill="auto"/>
            <w:noWrap/>
          </w:tcPr>
          <w:p w14:paraId="5CEA90EF" w14:textId="08F53F30"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2.655.207</w:t>
            </w:r>
          </w:p>
        </w:tc>
        <w:tc>
          <w:tcPr>
            <w:tcW w:w="486" w:type="pct"/>
            <w:tcBorders>
              <w:left w:val="nil"/>
              <w:bottom w:val="nil"/>
              <w:right w:val="nil"/>
            </w:tcBorders>
            <w:shd w:val="clear" w:color="auto" w:fill="auto"/>
            <w:noWrap/>
            <w:vAlign w:val="center"/>
          </w:tcPr>
          <w:p w14:paraId="2DC715B7" w14:textId="6F82C6A0"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tcBorders>
              <w:left w:val="nil"/>
              <w:bottom w:val="nil"/>
              <w:right w:val="nil"/>
            </w:tcBorders>
            <w:shd w:val="clear" w:color="auto" w:fill="auto"/>
            <w:noWrap/>
          </w:tcPr>
          <w:p w14:paraId="4998CEBE" w14:textId="21211B69" w:rsidR="00937EA9" w:rsidRPr="00D9006E" w:rsidRDefault="00937EA9" w:rsidP="00937EA9">
            <w:pPr>
              <w:spacing w:after="120"/>
              <w:jc w:val="right"/>
              <w:rPr>
                <w:rFonts w:ascii="Calibri" w:hAnsi="Calibri" w:cs="Calibri"/>
                <w:color w:val="000000"/>
                <w:sz w:val="14"/>
                <w:szCs w:val="14"/>
              </w:rPr>
            </w:pPr>
            <w:r w:rsidRPr="00793A70">
              <w:rPr>
                <w:rFonts w:ascii="Calibri" w:hAnsi="Calibri" w:cs="Calibri"/>
                <w:color w:val="000000"/>
                <w:sz w:val="14"/>
                <w:szCs w:val="14"/>
              </w:rPr>
              <w:t>-</w:t>
            </w:r>
          </w:p>
        </w:tc>
        <w:tc>
          <w:tcPr>
            <w:tcW w:w="456" w:type="pct"/>
            <w:tcBorders>
              <w:left w:val="nil"/>
              <w:bottom w:val="nil"/>
              <w:right w:val="nil"/>
            </w:tcBorders>
            <w:shd w:val="clear" w:color="auto" w:fill="auto"/>
            <w:noWrap/>
          </w:tcPr>
          <w:p w14:paraId="67A00A1E" w14:textId="4D217DA1"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2.655.207</w:t>
            </w:r>
          </w:p>
        </w:tc>
      </w:tr>
      <w:tr w:rsidR="00937EA9" w:rsidRPr="00D9006E" w14:paraId="35F7BF36" w14:textId="77777777" w:rsidTr="00B83E3B">
        <w:trPr>
          <w:trHeight w:hRule="exact" w:val="227"/>
        </w:trPr>
        <w:tc>
          <w:tcPr>
            <w:tcW w:w="1741" w:type="pct"/>
            <w:tcBorders>
              <w:left w:val="nil"/>
              <w:bottom w:val="single" w:sz="2" w:space="0" w:color="auto"/>
              <w:right w:val="nil"/>
            </w:tcBorders>
            <w:shd w:val="clear" w:color="auto" w:fill="auto"/>
            <w:noWrap/>
            <w:vAlign w:val="center"/>
          </w:tcPr>
          <w:p w14:paraId="35D8289D" w14:textId="31166619"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32/2013 - PROSUL</w:t>
            </w:r>
          </w:p>
        </w:tc>
        <w:tc>
          <w:tcPr>
            <w:tcW w:w="1030" w:type="pct"/>
            <w:tcBorders>
              <w:left w:val="nil"/>
              <w:bottom w:val="single" w:sz="2" w:space="0" w:color="auto"/>
              <w:right w:val="nil"/>
            </w:tcBorders>
            <w:shd w:val="clear" w:color="auto" w:fill="auto"/>
            <w:noWrap/>
            <w:vAlign w:val="center"/>
          </w:tcPr>
          <w:p w14:paraId="409AE56E" w14:textId="7955E14D"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BR-101/324/367</w:t>
            </w:r>
          </w:p>
        </w:tc>
        <w:tc>
          <w:tcPr>
            <w:tcW w:w="407" w:type="pct"/>
            <w:tcBorders>
              <w:left w:val="nil"/>
              <w:bottom w:val="single" w:sz="2" w:space="0" w:color="auto"/>
              <w:right w:val="nil"/>
            </w:tcBorders>
            <w:shd w:val="clear" w:color="auto" w:fill="auto"/>
            <w:noWrap/>
          </w:tcPr>
          <w:p w14:paraId="11607100" w14:textId="12114CBE" w:rsidR="00937EA9" w:rsidRPr="00D9006E" w:rsidRDefault="00937EA9" w:rsidP="00937EA9">
            <w:pPr>
              <w:spacing w:after="120"/>
              <w:jc w:val="right"/>
              <w:rPr>
                <w:rFonts w:ascii="Calibri" w:hAnsi="Calibri" w:cs="Calibri"/>
                <w:color w:val="000000"/>
                <w:sz w:val="14"/>
                <w:szCs w:val="14"/>
              </w:rPr>
            </w:pPr>
            <w:r w:rsidRPr="00590463">
              <w:rPr>
                <w:rFonts w:ascii="Calibri" w:hAnsi="Calibri" w:cs="Calibri"/>
                <w:color w:val="000000"/>
                <w:sz w:val="14"/>
                <w:szCs w:val="14"/>
              </w:rPr>
              <w:t>-</w:t>
            </w:r>
          </w:p>
        </w:tc>
        <w:tc>
          <w:tcPr>
            <w:tcW w:w="471" w:type="pct"/>
            <w:tcBorders>
              <w:left w:val="nil"/>
              <w:bottom w:val="single" w:sz="2" w:space="0" w:color="auto"/>
              <w:right w:val="nil"/>
            </w:tcBorders>
            <w:shd w:val="clear" w:color="auto" w:fill="auto"/>
            <w:noWrap/>
          </w:tcPr>
          <w:p w14:paraId="3BDBBDC7" w14:textId="7FEB5B50"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2.606.158</w:t>
            </w:r>
          </w:p>
        </w:tc>
        <w:tc>
          <w:tcPr>
            <w:tcW w:w="486" w:type="pct"/>
            <w:tcBorders>
              <w:left w:val="nil"/>
              <w:bottom w:val="single" w:sz="2" w:space="0" w:color="auto"/>
              <w:right w:val="nil"/>
            </w:tcBorders>
            <w:shd w:val="clear" w:color="auto" w:fill="auto"/>
            <w:noWrap/>
            <w:vAlign w:val="center"/>
          </w:tcPr>
          <w:p w14:paraId="780C5EA5" w14:textId="070ADF1D"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tcBorders>
              <w:left w:val="nil"/>
              <w:bottom w:val="single" w:sz="2" w:space="0" w:color="auto"/>
              <w:right w:val="nil"/>
            </w:tcBorders>
            <w:shd w:val="clear" w:color="auto" w:fill="auto"/>
            <w:noWrap/>
          </w:tcPr>
          <w:p w14:paraId="0D97DA9A" w14:textId="4641E709" w:rsidR="00937EA9" w:rsidRPr="00D9006E" w:rsidRDefault="00937EA9" w:rsidP="00937EA9">
            <w:pPr>
              <w:spacing w:after="120"/>
              <w:jc w:val="right"/>
              <w:rPr>
                <w:rFonts w:ascii="Calibri" w:hAnsi="Calibri" w:cs="Calibri"/>
                <w:color w:val="000000"/>
                <w:sz w:val="14"/>
                <w:szCs w:val="14"/>
              </w:rPr>
            </w:pPr>
            <w:r w:rsidRPr="00793A70">
              <w:rPr>
                <w:rFonts w:ascii="Calibri" w:hAnsi="Calibri" w:cs="Calibri"/>
                <w:color w:val="000000"/>
                <w:sz w:val="14"/>
                <w:szCs w:val="14"/>
              </w:rPr>
              <w:t>-</w:t>
            </w:r>
          </w:p>
        </w:tc>
        <w:tc>
          <w:tcPr>
            <w:tcW w:w="456" w:type="pct"/>
            <w:tcBorders>
              <w:left w:val="nil"/>
              <w:bottom w:val="single" w:sz="2" w:space="0" w:color="auto"/>
              <w:right w:val="nil"/>
            </w:tcBorders>
            <w:shd w:val="clear" w:color="auto" w:fill="auto"/>
            <w:noWrap/>
          </w:tcPr>
          <w:p w14:paraId="36D21EE3" w14:textId="18DD6C2C"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2.606.158</w:t>
            </w:r>
          </w:p>
        </w:tc>
      </w:tr>
      <w:tr w:rsidR="00937EA9" w:rsidRPr="00D9006E" w14:paraId="31BF2883" w14:textId="77777777" w:rsidTr="00B83E3B">
        <w:trPr>
          <w:trHeight w:hRule="exact" w:val="227"/>
        </w:trPr>
        <w:tc>
          <w:tcPr>
            <w:tcW w:w="1741" w:type="pct"/>
            <w:vMerge w:val="restart"/>
            <w:tcBorders>
              <w:top w:val="single" w:sz="2" w:space="0" w:color="auto"/>
              <w:left w:val="nil"/>
              <w:right w:val="nil"/>
            </w:tcBorders>
            <w:shd w:val="clear" w:color="auto" w:fill="auto"/>
            <w:noWrap/>
            <w:vAlign w:val="center"/>
          </w:tcPr>
          <w:p w14:paraId="1475C573" w14:textId="47A6DBC0"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02/2021 - Consórcio Modelador SHAS</w:t>
            </w:r>
          </w:p>
        </w:tc>
        <w:tc>
          <w:tcPr>
            <w:tcW w:w="1030" w:type="pct"/>
            <w:tcBorders>
              <w:top w:val="single" w:sz="2" w:space="0" w:color="auto"/>
              <w:left w:val="nil"/>
              <w:bottom w:val="nil"/>
              <w:right w:val="nil"/>
            </w:tcBorders>
            <w:shd w:val="clear" w:color="auto" w:fill="auto"/>
            <w:noWrap/>
            <w:vAlign w:val="center"/>
          </w:tcPr>
          <w:p w14:paraId="05248C2C" w14:textId="6D24F82C"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BR-155/158/MT/PA</w:t>
            </w:r>
          </w:p>
        </w:tc>
        <w:tc>
          <w:tcPr>
            <w:tcW w:w="407" w:type="pct"/>
            <w:vMerge w:val="restart"/>
            <w:tcBorders>
              <w:top w:val="single" w:sz="2" w:space="0" w:color="auto"/>
              <w:left w:val="nil"/>
              <w:right w:val="nil"/>
            </w:tcBorders>
            <w:shd w:val="clear" w:color="auto" w:fill="auto"/>
            <w:noWrap/>
            <w:vAlign w:val="center"/>
          </w:tcPr>
          <w:p w14:paraId="66221AB8" w14:textId="0A664D14" w:rsidR="00937EA9" w:rsidRPr="00D9006E" w:rsidRDefault="00937EA9" w:rsidP="00937EA9">
            <w:pPr>
              <w:spacing w:after="120"/>
              <w:jc w:val="right"/>
              <w:rPr>
                <w:rFonts w:ascii="Calibri" w:hAnsi="Calibri" w:cs="Calibri"/>
                <w:color w:val="000000"/>
                <w:sz w:val="14"/>
                <w:szCs w:val="14"/>
              </w:rPr>
            </w:pPr>
            <w:r w:rsidRPr="00AA5C79">
              <w:rPr>
                <w:rFonts w:ascii="Calibri" w:hAnsi="Calibri" w:cs="Calibri"/>
                <w:color w:val="000000"/>
                <w:sz w:val="14"/>
                <w:szCs w:val="14"/>
              </w:rPr>
              <w:t>-</w:t>
            </w:r>
          </w:p>
        </w:tc>
        <w:tc>
          <w:tcPr>
            <w:tcW w:w="471" w:type="pct"/>
            <w:vMerge w:val="restart"/>
            <w:tcBorders>
              <w:top w:val="single" w:sz="2" w:space="0" w:color="auto"/>
              <w:left w:val="nil"/>
              <w:right w:val="nil"/>
            </w:tcBorders>
            <w:shd w:val="clear" w:color="auto" w:fill="auto"/>
            <w:noWrap/>
            <w:vAlign w:val="center"/>
          </w:tcPr>
          <w:p w14:paraId="45680186" w14:textId="4B7D6653"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1.888.719</w:t>
            </w:r>
          </w:p>
        </w:tc>
        <w:tc>
          <w:tcPr>
            <w:tcW w:w="486" w:type="pct"/>
            <w:vMerge w:val="restart"/>
            <w:tcBorders>
              <w:top w:val="single" w:sz="2" w:space="0" w:color="auto"/>
              <w:left w:val="nil"/>
              <w:right w:val="nil"/>
            </w:tcBorders>
            <w:shd w:val="clear" w:color="auto" w:fill="auto"/>
            <w:noWrap/>
            <w:vAlign w:val="center"/>
          </w:tcPr>
          <w:p w14:paraId="420F551C" w14:textId="28073626" w:rsidR="00937EA9" w:rsidRPr="00D9006E" w:rsidRDefault="00937EA9" w:rsidP="00937EA9">
            <w:pPr>
              <w:spacing w:after="120"/>
              <w:jc w:val="right"/>
              <w:rPr>
                <w:rFonts w:ascii="Calibri" w:hAnsi="Calibri" w:cs="Calibri"/>
                <w:color w:val="000000"/>
                <w:sz w:val="14"/>
                <w:szCs w:val="14"/>
              </w:rPr>
            </w:pPr>
            <w:r w:rsidRPr="00AA5C79">
              <w:rPr>
                <w:rFonts w:ascii="Calibri" w:hAnsi="Calibri" w:cs="Calibri"/>
                <w:color w:val="000000"/>
                <w:sz w:val="14"/>
                <w:szCs w:val="14"/>
              </w:rPr>
              <w:t>-</w:t>
            </w:r>
          </w:p>
        </w:tc>
        <w:tc>
          <w:tcPr>
            <w:tcW w:w="409" w:type="pct"/>
            <w:vMerge w:val="restart"/>
            <w:tcBorders>
              <w:top w:val="single" w:sz="2" w:space="0" w:color="auto"/>
              <w:left w:val="nil"/>
              <w:right w:val="nil"/>
            </w:tcBorders>
            <w:shd w:val="clear" w:color="auto" w:fill="auto"/>
            <w:noWrap/>
            <w:vAlign w:val="center"/>
          </w:tcPr>
          <w:p w14:paraId="6140EE6F" w14:textId="37936416" w:rsidR="00937EA9" w:rsidRPr="00D9006E" w:rsidRDefault="00937EA9" w:rsidP="00937EA9">
            <w:pPr>
              <w:spacing w:after="120"/>
              <w:jc w:val="right"/>
              <w:rPr>
                <w:rFonts w:ascii="Calibri" w:hAnsi="Calibri" w:cs="Calibri"/>
                <w:color w:val="000000"/>
                <w:sz w:val="14"/>
                <w:szCs w:val="14"/>
              </w:rPr>
            </w:pPr>
            <w:r w:rsidRPr="00AA5C79">
              <w:rPr>
                <w:rFonts w:ascii="Calibri" w:hAnsi="Calibri" w:cs="Calibri"/>
                <w:color w:val="000000"/>
                <w:sz w:val="14"/>
                <w:szCs w:val="14"/>
              </w:rPr>
              <w:t>-</w:t>
            </w:r>
          </w:p>
        </w:tc>
        <w:tc>
          <w:tcPr>
            <w:tcW w:w="456" w:type="pct"/>
            <w:vMerge w:val="restart"/>
            <w:tcBorders>
              <w:top w:val="single" w:sz="2" w:space="0" w:color="auto"/>
              <w:left w:val="nil"/>
              <w:right w:val="nil"/>
            </w:tcBorders>
            <w:shd w:val="clear" w:color="auto" w:fill="auto"/>
            <w:noWrap/>
            <w:vAlign w:val="center"/>
          </w:tcPr>
          <w:p w14:paraId="3440B727" w14:textId="16DDA8AF"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1.888.719</w:t>
            </w:r>
          </w:p>
        </w:tc>
      </w:tr>
      <w:tr w:rsidR="00937EA9" w:rsidRPr="00D9006E" w14:paraId="265D7DC4" w14:textId="77777777" w:rsidTr="00B83E3B">
        <w:trPr>
          <w:trHeight w:hRule="exact" w:val="227"/>
        </w:trPr>
        <w:tc>
          <w:tcPr>
            <w:tcW w:w="1741" w:type="pct"/>
            <w:vMerge/>
            <w:tcBorders>
              <w:left w:val="nil"/>
              <w:right w:val="nil"/>
            </w:tcBorders>
            <w:shd w:val="clear" w:color="auto" w:fill="auto"/>
            <w:noWrap/>
            <w:vAlign w:val="center"/>
          </w:tcPr>
          <w:p w14:paraId="00D6AC61" w14:textId="77777777" w:rsidR="00937EA9" w:rsidRPr="00D9006E" w:rsidRDefault="00937EA9" w:rsidP="00937EA9">
            <w:pPr>
              <w:spacing w:after="120"/>
              <w:rPr>
                <w:rFonts w:ascii="Calibri" w:hAnsi="Calibri" w:cs="Calibri"/>
                <w:color w:val="000000"/>
                <w:sz w:val="14"/>
                <w:szCs w:val="14"/>
              </w:rPr>
            </w:pPr>
          </w:p>
        </w:tc>
        <w:tc>
          <w:tcPr>
            <w:tcW w:w="1030" w:type="pct"/>
            <w:tcBorders>
              <w:left w:val="nil"/>
              <w:bottom w:val="nil"/>
              <w:right w:val="nil"/>
            </w:tcBorders>
            <w:shd w:val="clear" w:color="auto" w:fill="auto"/>
            <w:noWrap/>
            <w:vAlign w:val="center"/>
          </w:tcPr>
          <w:p w14:paraId="469FBBB6" w14:textId="271BDFCE"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BR-135/316/MA</w:t>
            </w:r>
          </w:p>
        </w:tc>
        <w:tc>
          <w:tcPr>
            <w:tcW w:w="407" w:type="pct"/>
            <w:vMerge/>
            <w:tcBorders>
              <w:left w:val="nil"/>
              <w:right w:val="nil"/>
            </w:tcBorders>
            <w:shd w:val="clear" w:color="auto" w:fill="auto"/>
            <w:noWrap/>
            <w:vAlign w:val="center"/>
          </w:tcPr>
          <w:p w14:paraId="78F110FA" w14:textId="77777777" w:rsidR="00937EA9" w:rsidRPr="00D9006E" w:rsidRDefault="00937EA9" w:rsidP="00937EA9">
            <w:pPr>
              <w:spacing w:after="120"/>
              <w:jc w:val="right"/>
              <w:rPr>
                <w:rFonts w:ascii="Calibri" w:hAnsi="Calibri" w:cs="Calibri"/>
                <w:color w:val="000000"/>
                <w:sz w:val="14"/>
                <w:szCs w:val="14"/>
              </w:rPr>
            </w:pPr>
          </w:p>
        </w:tc>
        <w:tc>
          <w:tcPr>
            <w:tcW w:w="471" w:type="pct"/>
            <w:vMerge/>
            <w:tcBorders>
              <w:left w:val="nil"/>
              <w:right w:val="nil"/>
            </w:tcBorders>
            <w:shd w:val="clear" w:color="auto" w:fill="auto"/>
            <w:noWrap/>
            <w:vAlign w:val="center"/>
          </w:tcPr>
          <w:p w14:paraId="532546A6" w14:textId="77777777" w:rsidR="00937EA9" w:rsidRPr="00D9006E" w:rsidRDefault="00937EA9" w:rsidP="00937EA9">
            <w:pPr>
              <w:spacing w:after="120"/>
              <w:jc w:val="right"/>
              <w:rPr>
                <w:rFonts w:ascii="Calibri" w:hAnsi="Calibri" w:cs="Calibri"/>
                <w:color w:val="000000"/>
                <w:sz w:val="14"/>
                <w:szCs w:val="14"/>
              </w:rPr>
            </w:pPr>
          </w:p>
        </w:tc>
        <w:tc>
          <w:tcPr>
            <w:tcW w:w="486" w:type="pct"/>
            <w:vMerge/>
            <w:tcBorders>
              <w:left w:val="nil"/>
              <w:right w:val="nil"/>
            </w:tcBorders>
            <w:shd w:val="clear" w:color="auto" w:fill="auto"/>
            <w:noWrap/>
            <w:vAlign w:val="center"/>
          </w:tcPr>
          <w:p w14:paraId="581423A6" w14:textId="77777777" w:rsidR="00937EA9" w:rsidRPr="00D9006E" w:rsidRDefault="00937EA9" w:rsidP="00937EA9">
            <w:pPr>
              <w:spacing w:after="120"/>
              <w:jc w:val="right"/>
              <w:rPr>
                <w:rFonts w:ascii="Calibri" w:hAnsi="Calibri" w:cs="Calibri"/>
                <w:color w:val="000000"/>
                <w:sz w:val="14"/>
                <w:szCs w:val="14"/>
              </w:rPr>
            </w:pPr>
          </w:p>
        </w:tc>
        <w:tc>
          <w:tcPr>
            <w:tcW w:w="409" w:type="pct"/>
            <w:vMerge/>
            <w:tcBorders>
              <w:left w:val="nil"/>
              <w:right w:val="nil"/>
            </w:tcBorders>
            <w:shd w:val="clear" w:color="auto" w:fill="auto"/>
            <w:noWrap/>
            <w:vAlign w:val="center"/>
          </w:tcPr>
          <w:p w14:paraId="17A86CE0" w14:textId="77777777" w:rsidR="00937EA9" w:rsidRPr="00D9006E" w:rsidRDefault="00937EA9" w:rsidP="00937EA9">
            <w:pPr>
              <w:spacing w:after="120"/>
              <w:jc w:val="right"/>
              <w:rPr>
                <w:rFonts w:ascii="Calibri" w:hAnsi="Calibri" w:cs="Calibri"/>
                <w:color w:val="000000"/>
                <w:sz w:val="14"/>
                <w:szCs w:val="14"/>
              </w:rPr>
            </w:pPr>
          </w:p>
        </w:tc>
        <w:tc>
          <w:tcPr>
            <w:tcW w:w="456" w:type="pct"/>
            <w:vMerge/>
            <w:tcBorders>
              <w:left w:val="nil"/>
              <w:right w:val="nil"/>
            </w:tcBorders>
            <w:shd w:val="clear" w:color="auto" w:fill="auto"/>
            <w:noWrap/>
            <w:vAlign w:val="center"/>
          </w:tcPr>
          <w:p w14:paraId="5A8B2028" w14:textId="77777777" w:rsidR="00937EA9" w:rsidRPr="00D9006E" w:rsidRDefault="00937EA9" w:rsidP="00937EA9">
            <w:pPr>
              <w:spacing w:after="120"/>
              <w:jc w:val="right"/>
              <w:rPr>
                <w:rFonts w:ascii="Calibri" w:hAnsi="Calibri" w:cs="Calibri"/>
                <w:color w:val="000000"/>
                <w:sz w:val="14"/>
                <w:szCs w:val="14"/>
              </w:rPr>
            </w:pPr>
          </w:p>
        </w:tc>
      </w:tr>
      <w:tr w:rsidR="00937EA9" w:rsidRPr="00D9006E" w14:paraId="71F87600" w14:textId="77777777" w:rsidTr="00B83E3B">
        <w:trPr>
          <w:trHeight w:hRule="exact" w:val="227"/>
        </w:trPr>
        <w:tc>
          <w:tcPr>
            <w:tcW w:w="1741" w:type="pct"/>
            <w:vMerge/>
            <w:tcBorders>
              <w:left w:val="nil"/>
              <w:bottom w:val="nil"/>
              <w:right w:val="nil"/>
            </w:tcBorders>
            <w:shd w:val="clear" w:color="auto" w:fill="auto"/>
            <w:noWrap/>
            <w:vAlign w:val="center"/>
          </w:tcPr>
          <w:p w14:paraId="16C9429E" w14:textId="77777777" w:rsidR="00937EA9" w:rsidRPr="00D9006E" w:rsidRDefault="00937EA9" w:rsidP="00937EA9">
            <w:pPr>
              <w:spacing w:after="120"/>
              <w:rPr>
                <w:rFonts w:ascii="Calibri" w:hAnsi="Calibri" w:cs="Calibri"/>
                <w:color w:val="000000"/>
                <w:sz w:val="14"/>
                <w:szCs w:val="14"/>
              </w:rPr>
            </w:pPr>
          </w:p>
        </w:tc>
        <w:tc>
          <w:tcPr>
            <w:tcW w:w="1030" w:type="pct"/>
            <w:tcBorders>
              <w:left w:val="nil"/>
              <w:bottom w:val="single" w:sz="2" w:space="0" w:color="auto"/>
              <w:right w:val="nil"/>
            </w:tcBorders>
            <w:shd w:val="clear" w:color="auto" w:fill="auto"/>
            <w:noWrap/>
            <w:vAlign w:val="center"/>
          </w:tcPr>
          <w:p w14:paraId="420D58AA" w14:textId="7B369561"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BR-135/316/MA</w:t>
            </w:r>
          </w:p>
        </w:tc>
        <w:tc>
          <w:tcPr>
            <w:tcW w:w="407" w:type="pct"/>
            <w:vMerge/>
            <w:tcBorders>
              <w:left w:val="nil"/>
              <w:bottom w:val="single" w:sz="2" w:space="0" w:color="auto"/>
              <w:right w:val="nil"/>
            </w:tcBorders>
            <w:shd w:val="clear" w:color="auto" w:fill="auto"/>
            <w:noWrap/>
            <w:vAlign w:val="center"/>
          </w:tcPr>
          <w:p w14:paraId="150F48DD" w14:textId="77777777" w:rsidR="00937EA9" w:rsidRPr="00D9006E" w:rsidRDefault="00937EA9" w:rsidP="00937EA9">
            <w:pPr>
              <w:spacing w:after="120"/>
              <w:jc w:val="right"/>
              <w:rPr>
                <w:rFonts w:ascii="Calibri" w:hAnsi="Calibri" w:cs="Calibri"/>
                <w:color w:val="000000"/>
                <w:sz w:val="14"/>
                <w:szCs w:val="14"/>
              </w:rPr>
            </w:pPr>
          </w:p>
        </w:tc>
        <w:tc>
          <w:tcPr>
            <w:tcW w:w="471" w:type="pct"/>
            <w:vMerge/>
            <w:tcBorders>
              <w:left w:val="nil"/>
              <w:bottom w:val="single" w:sz="2" w:space="0" w:color="auto"/>
              <w:right w:val="nil"/>
            </w:tcBorders>
            <w:shd w:val="clear" w:color="auto" w:fill="auto"/>
            <w:noWrap/>
            <w:vAlign w:val="center"/>
          </w:tcPr>
          <w:p w14:paraId="066B1304" w14:textId="77777777" w:rsidR="00937EA9" w:rsidRPr="00D9006E" w:rsidRDefault="00937EA9" w:rsidP="00937EA9">
            <w:pPr>
              <w:spacing w:after="120"/>
              <w:jc w:val="right"/>
              <w:rPr>
                <w:rFonts w:ascii="Calibri" w:hAnsi="Calibri" w:cs="Calibri"/>
                <w:color w:val="000000"/>
                <w:sz w:val="14"/>
                <w:szCs w:val="14"/>
              </w:rPr>
            </w:pPr>
          </w:p>
        </w:tc>
        <w:tc>
          <w:tcPr>
            <w:tcW w:w="486" w:type="pct"/>
            <w:vMerge/>
            <w:tcBorders>
              <w:left w:val="nil"/>
              <w:bottom w:val="single" w:sz="2" w:space="0" w:color="auto"/>
              <w:right w:val="nil"/>
            </w:tcBorders>
            <w:shd w:val="clear" w:color="auto" w:fill="auto"/>
            <w:noWrap/>
            <w:vAlign w:val="center"/>
          </w:tcPr>
          <w:p w14:paraId="54C533EE" w14:textId="77777777" w:rsidR="00937EA9" w:rsidRPr="00D9006E" w:rsidRDefault="00937EA9" w:rsidP="00937EA9">
            <w:pPr>
              <w:spacing w:after="120"/>
              <w:jc w:val="right"/>
              <w:rPr>
                <w:rFonts w:ascii="Calibri" w:hAnsi="Calibri" w:cs="Calibri"/>
                <w:color w:val="000000"/>
                <w:sz w:val="14"/>
                <w:szCs w:val="14"/>
              </w:rPr>
            </w:pPr>
          </w:p>
        </w:tc>
        <w:tc>
          <w:tcPr>
            <w:tcW w:w="409" w:type="pct"/>
            <w:vMerge/>
            <w:tcBorders>
              <w:left w:val="nil"/>
              <w:bottom w:val="single" w:sz="2" w:space="0" w:color="auto"/>
              <w:right w:val="nil"/>
            </w:tcBorders>
            <w:shd w:val="clear" w:color="auto" w:fill="auto"/>
            <w:noWrap/>
            <w:vAlign w:val="center"/>
          </w:tcPr>
          <w:p w14:paraId="2C660322" w14:textId="77777777" w:rsidR="00937EA9" w:rsidRPr="00D9006E" w:rsidRDefault="00937EA9" w:rsidP="00937EA9">
            <w:pPr>
              <w:spacing w:after="120"/>
              <w:jc w:val="right"/>
              <w:rPr>
                <w:rFonts w:ascii="Calibri" w:hAnsi="Calibri" w:cs="Calibri"/>
                <w:color w:val="000000"/>
                <w:sz w:val="14"/>
                <w:szCs w:val="14"/>
              </w:rPr>
            </w:pPr>
          </w:p>
        </w:tc>
        <w:tc>
          <w:tcPr>
            <w:tcW w:w="456" w:type="pct"/>
            <w:vMerge/>
            <w:tcBorders>
              <w:left w:val="nil"/>
              <w:bottom w:val="single" w:sz="2" w:space="0" w:color="auto"/>
              <w:right w:val="nil"/>
            </w:tcBorders>
            <w:shd w:val="clear" w:color="auto" w:fill="auto"/>
            <w:noWrap/>
            <w:vAlign w:val="center"/>
          </w:tcPr>
          <w:p w14:paraId="03C32F41" w14:textId="77777777" w:rsidR="00937EA9" w:rsidRPr="00D9006E" w:rsidRDefault="00937EA9" w:rsidP="00937EA9">
            <w:pPr>
              <w:spacing w:after="120"/>
              <w:jc w:val="right"/>
              <w:rPr>
                <w:rFonts w:ascii="Calibri" w:hAnsi="Calibri" w:cs="Calibri"/>
                <w:color w:val="000000"/>
                <w:sz w:val="14"/>
                <w:szCs w:val="14"/>
              </w:rPr>
            </w:pPr>
          </w:p>
        </w:tc>
      </w:tr>
      <w:tr w:rsidR="00937EA9" w:rsidRPr="00D9006E" w14:paraId="71764453" w14:textId="77777777" w:rsidTr="00B83E3B">
        <w:trPr>
          <w:trHeight w:hRule="exact" w:val="227"/>
        </w:trPr>
        <w:tc>
          <w:tcPr>
            <w:tcW w:w="1741" w:type="pct"/>
            <w:vMerge w:val="restart"/>
            <w:tcBorders>
              <w:top w:val="single" w:sz="2" w:space="0" w:color="auto"/>
              <w:left w:val="nil"/>
              <w:right w:val="nil"/>
            </w:tcBorders>
            <w:shd w:val="clear" w:color="auto" w:fill="auto"/>
            <w:noWrap/>
            <w:vAlign w:val="center"/>
          </w:tcPr>
          <w:p w14:paraId="087A22FF" w14:textId="28E4989C"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03/2021 - Consórcio Modelador SHAS</w:t>
            </w:r>
          </w:p>
        </w:tc>
        <w:tc>
          <w:tcPr>
            <w:tcW w:w="1030" w:type="pct"/>
            <w:tcBorders>
              <w:top w:val="single" w:sz="2" w:space="0" w:color="auto"/>
              <w:left w:val="nil"/>
              <w:bottom w:val="nil"/>
              <w:right w:val="nil"/>
            </w:tcBorders>
            <w:shd w:val="clear" w:color="auto" w:fill="auto"/>
            <w:noWrap/>
            <w:vAlign w:val="center"/>
          </w:tcPr>
          <w:p w14:paraId="509D5425" w14:textId="5D5B377F"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BR-060/153/262/DF/GO/MG</w:t>
            </w:r>
          </w:p>
        </w:tc>
        <w:tc>
          <w:tcPr>
            <w:tcW w:w="407" w:type="pct"/>
            <w:vMerge w:val="restart"/>
            <w:tcBorders>
              <w:top w:val="single" w:sz="2" w:space="0" w:color="auto"/>
              <w:left w:val="nil"/>
              <w:right w:val="nil"/>
            </w:tcBorders>
            <w:shd w:val="clear" w:color="auto" w:fill="auto"/>
            <w:noWrap/>
            <w:vAlign w:val="center"/>
          </w:tcPr>
          <w:p w14:paraId="3EB20288" w14:textId="274864C8" w:rsidR="00937EA9" w:rsidRPr="00D9006E" w:rsidRDefault="00937EA9" w:rsidP="00937EA9">
            <w:pPr>
              <w:spacing w:after="120"/>
              <w:jc w:val="right"/>
              <w:rPr>
                <w:rFonts w:ascii="Calibri" w:hAnsi="Calibri" w:cs="Calibri"/>
                <w:color w:val="000000"/>
                <w:sz w:val="14"/>
                <w:szCs w:val="14"/>
              </w:rPr>
            </w:pPr>
            <w:r w:rsidRPr="000D1ED2">
              <w:rPr>
                <w:rFonts w:ascii="Calibri" w:hAnsi="Calibri" w:cs="Calibri"/>
                <w:color w:val="000000"/>
                <w:sz w:val="14"/>
                <w:szCs w:val="14"/>
              </w:rPr>
              <w:t>-</w:t>
            </w:r>
          </w:p>
        </w:tc>
        <w:tc>
          <w:tcPr>
            <w:tcW w:w="471" w:type="pct"/>
            <w:vMerge w:val="restart"/>
            <w:tcBorders>
              <w:top w:val="single" w:sz="2" w:space="0" w:color="auto"/>
              <w:left w:val="nil"/>
              <w:right w:val="nil"/>
            </w:tcBorders>
            <w:shd w:val="clear" w:color="auto" w:fill="auto"/>
            <w:noWrap/>
            <w:vAlign w:val="center"/>
          </w:tcPr>
          <w:p w14:paraId="4E17F53F" w14:textId="2723E6A6"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1.753.350</w:t>
            </w:r>
          </w:p>
        </w:tc>
        <w:tc>
          <w:tcPr>
            <w:tcW w:w="486" w:type="pct"/>
            <w:vMerge w:val="restart"/>
            <w:tcBorders>
              <w:top w:val="single" w:sz="2" w:space="0" w:color="auto"/>
              <w:left w:val="nil"/>
              <w:right w:val="nil"/>
            </w:tcBorders>
            <w:shd w:val="clear" w:color="auto" w:fill="auto"/>
            <w:noWrap/>
            <w:vAlign w:val="center"/>
          </w:tcPr>
          <w:p w14:paraId="08284390" w14:textId="54286B15" w:rsidR="00937EA9" w:rsidRPr="00D9006E" w:rsidRDefault="00937EA9" w:rsidP="00937EA9">
            <w:pPr>
              <w:spacing w:after="120"/>
              <w:jc w:val="right"/>
              <w:rPr>
                <w:rFonts w:ascii="Calibri" w:hAnsi="Calibri" w:cs="Calibri"/>
                <w:color w:val="000000"/>
                <w:sz w:val="14"/>
                <w:szCs w:val="14"/>
              </w:rPr>
            </w:pPr>
            <w:r w:rsidRPr="000D1ED2">
              <w:rPr>
                <w:rFonts w:ascii="Calibri" w:hAnsi="Calibri" w:cs="Calibri"/>
                <w:color w:val="000000"/>
                <w:sz w:val="14"/>
                <w:szCs w:val="14"/>
              </w:rPr>
              <w:t>-</w:t>
            </w:r>
          </w:p>
        </w:tc>
        <w:tc>
          <w:tcPr>
            <w:tcW w:w="409" w:type="pct"/>
            <w:vMerge w:val="restart"/>
            <w:tcBorders>
              <w:top w:val="single" w:sz="2" w:space="0" w:color="auto"/>
              <w:left w:val="nil"/>
              <w:right w:val="nil"/>
            </w:tcBorders>
            <w:shd w:val="clear" w:color="auto" w:fill="auto"/>
            <w:noWrap/>
            <w:vAlign w:val="center"/>
          </w:tcPr>
          <w:p w14:paraId="0BB49E58" w14:textId="136BC643" w:rsidR="00937EA9" w:rsidRPr="00D9006E" w:rsidRDefault="00937EA9" w:rsidP="00937EA9">
            <w:pPr>
              <w:spacing w:after="120"/>
              <w:jc w:val="right"/>
              <w:rPr>
                <w:rFonts w:ascii="Calibri" w:hAnsi="Calibri" w:cs="Calibri"/>
                <w:color w:val="000000"/>
                <w:sz w:val="14"/>
                <w:szCs w:val="14"/>
              </w:rPr>
            </w:pPr>
            <w:r w:rsidRPr="000D1ED2">
              <w:rPr>
                <w:rFonts w:ascii="Calibri" w:hAnsi="Calibri" w:cs="Calibri"/>
                <w:color w:val="000000"/>
                <w:sz w:val="14"/>
                <w:szCs w:val="14"/>
              </w:rPr>
              <w:t>-</w:t>
            </w:r>
          </w:p>
        </w:tc>
        <w:tc>
          <w:tcPr>
            <w:tcW w:w="456" w:type="pct"/>
            <w:vMerge w:val="restart"/>
            <w:tcBorders>
              <w:top w:val="single" w:sz="2" w:space="0" w:color="auto"/>
              <w:left w:val="nil"/>
              <w:right w:val="nil"/>
            </w:tcBorders>
            <w:shd w:val="clear" w:color="auto" w:fill="auto"/>
            <w:noWrap/>
            <w:vAlign w:val="center"/>
          </w:tcPr>
          <w:p w14:paraId="34EFE022" w14:textId="6787575D"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1.753.350</w:t>
            </w:r>
          </w:p>
        </w:tc>
      </w:tr>
      <w:tr w:rsidR="00937EA9" w:rsidRPr="00D9006E" w14:paraId="0DAA4111" w14:textId="77777777" w:rsidTr="00B83E3B">
        <w:trPr>
          <w:trHeight w:hRule="exact" w:val="227"/>
        </w:trPr>
        <w:tc>
          <w:tcPr>
            <w:tcW w:w="1741" w:type="pct"/>
            <w:vMerge/>
            <w:tcBorders>
              <w:left w:val="nil"/>
              <w:bottom w:val="nil"/>
              <w:right w:val="nil"/>
            </w:tcBorders>
            <w:shd w:val="clear" w:color="auto" w:fill="auto"/>
            <w:noWrap/>
            <w:vAlign w:val="center"/>
          </w:tcPr>
          <w:p w14:paraId="0FBF4C30" w14:textId="77777777" w:rsidR="00937EA9" w:rsidRPr="00D9006E" w:rsidRDefault="00937EA9" w:rsidP="00937EA9">
            <w:pPr>
              <w:spacing w:after="120"/>
              <w:rPr>
                <w:rFonts w:ascii="Calibri" w:hAnsi="Calibri" w:cs="Calibri"/>
                <w:color w:val="000000"/>
                <w:sz w:val="14"/>
                <w:szCs w:val="14"/>
              </w:rPr>
            </w:pPr>
          </w:p>
        </w:tc>
        <w:tc>
          <w:tcPr>
            <w:tcW w:w="1030" w:type="pct"/>
            <w:tcBorders>
              <w:left w:val="nil"/>
              <w:bottom w:val="single" w:sz="2" w:space="0" w:color="auto"/>
              <w:right w:val="nil"/>
            </w:tcBorders>
            <w:shd w:val="clear" w:color="auto" w:fill="auto"/>
            <w:noWrap/>
            <w:vAlign w:val="center"/>
          </w:tcPr>
          <w:p w14:paraId="38DA8363" w14:textId="26F01A12"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BR-040/DF/GO/MG</w:t>
            </w:r>
          </w:p>
        </w:tc>
        <w:tc>
          <w:tcPr>
            <w:tcW w:w="407" w:type="pct"/>
            <w:vMerge/>
            <w:tcBorders>
              <w:left w:val="nil"/>
              <w:bottom w:val="single" w:sz="2" w:space="0" w:color="auto"/>
              <w:right w:val="nil"/>
            </w:tcBorders>
            <w:shd w:val="clear" w:color="auto" w:fill="auto"/>
            <w:noWrap/>
            <w:vAlign w:val="center"/>
          </w:tcPr>
          <w:p w14:paraId="31EF3E6A" w14:textId="77777777" w:rsidR="00937EA9" w:rsidRPr="00D9006E" w:rsidRDefault="00937EA9" w:rsidP="00937EA9">
            <w:pPr>
              <w:spacing w:after="120"/>
              <w:jc w:val="right"/>
              <w:rPr>
                <w:rFonts w:ascii="Calibri" w:hAnsi="Calibri" w:cs="Calibri"/>
                <w:color w:val="000000"/>
                <w:sz w:val="14"/>
                <w:szCs w:val="14"/>
              </w:rPr>
            </w:pPr>
          </w:p>
        </w:tc>
        <w:tc>
          <w:tcPr>
            <w:tcW w:w="471" w:type="pct"/>
            <w:vMerge/>
            <w:tcBorders>
              <w:left w:val="nil"/>
              <w:bottom w:val="single" w:sz="2" w:space="0" w:color="auto"/>
              <w:right w:val="nil"/>
            </w:tcBorders>
            <w:shd w:val="clear" w:color="auto" w:fill="auto"/>
            <w:noWrap/>
            <w:vAlign w:val="center"/>
          </w:tcPr>
          <w:p w14:paraId="423A2CFE" w14:textId="77777777" w:rsidR="00937EA9" w:rsidRPr="00D9006E" w:rsidRDefault="00937EA9" w:rsidP="00937EA9">
            <w:pPr>
              <w:spacing w:after="120"/>
              <w:jc w:val="right"/>
              <w:rPr>
                <w:rFonts w:ascii="Calibri" w:hAnsi="Calibri" w:cs="Calibri"/>
                <w:color w:val="000000"/>
                <w:sz w:val="14"/>
                <w:szCs w:val="14"/>
              </w:rPr>
            </w:pPr>
          </w:p>
        </w:tc>
        <w:tc>
          <w:tcPr>
            <w:tcW w:w="486" w:type="pct"/>
            <w:vMerge/>
            <w:tcBorders>
              <w:left w:val="nil"/>
              <w:bottom w:val="single" w:sz="2" w:space="0" w:color="auto"/>
              <w:right w:val="nil"/>
            </w:tcBorders>
            <w:shd w:val="clear" w:color="auto" w:fill="auto"/>
            <w:noWrap/>
            <w:vAlign w:val="center"/>
          </w:tcPr>
          <w:p w14:paraId="4CDCE6DC" w14:textId="77777777" w:rsidR="00937EA9" w:rsidRPr="00D9006E" w:rsidRDefault="00937EA9" w:rsidP="00937EA9">
            <w:pPr>
              <w:spacing w:after="120"/>
              <w:jc w:val="right"/>
              <w:rPr>
                <w:rFonts w:ascii="Calibri" w:hAnsi="Calibri" w:cs="Calibri"/>
                <w:color w:val="000000"/>
                <w:sz w:val="14"/>
                <w:szCs w:val="14"/>
              </w:rPr>
            </w:pPr>
          </w:p>
        </w:tc>
        <w:tc>
          <w:tcPr>
            <w:tcW w:w="409" w:type="pct"/>
            <w:vMerge/>
            <w:tcBorders>
              <w:left w:val="nil"/>
              <w:bottom w:val="single" w:sz="2" w:space="0" w:color="auto"/>
              <w:right w:val="nil"/>
            </w:tcBorders>
            <w:shd w:val="clear" w:color="auto" w:fill="auto"/>
            <w:noWrap/>
            <w:vAlign w:val="center"/>
          </w:tcPr>
          <w:p w14:paraId="519176EA" w14:textId="77777777" w:rsidR="00937EA9" w:rsidRPr="00D9006E" w:rsidRDefault="00937EA9" w:rsidP="00937EA9">
            <w:pPr>
              <w:spacing w:after="120"/>
              <w:jc w:val="right"/>
              <w:rPr>
                <w:rFonts w:ascii="Calibri" w:hAnsi="Calibri" w:cs="Calibri"/>
                <w:color w:val="000000"/>
                <w:sz w:val="14"/>
                <w:szCs w:val="14"/>
              </w:rPr>
            </w:pPr>
          </w:p>
        </w:tc>
        <w:tc>
          <w:tcPr>
            <w:tcW w:w="456" w:type="pct"/>
            <w:vMerge/>
            <w:tcBorders>
              <w:left w:val="nil"/>
              <w:bottom w:val="single" w:sz="2" w:space="0" w:color="auto"/>
              <w:right w:val="nil"/>
            </w:tcBorders>
            <w:shd w:val="clear" w:color="auto" w:fill="auto"/>
            <w:noWrap/>
            <w:vAlign w:val="center"/>
          </w:tcPr>
          <w:p w14:paraId="11268433" w14:textId="77777777" w:rsidR="00937EA9" w:rsidRPr="00D9006E" w:rsidRDefault="00937EA9" w:rsidP="00937EA9">
            <w:pPr>
              <w:spacing w:after="120"/>
              <w:jc w:val="right"/>
              <w:rPr>
                <w:rFonts w:ascii="Calibri" w:hAnsi="Calibri" w:cs="Calibri"/>
                <w:color w:val="000000"/>
                <w:sz w:val="14"/>
                <w:szCs w:val="14"/>
              </w:rPr>
            </w:pPr>
          </w:p>
        </w:tc>
      </w:tr>
      <w:tr w:rsidR="00937EA9" w:rsidRPr="00D9006E" w14:paraId="08CBA13B" w14:textId="77777777" w:rsidTr="00B83E3B">
        <w:trPr>
          <w:trHeight w:hRule="exact" w:val="227"/>
        </w:trPr>
        <w:tc>
          <w:tcPr>
            <w:tcW w:w="1741" w:type="pct"/>
            <w:vMerge w:val="restart"/>
            <w:tcBorders>
              <w:top w:val="single" w:sz="2" w:space="0" w:color="auto"/>
              <w:left w:val="nil"/>
              <w:right w:val="nil"/>
            </w:tcBorders>
            <w:shd w:val="clear" w:color="auto" w:fill="auto"/>
            <w:noWrap/>
            <w:vAlign w:val="center"/>
          </w:tcPr>
          <w:p w14:paraId="252B59BF" w14:textId="38C3AEC6"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01/2021 - Acordo IFC</w:t>
            </w:r>
          </w:p>
        </w:tc>
        <w:tc>
          <w:tcPr>
            <w:tcW w:w="1030" w:type="pct"/>
            <w:tcBorders>
              <w:top w:val="single" w:sz="2" w:space="0" w:color="auto"/>
              <w:left w:val="nil"/>
              <w:bottom w:val="nil"/>
              <w:right w:val="nil"/>
            </w:tcBorders>
            <w:shd w:val="clear" w:color="auto" w:fill="auto"/>
            <w:noWrap/>
            <w:vAlign w:val="center"/>
          </w:tcPr>
          <w:p w14:paraId="0B1EA924" w14:textId="7D5E4354"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FICO 1 - Mara Rosa - Água Boa</w:t>
            </w:r>
          </w:p>
        </w:tc>
        <w:tc>
          <w:tcPr>
            <w:tcW w:w="407" w:type="pct"/>
            <w:vMerge w:val="restart"/>
            <w:tcBorders>
              <w:top w:val="single" w:sz="2" w:space="0" w:color="auto"/>
              <w:left w:val="nil"/>
              <w:right w:val="nil"/>
            </w:tcBorders>
            <w:shd w:val="clear" w:color="auto" w:fill="auto"/>
            <w:noWrap/>
            <w:vAlign w:val="center"/>
          </w:tcPr>
          <w:p w14:paraId="324B78C2" w14:textId="59FDD1BD"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71" w:type="pct"/>
            <w:vMerge w:val="restart"/>
            <w:tcBorders>
              <w:top w:val="single" w:sz="2" w:space="0" w:color="auto"/>
              <w:left w:val="nil"/>
              <w:right w:val="nil"/>
            </w:tcBorders>
            <w:shd w:val="clear" w:color="auto" w:fill="auto"/>
            <w:noWrap/>
            <w:vAlign w:val="center"/>
          </w:tcPr>
          <w:p w14:paraId="14648A8A" w14:textId="61E2E45A"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1.663.017</w:t>
            </w:r>
          </w:p>
        </w:tc>
        <w:tc>
          <w:tcPr>
            <w:tcW w:w="486" w:type="pct"/>
            <w:vMerge w:val="restart"/>
            <w:tcBorders>
              <w:top w:val="single" w:sz="2" w:space="0" w:color="auto"/>
              <w:left w:val="nil"/>
              <w:right w:val="nil"/>
            </w:tcBorders>
            <w:shd w:val="clear" w:color="auto" w:fill="auto"/>
            <w:noWrap/>
            <w:vAlign w:val="center"/>
          </w:tcPr>
          <w:p w14:paraId="70237E5C" w14:textId="7B52A7C7"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vMerge w:val="restart"/>
            <w:tcBorders>
              <w:top w:val="single" w:sz="2" w:space="0" w:color="auto"/>
              <w:left w:val="nil"/>
              <w:right w:val="nil"/>
            </w:tcBorders>
            <w:shd w:val="clear" w:color="auto" w:fill="auto"/>
            <w:noWrap/>
            <w:vAlign w:val="center"/>
          </w:tcPr>
          <w:p w14:paraId="1CB39266" w14:textId="48D3FB4E"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56" w:type="pct"/>
            <w:vMerge w:val="restart"/>
            <w:tcBorders>
              <w:top w:val="single" w:sz="2" w:space="0" w:color="auto"/>
              <w:left w:val="nil"/>
              <w:right w:val="nil"/>
            </w:tcBorders>
            <w:shd w:val="clear" w:color="auto" w:fill="auto"/>
            <w:noWrap/>
            <w:vAlign w:val="center"/>
          </w:tcPr>
          <w:p w14:paraId="2866BF75" w14:textId="762B1102"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1.663.017</w:t>
            </w:r>
          </w:p>
        </w:tc>
      </w:tr>
      <w:tr w:rsidR="00937EA9" w:rsidRPr="00D9006E" w14:paraId="2F2D1DDB" w14:textId="77777777" w:rsidTr="00B83E3B">
        <w:trPr>
          <w:trHeight w:hRule="exact" w:val="227"/>
        </w:trPr>
        <w:tc>
          <w:tcPr>
            <w:tcW w:w="1741" w:type="pct"/>
            <w:vMerge/>
            <w:tcBorders>
              <w:left w:val="nil"/>
              <w:right w:val="nil"/>
            </w:tcBorders>
            <w:shd w:val="clear" w:color="auto" w:fill="auto"/>
            <w:noWrap/>
            <w:vAlign w:val="center"/>
          </w:tcPr>
          <w:p w14:paraId="1C3FF759" w14:textId="77777777" w:rsidR="00937EA9" w:rsidRPr="00D9006E" w:rsidRDefault="00937EA9" w:rsidP="00937EA9">
            <w:pPr>
              <w:spacing w:after="120"/>
              <w:rPr>
                <w:rFonts w:ascii="Calibri" w:hAnsi="Calibri" w:cs="Calibri"/>
                <w:color w:val="000000"/>
                <w:sz w:val="14"/>
                <w:szCs w:val="14"/>
              </w:rPr>
            </w:pPr>
          </w:p>
        </w:tc>
        <w:tc>
          <w:tcPr>
            <w:tcW w:w="1030" w:type="pct"/>
            <w:tcBorders>
              <w:left w:val="nil"/>
              <w:bottom w:val="nil"/>
              <w:right w:val="nil"/>
            </w:tcBorders>
            <w:shd w:val="clear" w:color="auto" w:fill="auto"/>
            <w:noWrap/>
            <w:vAlign w:val="center"/>
          </w:tcPr>
          <w:p w14:paraId="5D00DAC3" w14:textId="0A51266C"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FICO 2 - Lucas do Rio Verde - Água Boa</w:t>
            </w:r>
          </w:p>
        </w:tc>
        <w:tc>
          <w:tcPr>
            <w:tcW w:w="407" w:type="pct"/>
            <w:vMerge/>
            <w:tcBorders>
              <w:left w:val="nil"/>
              <w:right w:val="nil"/>
            </w:tcBorders>
            <w:shd w:val="clear" w:color="auto" w:fill="auto"/>
            <w:noWrap/>
            <w:vAlign w:val="center"/>
          </w:tcPr>
          <w:p w14:paraId="04D544FC" w14:textId="77777777" w:rsidR="00937EA9" w:rsidRPr="00D9006E" w:rsidRDefault="00937EA9" w:rsidP="00937EA9">
            <w:pPr>
              <w:spacing w:after="120"/>
              <w:jc w:val="right"/>
              <w:rPr>
                <w:rFonts w:ascii="Calibri" w:hAnsi="Calibri" w:cs="Calibri"/>
                <w:color w:val="000000"/>
                <w:sz w:val="14"/>
                <w:szCs w:val="14"/>
              </w:rPr>
            </w:pPr>
          </w:p>
        </w:tc>
        <w:tc>
          <w:tcPr>
            <w:tcW w:w="471" w:type="pct"/>
            <w:vMerge/>
            <w:tcBorders>
              <w:left w:val="nil"/>
              <w:right w:val="nil"/>
            </w:tcBorders>
            <w:shd w:val="clear" w:color="auto" w:fill="auto"/>
            <w:noWrap/>
            <w:vAlign w:val="center"/>
          </w:tcPr>
          <w:p w14:paraId="04C4185F" w14:textId="77777777" w:rsidR="00937EA9" w:rsidRPr="00D9006E" w:rsidRDefault="00937EA9" w:rsidP="00937EA9">
            <w:pPr>
              <w:spacing w:after="120"/>
              <w:jc w:val="right"/>
              <w:rPr>
                <w:rFonts w:ascii="Calibri" w:hAnsi="Calibri" w:cs="Calibri"/>
                <w:color w:val="000000"/>
                <w:sz w:val="14"/>
                <w:szCs w:val="14"/>
              </w:rPr>
            </w:pPr>
          </w:p>
        </w:tc>
        <w:tc>
          <w:tcPr>
            <w:tcW w:w="486" w:type="pct"/>
            <w:vMerge/>
            <w:tcBorders>
              <w:left w:val="nil"/>
              <w:right w:val="nil"/>
            </w:tcBorders>
            <w:shd w:val="clear" w:color="auto" w:fill="auto"/>
            <w:noWrap/>
            <w:vAlign w:val="center"/>
          </w:tcPr>
          <w:p w14:paraId="71E7970D" w14:textId="77777777" w:rsidR="00937EA9" w:rsidRPr="00D9006E" w:rsidRDefault="00937EA9" w:rsidP="00937EA9">
            <w:pPr>
              <w:spacing w:after="120"/>
              <w:jc w:val="right"/>
              <w:rPr>
                <w:rFonts w:ascii="Calibri" w:hAnsi="Calibri" w:cs="Calibri"/>
                <w:color w:val="000000"/>
                <w:sz w:val="14"/>
                <w:szCs w:val="14"/>
              </w:rPr>
            </w:pPr>
          </w:p>
        </w:tc>
        <w:tc>
          <w:tcPr>
            <w:tcW w:w="409" w:type="pct"/>
            <w:vMerge/>
            <w:tcBorders>
              <w:left w:val="nil"/>
              <w:right w:val="nil"/>
            </w:tcBorders>
            <w:shd w:val="clear" w:color="auto" w:fill="auto"/>
            <w:noWrap/>
            <w:vAlign w:val="center"/>
          </w:tcPr>
          <w:p w14:paraId="5C9AC3CF" w14:textId="77777777" w:rsidR="00937EA9" w:rsidRPr="00D9006E" w:rsidRDefault="00937EA9" w:rsidP="00937EA9">
            <w:pPr>
              <w:spacing w:after="120"/>
              <w:jc w:val="right"/>
              <w:rPr>
                <w:rFonts w:ascii="Calibri" w:hAnsi="Calibri" w:cs="Calibri"/>
                <w:color w:val="000000"/>
                <w:sz w:val="14"/>
                <w:szCs w:val="14"/>
              </w:rPr>
            </w:pPr>
          </w:p>
        </w:tc>
        <w:tc>
          <w:tcPr>
            <w:tcW w:w="456" w:type="pct"/>
            <w:vMerge/>
            <w:tcBorders>
              <w:left w:val="nil"/>
              <w:right w:val="nil"/>
            </w:tcBorders>
            <w:shd w:val="clear" w:color="auto" w:fill="auto"/>
            <w:noWrap/>
            <w:vAlign w:val="center"/>
          </w:tcPr>
          <w:p w14:paraId="73195DB7" w14:textId="77777777" w:rsidR="00937EA9" w:rsidRPr="00D9006E" w:rsidRDefault="00937EA9" w:rsidP="00937EA9">
            <w:pPr>
              <w:spacing w:after="120"/>
              <w:jc w:val="right"/>
              <w:rPr>
                <w:rFonts w:ascii="Calibri" w:hAnsi="Calibri" w:cs="Calibri"/>
                <w:color w:val="000000"/>
                <w:sz w:val="14"/>
                <w:szCs w:val="14"/>
              </w:rPr>
            </w:pPr>
          </w:p>
        </w:tc>
      </w:tr>
      <w:tr w:rsidR="00937EA9" w:rsidRPr="00D9006E" w14:paraId="65E9F3E1" w14:textId="77777777" w:rsidTr="00B83E3B">
        <w:trPr>
          <w:trHeight w:hRule="exact" w:val="227"/>
        </w:trPr>
        <w:tc>
          <w:tcPr>
            <w:tcW w:w="1741" w:type="pct"/>
            <w:vMerge/>
            <w:tcBorders>
              <w:left w:val="nil"/>
              <w:right w:val="nil"/>
            </w:tcBorders>
            <w:shd w:val="clear" w:color="auto" w:fill="auto"/>
            <w:noWrap/>
            <w:vAlign w:val="center"/>
          </w:tcPr>
          <w:p w14:paraId="59613666" w14:textId="77777777" w:rsidR="00937EA9" w:rsidRPr="00D9006E" w:rsidRDefault="00937EA9" w:rsidP="00937EA9">
            <w:pPr>
              <w:spacing w:after="120"/>
              <w:rPr>
                <w:rFonts w:ascii="Calibri" w:hAnsi="Calibri" w:cs="Calibri"/>
                <w:color w:val="000000"/>
                <w:sz w:val="14"/>
                <w:szCs w:val="14"/>
              </w:rPr>
            </w:pPr>
          </w:p>
        </w:tc>
        <w:tc>
          <w:tcPr>
            <w:tcW w:w="1030" w:type="pct"/>
            <w:tcBorders>
              <w:left w:val="nil"/>
              <w:bottom w:val="nil"/>
              <w:right w:val="nil"/>
            </w:tcBorders>
            <w:shd w:val="clear" w:color="auto" w:fill="auto"/>
            <w:noWrap/>
            <w:vAlign w:val="center"/>
          </w:tcPr>
          <w:p w14:paraId="0170CB63" w14:textId="0E043F03"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 xml:space="preserve">FIOL 2 - Caetité - Barreiras </w:t>
            </w:r>
          </w:p>
        </w:tc>
        <w:tc>
          <w:tcPr>
            <w:tcW w:w="407" w:type="pct"/>
            <w:vMerge/>
            <w:tcBorders>
              <w:left w:val="nil"/>
              <w:right w:val="nil"/>
            </w:tcBorders>
            <w:shd w:val="clear" w:color="auto" w:fill="auto"/>
            <w:noWrap/>
            <w:vAlign w:val="center"/>
          </w:tcPr>
          <w:p w14:paraId="5F3750C2" w14:textId="77777777" w:rsidR="00937EA9" w:rsidRPr="00D9006E" w:rsidRDefault="00937EA9" w:rsidP="00937EA9">
            <w:pPr>
              <w:spacing w:after="120"/>
              <w:jc w:val="right"/>
              <w:rPr>
                <w:rFonts w:ascii="Calibri" w:hAnsi="Calibri" w:cs="Calibri"/>
                <w:color w:val="000000"/>
                <w:sz w:val="14"/>
                <w:szCs w:val="14"/>
              </w:rPr>
            </w:pPr>
          </w:p>
        </w:tc>
        <w:tc>
          <w:tcPr>
            <w:tcW w:w="471" w:type="pct"/>
            <w:vMerge/>
            <w:tcBorders>
              <w:left w:val="nil"/>
              <w:right w:val="nil"/>
            </w:tcBorders>
            <w:shd w:val="clear" w:color="auto" w:fill="auto"/>
            <w:noWrap/>
            <w:vAlign w:val="center"/>
          </w:tcPr>
          <w:p w14:paraId="6821FA5E" w14:textId="77777777" w:rsidR="00937EA9" w:rsidRPr="00D9006E" w:rsidRDefault="00937EA9" w:rsidP="00937EA9">
            <w:pPr>
              <w:spacing w:after="120"/>
              <w:jc w:val="right"/>
              <w:rPr>
                <w:rFonts w:ascii="Calibri" w:hAnsi="Calibri" w:cs="Calibri"/>
                <w:color w:val="000000"/>
                <w:sz w:val="14"/>
                <w:szCs w:val="14"/>
              </w:rPr>
            </w:pPr>
          </w:p>
        </w:tc>
        <w:tc>
          <w:tcPr>
            <w:tcW w:w="486" w:type="pct"/>
            <w:vMerge/>
            <w:tcBorders>
              <w:left w:val="nil"/>
              <w:right w:val="nil"/>
            </w:tcBorders>
            <w:shd w:val="clear" w:color="auto" w:fill="auto"/>
            <w:noWrap/>
            <w:vAlign w:val="center"/>
          </w:tcPr>
          <w:p w14:paraId="7A8ECFEC" w14:textId="77777777" w:rsidR="00937EA9" w:rsidRPr="00D9006E" w:rsidRDefault="00937EA9" w:rsidP="00937EA9">
            <w:pPr>
              <w:spacing w:after="120"/>
              <w:jc w:val="right"/>
              <w:rPr>
                <w:rFonts w:ascii="Calibri" w:hAnsi="Calibri" w:cs="Calibri"/>
                <w:color w:val="000000"/>
                <w:sz w:val="14"/>
                <w:szCs w:val="14"/>
              </w:rPr>
            </w:pPr>
          </w:p>
        </w:tc>
        <w:tc>
          <w:tcPr>
            <w:tcW w:w="409" w:type="pct"/>
            <w:vMerge/>
            <w:tcBorders>
              <w:left w:val="nil"/>
              <w:right w:val="nil"/>
            </w:tcBorders>
            <w:shd w:val="clear" w:color="auto" w:fill="auto"/>
            <w:noWrap/>
            <w:vAlign w:val="center"/>
          </w:tcPr>
          <w:p w14:paraId="53CB8087" w14:textId="77777777" w:rsidR="00937EA9" w:rsidRPr="00D9006E" w:rsidRDefault="00937EA9" w:rsidP="00937EA9">
            <w:pPr>
              <w:spacing w:after="120"/>
              <w:jc w:val="right"/>
              <w:rPr>
                <w:rFonts w:ascii="Calibri" w:hAnsi="Calibri" w:cs="Calibri"/>
                <w:color w:val="000000"/>
                <w:sz w:val="14"/>
                <w:szCs w:val="14"/>
              </w:rPr>
            </w:pPr>
          </w:p>
        </w:tc>
        <w:tc>
          <w:tcPr>
            <w:tcW w:w="456" w:type="pct"/>
            <w:vMerge/>
            <w:tcBorders>
              <w:left w:val="nil"/>
              <w:right w:val="nil"/>
            </w:tcBorders>
            <w:shd w:val="clear" w:color="auto" w:fill="auto"/>
            <w:noWrap/>
            <w:vAlign w:val="center"/>
          </w:tcPr>
          <w:p w14:paraId="677DF341" w14:textId="77777777" w:rsidR="00937EA9" w:rsidRPr="00D9006E" w:rsidRDefault="00937EA9" w:rsidP="00937EA9">
            <w:pPr>
              <w:spacing w:after="120"/>
              <w:jc w:val="right"/>
              <w:rPr>
                <w:rFonts w:ascii="Calibri" w:hAnsi="Calibri" w:cs="Calibri"/>
                <w:color w:val="000000"/>
                <w:sz w:val="14"/>
                <w:szCs w:val="14"/>
              </w:rPr>
            </w:pPr>
          </w:p>
        </w:tc>
      </w:tr>
      <w:tr w:rsidR="00937EA9" w:rsidRPr="00D9006E" w14:paraId="7BDAC645" w14:textId="77777777" w:rsidTr="00B83E3B">
        <w:trPr>
          <w:trHeight w:hRule="exact" w:val="227"/>
        </w:trPr>
        <w:tc>
          <w:tcPr>
            <w:tcW w:w="1741" w:type="pct"/>
            <w:vMerge/>
            <w:tcBorders>
              <w:left w:val="nil"/>
              <w:bottom w:val="single" w:sz="2" w:space="0" w:color="auto"/>
              <w:right w:val="nil"/>
            </w:tcBorders>
            <w:shd w:val="clear" w:color="auto" w:fill="auto"/>
            <w:noWrap/>
            <w:vAlign w:val="center"/>
          </w:tcPr>
          <w:p w14:paraId="6FB80154" w14:textId="77777777" w:rsidR="00937EA9" w:rsidRPr="00D9006E" w:rsidRDefault="00937EA9" w:rsidP="00937EA9">
            <w:pPr>
              <w:spacing w:after="120"/>
              <w:rPr>
                <w:rFonts w:ascii="Calibri" w:hAnsi="Calibri" w:cs="Calibri"/>
                <w:color w:val="000000"/>
                <w:sz w:val="14"/>
                <w:szCs w:val="14"/>
              </w:rPr>
            </w:pPr>
          </w:p>
        </w:tc>
        <w:tc>
          <w:tcPr>
            <w:tcW w:w="1030" w:type="pct"/>
            <w:tcBorders>
              <w:left w:val="nil"/>
              <w:bottom w:val="single" w:sz="2" w:space="0" w:color="auto"/>
              <w:right w:val="nil"/>
            </w:tcBorders>
            <w:shd w:val="clear" w:color="auto" w:fill="auto"/>
            <w:noWrap/>
            <w:vAlign w:val="center"/>
          </w:tcPr>
          <w:p w14:paraId="0117E0D7" w14:textId="1AD434E4"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FIOL 3 - Barreiras - Florianópolis</w:t>
            </w:r>
          </w:p>
        </w:tc>
        <w:tc>
          <w:tcPr>
            <w:tcW w:w="407" w:type="pct"/>
            <w:vMerge/>
            <w:tcBorders>
              <w:left w:val="nil"/>
              <w:bottom w:val="single" w:sz="2" w:space="0" w:color="auto"/>
              <w:right w:val="nil"/>
            </w:tcBorders>
            <w:shd w:val="clear" w:color="auto" w:fill="auto"/>
            <w:noWrap/>
            <w:vAlign w:val="center"/>
          </w:tcPr>
          <w:p w14:paraId="0C194C2F" w14:textId="77777777" w:rsidR="00937EA9" w:rsidRPr="00D9006E" w:rsidRDefault="00937EA9" w:rsidP="00937EA9">
            <w:pPr>
              <w:spacing w:after="120"/>
              <w:jc w:val="right"/>
              <w:rPr>
                <w:rFonts w:ascii="Calibri" w:hAnsi="Calibri" w:cs="Calibri"/>
                <w:color w:val="000000"/>
                <w:sz w:val="14"/>
                <w:szCs w:val="14"/>
              </w:rPr>
            </w:pPr>
          </w:p>
        </w:tc>
        <w:tc>
          <w:tcPr>
            <w:tcW w:w="471" w:type="pct"/>
            <w:vMerge/>
            <w:tcBorders>
              <w:left w:val="nil"/>
              <w:bottom w:val="single" w:sz="2" w:space="0" w:color="auto"/>
              <w:right w:val="nil"/>
            </w:tcBorders>
            <w:shd w:val="clear" w:color="auto" w:fill="auto"/>
            <w:noWrap/>
            <w:vAlign w:val="center"/>
          </w:tcPr>
          <w:p w14:paraId="418C63C4" w14:textId="77777777" w:rsidR="00937EA9" w:rsidRPr="00D9006E" w:rsidRDefault="00937EA9" w:rsidP="00937EA9">
            <w:pPr>
              <w:spacing w:after="120"/>
              <w:jc w:val="right"/>
              <w:rPr>
                <w:rFonts w:ascii="Calibri" w:hAnsi="Calibri" w:cs="Calibri"/>
                <w:color w:val="000000"/>
                <w:sz w:val="14"/>
                <w:szCs w:val="14"/>
              </w:rPr>
            </w:pPr>
          </w:p>
        </w:tc>
        <w:tc>
          <w:tcPr>
            <w:tcW w:w="486" w:type="pct"/>
            <w:vMerge/>
            <w:tcBorders>
              <w:left w:val="nil"/>
              <w:bottom w:val="single" w:sz="2" w:space="0" w:color="auto"/>
              <w:right w:val="nil"/>
            </w:tcBorders>
            <w:shd w:val="clear" w:color="auto" w:fill="auto"/>
            <w:noWrap/>
            <w:vAlign w:val="center"/>
          </w:tcPr>
          <w:p w14:paraId="41DC407D" w14:textId="77777777" w:rsidR="00937EA9" w:rsidRPr="00D9006E" w:rsidRDefault="00937EA9" w:rsidP="00937EA9">
            <w:pPr>
              <w:spacing w:after="120"/>
              <w:jc w:val="right"/>
              <w:rPr>
                <w:rFonts w:ascii="Calibri" w:hAnsi="Calibri" w:cs="Calibri"/>
                <w:color w:val="000000"/>
                <w:sz w:val="14"/>
                <w:szCs w:val="14"/>
              </w:rPr>
            </w:pPr>
          </w:p>
        </w:tc>
        <w:tc>
          <w:tcPr>
            <w:tcW w:w="409" w:type="pct"/>
            <w:vMerge/>
            <w:tcBorders>
              <w:left w:val="nil"/>
              <w:bottom w:val="single" w:sz="2" w:space="0" w:color="auto"/>
              <w:right w:val="nil"/>
            </w:tcBorders>
            <w:shd w:val="clear" w:color="auto" w:fill="auto"/>
            <w:noWrap/>
            <w:vAlign w:val="center"/>
          </w:tcPr>
          <w:p w14:paraId="39A2DB52" w14:textId="77777777" w:rsidR="00937EA9" w:rsidRPr="00D9006E" w:rsidRDefault="00937EA9" w:rsidP="00937EA9">
            <w:pPr>
              <w:spacing w:after="120"/>
              <w:jc w:val="right"/>
              <w:rPr>
                <w:rFonts w:ascii="Calibri" w:hAnsi="Calibri" w:cs="Calibri"/>
                <w:color w:val="000000"/>
                <w:sz w:val="14"/>
                <w:szCs w:val="14"/>
              </w:rPr>
            </w:pPr>
          </w:p>
        </w:tc>
        <w:tc>
          <w:tcPr>
            <w:tcW w:w="456" w:type="pct"/>
            <w:vMerge/>
            <w:tcBorders>
              <w:left w:val="nil"/>
              <w:bottom w:val="single" w:sz="2" w:space="0" w:color="auto"/>
              <w:right w:val="nil"/>
            </w:tcBorders>
            <w:shd w:val="clear" w:color="auto" w:fill="auto"/>
            <w:noWrap/>
            <w:vAlign w:val="center"/>
          </w:tcPr>
          <w:p w14:paraId="0D25BD45" w14:textId="77777777" w:rsidR="00937EA9" w:rsidRPr="00D9006E" w:rsidRDefault="00937EA9" w:rsidP="00937EA9">
            <w:pPr>
              <w:spacing w:after="120"/>
              <w:jc w:val="right"/>
              <w:rPr>
                <w:rFonts w:ascii="Calibri" w:hAnsi="Calibri" w:cs="Calibri"/>
                <w:color w:val="000000"/>
                <w:sz w:val="14"/>
                <w:szCs w:val="14"/>
              </w:rPr>
            </w:pPr>
          </w:p>
        </w:tc>
      </w:tr>
      <w:tr w:rsidR="00937EA9" w:rsidRPr="00D9006E" w14:paraId="11E0466F" w14:textId="77777777" w:rsidTr="00B83E3B">
        <w:trPr>
          <w:trHeight w:hRule="exact" w:val="227"/>
        </w:trPr>
        <w:tc>
          <w:tcPr>
            <w:tcW w:w="1741" w:type="pct"/>
            <w:tcBorders>
              <w:top w:val="single" w:sz="2" w:space="0" w:color="auto"/>
              <w:left w:val="nil"/>
              <w:bottom w:val="nil"/>
              <w:right w:val="nil"/>
            </w:tcBorders>
            <w:shd w:val="clear" w:color="auto" w:fill="auto"/>
            <w:noWrap/>
            <w:vAlign w:val="center"/>
          </w:tcPr>
          <w:p w14:paraId="5DC3D14A" w14:textId="66A81BEA"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17/2021 - EVTEA Aeroportos Amazonas</w:t>
            </w:r>
          </w:p>
        </w:tc>
        <w:tc>
          <w:tcPr>
            <w:tcW w:w="1030" w:type="pct"/>
            <w:tcBorders>
              <w:top w:val="single" w:sz="2" w:space="0" w:color="auto"/>
              <w:left w:val="nil"/>
              <w:bottom w:val="nil"/>
              <w:right w:val="nil"/>
            </w:tcBorders>
            <w:shd w:val="clear" w:color="auto" w:fill="auto"/>
            <w:noWrap/>
            <w:vAlign w:val="center"/>
          </w:tcPr>
          <w:p w14:paraId="3C40E4B1" w14:textId="25A33150"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Bloco de Aeroportos do Amazonas</w:t>
            </w:r>
          </w:p>
        </w:tc>
        <w:tc>
          <w:tcPr>
            <w:tcW w:w="407" w:type="pct"/>
            <w:tcBorders>
              <w:top w:val="single" w:sz="2" w:space="0" w:color="auto"/>
              <w:left w:val="nil"/>
              <w:bottom w:val="nil"/>
              <w:right w:val="nil"/>
            </w:tcBorders>
            <w:shd w:val="clear" w:color="auto" w:fill="auto"/>
            <w:noWrap/>
            <w:vAlign w:val="center"/>
          </w:tcPr>
          <w:p w14:paraId="209227DB" w14:textId="1EEBB8ED"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71" w:type="pct"/>
            <w:tcBorders>
              <w:top w:val="single" w:sz="2" w:space="0" w:color="auto"/>
              <w:left w:val="nil"/>
              <w:bottom w:val="nil"/>
              <w:right w:val="nil"/>
            </w:tcBorders>
            <w:shd w:val="clear" w:color="auto" w:fill="auto"/>
            <w:noWrap/>
            <w:vAlign w:val="center"/>
          </w:tcPr>
          <w:p w14:paraId="220FAFF6" w14:textId="58E9592B"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1.626.272</w:t>
            </w:r>
          </w:p>
        </w:tc>
        <w:tc>
          <w:tcPr>
            <w:tcW w:w="486" w:type="pct"/>
            <w:tcBorders>
              <w:top w:val="single" w:sz="2" w:space="0" w:color="auto"/>
              <w:left w:val="nil"/>
              <w:bottom w:val="nil"/>
              <w:right w:val="nil"/>
            </w:tcBorders>
            <w:shd w:val="clear" w:color="auto" w:fill="auto"/>
            <w:noWrap/>
            <w:vAlign w:val="center"/>
          </w:tcPr>
          <w:p w14:paraId="4EDE3B12" w14:textId="18F59E1C"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tcBorders>
              <w:top w:val="single" w:sz="2" w:space="0" w:color="auto"/>
              <w:left w:val="nil"/>
              <w:bottom w:val="nil"/>
              <w:right w:val="nil"/>
            </w:tcBorders>
            <w:shd w:val="clear" w:color="auto" w:fill="auto"/>
            <w:noWrap/>
            <w:vAlign w:val="center"/>
          </w:tcPr>
          <w:p w14:paraId="3E8CFF0D" w14:textId="21BF4F2C"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56" w:type="pct"/>
            <w:tcBorders>
              <w:top w:val="single" w:sz="2" w:space="0" w:color="auto"/>
              <w:left w:val="nil"/>
              <w:bottom w:val="nil"/>
              <w:right w:val="nil"/>
            </w:tcBorders>
            <w:shd w:val="clear" w:color="auto" w:fill="auto"/>
            <w:noWrap/>
            <w:vAlign w:val="center"/>
          </w:tcPr>
          <w:p w14:paraId="15F5CDAE" w14:textId="6A855AB4"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1.626.272</w:t>
            </w:r>
          </w:p>
        </w:tc>
      </w:tr>
      <w:tr w:rsidR="00937EA9" w:rsidRPr="00D9006E" w14:paraId="10D37891" w14:textId="77777777" w:rsidTr="00B83E3B">
        <w:trPr>
          <w:trHeight w:hRule="exact" w:val="227"/>
        </w:trPr>
        <w:tc>
          <w:tcPr>
            <w:tcW w:w="1741" w:type="pct"/>
            <w:tcBorders>
              <w:left w:val="nil"/>
              <w:bottom w:val="nil"/>
              <w:right w:val="nil"/>
            </w:tcBorders>
            <w:shd w:val="clear" w:color="auto" w:fill="auto"/>
            <w:noWrap/>
            <w:vAlign w:val="center"/>
          </w:tcPr>
          <w:p w14:paraId="16F910B7" w14:textId="6877395A"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11/2020 - Consórcio Demarest</w:t>
            </w:r>
          </w:p>
        </w:tc>
        <w:tc>
          <w:tcPr>
            <w:tcW w:w="1030" w:type="pct"/>
            <w:tcBorders>
              <w:left w:val="nil"/>
              <w:bottom w:val="nil"/>
              <w:right w:val="nil"/>
            </w:tcBorders>
            <w:shd w:val="clear" w:color="auto" w:fill="auto"/>
            <w:noWrap/>
            <w:vAlign w:val="center"/>
          </w:tcPr>
          <w:p w14:paraId="6C030BAD" w14:textId="7CA5D3DE"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Porto Organizado de Itajaí - SC</w:t>
            </w:r>
          </w:p>
        </w:tc>
        <w:tc>
          <w:tcPr>
            <w:tcW w:w="407" w:type="pct"/>
            <w:tcBorders>
              <w:left w:val="nil"/>
              <w:bottom w:val="nil"/>
              <w:right w:val="nil"/>
            </w:tcBorders>
            <w:shd w:val="clear" w:color="auto" w:fill="auto"/>
            <w:noWrap/>
          </w:tcPr>
          <w:p w14:paraId="4BE3EBD3" w14:textId="7A12C440" w:rsidR="00937EA9" w:rsidRPr="00D9006E" w:rsidRDefault="00937EA9" w:rsidP="00937EA9">
            <w:pPr>
              <w:spacing w:after="120"/>
              <w:jc w:val="right"/>
              <w:rPr>
                <w:rFonts w:ascii="Calibri" w:hAnsi="Calibri" w:cs="Calibri"/>
                <w:color w:val="000000"/>
                <w:sz w:val="14"/>
                <w:szCs w:val="14"/>
              </w:rPr>
            </w:pPr>
            <w:r w:rsidRPr="00571838">
              <w:rPr>
                <w:rFonts w:ascii="Calibri" w:hAnsi="Calibri" w:cs="Calibri"/>
                <w:color w:val="000000"/>
                <w:sz w:val="14"/>
                <w:szCs w:val="14"/>
              </w:rPr>
              <w:t>-</w:t>
            </w:r>
          </w:p>
        </w:tc>
        <w:tc>
          <w:tcPr>
            <w:tcW w:w="471" w:type="pct"/>
            <w:tcBorders>
              <w:left w:val="nil"/>
              <w:bottom w:val="nil"/>
              <w:right w:val="nil"/>
            </w:tcBorders>
            <w:shd w:val="clear" w:color="auto" w:fill="auto"/>
            <w:noWrap/>
          </w:tcPr>
          <w:p w14:paraId="01DAE0C9" w14:textId="1D39D239"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839.872</w:t>
            </w:r>
          </w:p>
        </w:tc>
        <w:tc>
          <w:tcPr>
            <w:tcW w:w="486" w:type="pct"/>
            <w:tcBorders>
              <w:left w:val="nil"/>
              <w:bottom w:val="nil"/>
              <w:right w:val="nil"/>
            </w:tcBorders>
            <w:shd w:val="clear" w:color="auto" w:fill="auto"/>
            <w:noWrap/>
            <w:vAlign w:val="center"/>
          </w:tcPr>
          <w:p w14:paraId="44EE3E69" w14:textId="2ED81F60"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tcBorders>
              <w:left w:val="nil"/>
              <w:bottom w:val="nil"/>
              <w:right w:val="nil"/>
            </w:tcBorders>
            <w:shd w:val="clear" w:color="auto" w:fill="auto"/>
            <w:noWrap/>
          </w:tcPr>
          <w:p w14:paraId="02DD0F41" w14:textId="0A5F69E7" w:rsidR="00937EA9" w:rsidRPr="00D9006E" w:rsidRDefault="00937EA9" w:rsidP="00937EA9">
            <w:pPr>
              <w:spacing w:after="120"/>
              <w:jc w:val="right"/>
              <w:rPr>
                <w:rFonts w:ascii="Calibri" w:hAnsi="Calibri" w:cs="Calibri"/>
                <w:color w:val="000000"/>
                <w:sz w:val="14"/>
                <w:szCs w:val="14"/>
              </w:rPr>
            </w:pPr>
            <w:r w:rsidRPr="00F02ADC">
              <w:rPr>
                <w:rFonts w:ascii="Calibri" w:hAnsi="Calibri" w:cs="Calibri"/>
                <w:color w:val="000000"/>
                <w:sz w:val="14"/>
                <w:szCs w:val="14"/>
              </w:rPr>
              <w:t>-</w:t>
            </w:r>
          </w:p>
        </w:tc>
        <w:tc>
          <w:tcPr>
            <w:tcW w:w="456" w:type="pct"/>
            <w:tcBorders>
              <w:left w:val="nil"/>
              <w:bottom w:val="nil"/>
              <w:right w:val="nil"/>
            </w:tcBorders>
            <w:shd w:val="clear" w:color="auto" w:fill="auto"/>
            <w:noWrap/>
          </w:tcPr>
          <w:p w14:paraId="68CCB89E" w14:textId="0903F94C"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839.872</w:t>
            </w:r>
          </w:p>
        </w:tc>
      </w:tr>
      <w:tr w:rsidR="00937EA9" w:rsidRPr="00D9006E" w14:paraId="03147826" w14:textId="77777777" w:rsidTr="00B83E3B">
        <w:trPr>
          <w:trHeight w:hRule="exact" w:val="227"/>
        </w:trPr>
        <w:tc>
          <w:tcPr>
            <w:tcW w:w="1741" w:type="pct"/>
            <w:tcBorders>
              <w:left w:val="nil"/>
              <w:bottom w:val="single" w:sz="2" w:space="0" w:color="auto"/>
              <w:right w:val="nil"/>
            </w:tcBorders>
            <w:shd w:val="clear" w:color="auto" w:fill="auto"/>
            <w:noWrap/>
            <w:vAlign w:val="center"/>
          </w:tcPr>
          <w:p w14:paraId="7B30598C" w14:textId="62D2EFD8"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03/2018 - Ecossistema</w:t>
            </w:r>
          </w:p>
        </w:tc>
        <w:tc>
          <w:tcPr>
            <w:tcW w:w="1030" w:type="pct"/>
            <w:tcBorders>
              <w:left w:val="nil"/>
              <w:bottom w:val="single" w:sz="2" w:space="0" w:color="auto"/>
              <w:right w:val="nil"/>
            </w:tcBorders>
            <w:shd w:val="clear" w:color="auto" w:fill="auto"/>
            <w:noWrap/>
            <w:vAlign w:val="center"/>
          </w:tcPr>
          <w:p w14:paraId="08E84041" w14:textId="72ED4D1D"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 040</w:t>
            </w:r>
          </w:p>
        </w:tc>
        <w:tc>
          <w:tcPr>
            <w:tcW w:w="407" w:type="pct"/>
            <w:tcBorders>
              <w:left w:val="nil"/>
              <w:bottom w:val="single" w:sz="2" w:space="0" w:color="auto"/>
              <w:right w:val="nil"/>
            </w:tcBorders>
            <w:shd w:val="clear" w:color="auto" w:fill="auto"/>
            <w:noWrap/>
          </w:tcPr>
          <w:p w14:paraId="50F5C2C5" w14:textId="38BD5A76" w:rsidR="00937EA9" w:rsidRPr="00D9006E" w:rsidRDefault="00937EA9" w:rsidP="00937EA9">
            <w:pPr>
              <w:spacing w:after="120"/>
              <w:jc w:val="right"/>
              <w:rPr>
                <w:rFonts w:ascii="Calibri" w:hAnsi="Calibri" w:cs="Calibri"/>
                <w:color w:val="000000"/>
                <w:sz w:val="14"/>
                <w:szCs w:val="14"/>
              </w:rPr>
            </w:pPr>
            <w:r w:rsidRPr="00571838">
              <w:rPr>
                <w:rFonts w:ascii="Calibri" w:hAnsi="Calibri" w:cs="Calibri"/>
                <w:color w:val="000000"/>
                <w:sz w:val="14"/>
                <w:szCs w:val="14"/>
              </w:rPr>
              <w:t>-</w:t>
            </w:r>
          </w:p>
        </w:tc>
        <w:tc>
          <w:tcPr>
            <w:tcW w:w="471" w:type="pct"/>
            <w:tcBorders>
              <w:left w:val="nil"/>
              <w:bottom w:val="single" w:sz="2" w:space="0" w:color="auto"/>
              <w:right w:val="nil"/>
            </w:tcBorders>
            <w:shd w:val="clear" w:color="auto" w:fill="auto"/>
            <w:noWrap/>
          </w:tcPr>
          <w:p w14:paraId="7F3DF281" w14:textId="6AF0736A"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770.556</w:t>
            </w:r>
          </w:p>
        </w:tc>
        <w:tc>
          <w:tcPr>
            <w:tcW w:w="486" w:type="pct"/>
            <w:tcBorders>
              <w:left w:val="nil"/>
              <w:bottom w:val="single" w:sz="2" w:space="0" w:color="auto"/>
              <w:right w:val="nil"/>
            </w:tcBorders>
            <w:shd w:val="clear" w:color="auto" w:fill="auto"/>
            <w:noWrap/>
            <w:vAlign w:val="center"/>
          </w:tcPr>
          <w:p w14:paraId="068D3122" w14:textId="014BFC9C"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w:t>
            </w:r>
          </w:p>
        </w:tc>
        <w:tc>
          <w:tcPr>
            <w:tcW w:w="409" w:type="pct"/>
            <w:tcBorders>
              <w:left w:val="nil"/>
              <w:bottom w:val="single" w:sz="2" w:space="0" w:color="auto"/>
              <w:right w:val="nil"/>
            </w:tcBorders>
            <w:shd w:val="clear" w:color="auto" w:fill="auto"/>
            <w:noWrap/>
          </w:tcPr>
          <w:p w14:paraId="71A298F9" w14:textId="096E8263" w:rsidR="00937EA9" w:rsidRPr="00D9006E" w:rsidRDefault="00937EA9" w:rsidP="00937EA9">
            <w:pPr>
              <w:spacing w:after="120"/>
              <w:jc w:val="right"/>
              <w:rPr>
                <w:rFonts w:ascii="Calibri" w:hAnsi="Calibri" w:cs="Calibri"/>
                <w:color w:val="000000"/>
                <w:sz w:val="14"/>
                <w:szCs w:val="14"/>
              </w:rPr>
            </w:pPr>
            <w:r w:rsidRPr="00F02ADC">
              <w:rPr>
                <w:rFonts w:ascii="Calibri" w:hAnsi="Calibri" w:cs="Calibri"/>
                <w:color w:val="000000"/>
                <w:sz w:val="14"/>
                <w:szCs w:val="14"/>
              </w:rPr>
              <w:t>-</w:t>
            </w:r>
          </w:p>
        </w:tc>
        <w:tc>
          <w:tcPr>
            <w:tcW w:w="456" w:type="pct"/>
            <w:tcBorders>
              <w:left w:val="nil"/>
              <w:bottom w:val="single" w:sz="2" w:space="0" w:color="auto"/>
              <w:right w:val="nil"/>
            </w:tcBorders>
            <w:shd w:val="clear" w:color="auto" w:fill="auto"/>
            <w:noWrap/>
          </w:tcPr>
          <w:p w14:paraId="200BE31C" w14:textId="787F8616"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770.556</w:t>
            </w:r>
          </w:p>
        </w:tc>
      </w:tr>
      <w:tr w:rsidR="00937EA9" w:rsidRPr="00D9006E" w14:paraId="4542029E" w14:textId="77777777" w:rsidTr="00B83E3B">
        <w:trPr>
          <w:trHeight w:hRule="exact" w:val="227"/>
        </w:trPr>
        <w:tc>
          <w:tcPr>
            <w:tcW w:w="1741" w:type="pct"/>
            <w:tcBorders>
              <w:top w:val="single" w:sz="2" w:space="0" w:color="auto"/>
              <w:left w:val="nil"/>
              <w:bottom w:val="nil"/>
              <w:right w:val="nil"/>
            </w:tcBorders>
            <w:shd w:val="clear" w:color="auto" w:fill="auto"/>
            <w:noWrap/>
            <w:vAlign w:val="center"/>
          </w:tcPr>
          <w:p w14:paraId="7E76974C" w14:textId="67176336"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09/2021 - MRS</w:t>
            </w:r>
          </w:p>
        </w:tc>
        <w:tc>
          <w:tcPr>
            <w:tcW w:w="1030" w:type="pct"/>
            <w:tcBorders>
              <w:top w:val="single" w:sz="2" w:space="0" w:color="auto"/>
              <w:left w:val="nil"/>
              <w:bottom w:val="nil"/>
              <w:right w:val="nil"/>
            </w:tcBorders>
            <w:shd w:val="clear" w:color="auto" w:fill="auto"/>
            <w:noWrap/>
            <w:vAlign w:val="center"/>
          </w:tcPr>
          <w:p w14:paraId="26973200" w14:textId="19441E25"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 158/MT - Contorno Leste</w:t>
            </w:r>
          </w:p>
        </w:tc>
        <w:tc>
          <w:tcPr>
            <w:tcW w:w="407" w:type="pct"/>
            <w:tcBorders>
              <w:top w:val="single" w:sz="2" w:space="0" w:color="auto"/>
              <w:left w:val="nil"/>
              <w:bottom w:val="nil"/>
              <w:right w:val="nil"/>
            </w:tcBorders>
            <w:shd w:val="clear" w:color="auto" w:fill="auto"/>
            <w:noWrap/>
          </w:tcPr>
          <w:p w14:paraId="1165F95A" w14:textId="3B927E3F" w:rsidR="00937EA9" w:rsidRPr="00D9006E" w:rsidRDefault="00937EA9" w:rsidP="00937EA9">
            <w:pPr>
              <w:spacing w:after="120"/>
              <w:jc w:val="right"/>
              <w:rPr>
                <w:rFonts w:ascii="Calibri" w:hAnsi="Calibri" w:cs="Calibri"/>
                <w:color w:val="000000"/>
                <w:sz w:val="14"/>
                <w:szCs w:val="14"/>
              </w:rPr>
            </w:pPr>
            <w:r w:rsidRPr="008F68D0">
              <w:rPr>
                <w:rFonts w:ascii="Calibri" w:hAnsi="Calibri" w:cs="Calibri"/>
                <w:color w:val="000000"/>
                <w:sz w:val="14"/>
                <w:szCs w:val="14"/>
              </w:rPr>
              <w:t>-</w:t>
            </w:r>
          </w:p>
        </w:tc>
        <w:tc>
          <w:tcPr>
            <w:tcW w:w="471" w:type="pct"/>
            <w:tcBorders>
              <w:top w:val="single" w:sz="2" w:space="0" w:color="auto"/>
              <w:left w:val="nil"/>
              <w:bottom w:val="nil"/>
              <w:right w:val="nil"/>
            </w:tcBorders>
            <w:shd w:val="clear" w:color="auto" w:fill="auto"/>
            <w:noWrap/>
            <w:vAlign w:val="center"/>
          </w:tcPr>
          <w:p w14:paraId="101BB2E3" w14:textId="048D97C5"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425.369</w:t>
            </w:r>
          </w:p>
        </w:tc>
        <w:tc>
          <w:tcPr>
            <w:tcW w:w="486" w:type="pct"/>
            <w:tcBorders>
              <w:top w:val="single" w:sz="2" w:space="0" w:color="auto"/>
              <w:left w:val="nil"/>
              <w:bottom w:val="nil"/>
              <w:right w:val="nil"/>
            </w:tcBorders>
            <w:shd w:val="clear" w:color="auto" w:fill="auto"/>
            <w:noWrap/>
          </w:tcPr>
          <w:p w14:paraId="11AA62FE" w14:textId="0EDE1A57" w:rsidR="00937EA9" w:rsidRPr="00D9006E" w:rsidRDefault="00937EA9" w:rsidP="00937EA9">
            <w:pPr>
              <w:spacing w:after="120"/>
              <w:jc w:val="right"/>
              <w:rPr>
                <w:rFonts w:ascii="Calibri" w:hAnsi="Calibri" w:cs="Calibri"/>
                <w:color w:val="000000"/>
                <w:sz w:val="14"/>
                <w:szCs w:val="14"/>
              </w:rPr>
            </w:pPr>
            <w:r w:rsidRPr="008F68D0">
              <w:rPr>
                <w:rFonts w:ascii="Calibri" w:hAnsi="Calibri" w:cs="Calibri"/>
                <w:color w:val="000000"/>
                <w:sz w:val="14"/>
                <w:szCs w:val="14"/>
              </w:rPr>
              <w:t>-</w:t>
            </w:r>
          </w:p>
        </w:tc>
        <w:tc>
          <w:tcPr>
            <w:tcW w:w="409" w:type="pct"/>
            <w:tcBorders>
              <w:top w:val="single" w:sz="2" w:space="0" w:color="auto"/>
              <w:left w:val="nil"/>
              <w:bottom w:val="nil"/>
              <w:right w:val="nil"/>
            </w:tcBorders>
            <w:shd w:val="clear" w:color="auto" w:fill="auto"/>
            <w:noWrap/>
          </w:tcPr>
          <w:p w14:paraId="50A46A69" w14:textId="296E902D" w:rsidR="00937EA9" w:rsidRPr="00D9006E" w:rsidRDefault="00937EA9" w:rsidP="00937EA9">
            <w:pPr>
              <w:spacing w:after="120"/>
              <w:jc w:val="right"/>
              <w:rPr>
                <w:rFonts w:ascii="Calibri" w:hAnsi="Calibri" w:cs="Calibri"/>
                <w:color w:val="000000"/>
                <w:sz w:val="14"/>
                <w:szCs w:val="14"/>
              </w:rPr>
            </w:pPr>
            <w:r w:rsidRPr="00C560CE">
              <w:rPr>
                <w:rFonts w:ascii="Calibri" w:hAnsi="Calibri" w:cs="Calibri"/>
                <w:color w:val="000000"/>
                <w:sz w:val="14"/>
                <w:szCs w:val="14"/>
              </w:rPr>
              <w:t>-</w:t>
            </w:r>
          </w:p>
        </w:tc>
        <w:tc>
          <w:tcPr>
            <w:tcW w:w="456" w:type="pct"/>
            <w:tcBorders>
              <w:top w:val="single" w:sz="2" w:space="0" w:color="auto"/>
              <w:left w:val="nil"/>
              <w:bottom w:val="nil"/>
              <w:right w:val="nil"/>
            </w:tcBorders>
            <w:shd w:val="clear" w:color="auto" w:fill="auto"/>
            <w:noWrap/>
            <w:vAlign w:val="center"/>
          </w:tcPr>
          <w:p w14:paraId="7ED4D024" w14:textId="3F580E09"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425.369</w:t>
            </w:r>
          </w:p>
        </w:tc>
      </w:tr>
      <w:tr w:rsidR="00937EA9" w:rsidRPr="00D9006E" w14:paraId="3B7D3D0A" w14:textId="77777777" w:rsidTr="00B83E3B">
        <w:trPr>
          <w:trHeight w:hRule="exact" w:val="227"/>
        </w:trPr>
        <w:tc>
          <w:tcPr>
            <w:tcW w:w="1741" w:type="pct"/>
            <w:tcBorders>
              <w:left w:val="nil"/>
              <w:bottom w:val="single" w:sz="12" w:space="0" w:color="auto"/>
              <w:right w:val="nil"/>
            </w:tcBorders>
            <w:shd w:val="clear" w:color="auto" w:fill="auto"/>
            <w:noWrap/>
            <w:vAlign w:val="center"/>
          </w:tcPr>
          <w:p w14:paraId="39709D78" w14:textId="7D383C0D"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13/2022 - Consorcio Ecoplan/Skill/Celtes</w:t>
            </w:r>
          </w:p>
        </w:tc>
        <w:tc>
          <w:tcPr>
            <w:tcW w:w="1030" w:type="pct"/>
            <w:tcBorders>
              <w:left w:val="nil"/>
              <w:bottom w:val="single" w:sz="12" w:space="0" w:color="auto"/>
              <w:right w:val="nil"/>
            </w:tcBorders>
            <w:shd w:val="clear" w:color="auto" w:fill="auto"/>
            <w:noWrap/>
            <w:vAlign w:val="center"/>
          </w:tcPr>
          <w:p w14:paraId="3055CC87" w14:textId="4A7FFCC7" w:rsidR="00937EA9" w:rsidRPr="00D9006E" w:rsidRDefault="00937EA9" w:rsidP="00937EA9">
            <w:pPr>
              <w:spacing w:after="120"/>
              <w:rPr>
                <w:rFonts w:ascii="Calibri" w:hAnsi="Calibri" w:cs="Calibri"/>
                <w:color w:val="000000"/>
                <w:sz w:val="14"/>
                <w:szCs w:val="14"/>
              </w:rPr>
            </w:pPr>
            <w:r w:rsidRPr="00D9006E">
              <w:rPr>
                <w:rFonts w:ascii="Calibri" w:hAnsi="Calibri" w:cs="Calibri"/>
                <w:color w:val="000000"/>
                <w:sz w:val="14"/>
                <w:szCs w:val="14"/>
              </w:rPr>
              <w:t>BR- 158/MT</w:t>
            </w:r>
          </w:p>
        </w:tc>
        <w:tc>
          <w:tcPr>
            <w:tcW w:w="407" w:type="pct"/>
            <w:tcBorders>
              <w:left w:val="nil"/>
              <w:bottom w:val="single" w:sz="12" w:space="0" w:color="auto"/>
              <w:right w:val="nil"/>
            </w:tcBorders>
            <w:shd w:val="clear" w:color="auto" w:fill="auto"/>
            <w:noWrap/>
          </w:tcPr>
          <w:p w14:paraId="669418E7" w14:textId="1F61A239" w:rsidR="00937EA9" w:rsidRPr="00D9006E" w:rsidRDefault="00937EA9" w:rsidP="00937EA9">
            <w:pPr>
              <w:spacing w:after="120"/>
              <w:jc w:val="right"/>
              <w:rPr>
                <w:rFonts w:ascii="Calibri" w:hAnsi="Calibri" w:cs="Calibri"/>
                <w:color w:val="000000"/>
                <w:sz w:val="14"/>
                <w:szCs w:val="14"/>
              </w:rPr>
            </w:pPr>
            <w:r w:rsidRPr="008F68D0">
              <w:rPr>
                <w:rFonts w:ascii="Calibri" w:hAnsi="Calibri" w:cs="Calibri"/>
                <w:color w:val="000000"/>
                <w:sz w:val="14"/>
                <w:szCs w:val="14"/>
              </w:rPr>
              <w:t>-</w:t>
            </w:r>
          </w:p>
        </w:tc>
        <w:tc>
          <w:tcPr>
            <w:tcW w:w="471" w:type="pct"/>
            <w:tcBorders>
              <w:left w:val="nil"/>
              <w:bottom w:val="single" w:sz="12" w:space="0" w:color="auto"/>
              <w:right w:val="nil"/>
            </w:tcBorders>
            <w:shd w:val="clear" w:color="auto" w:fill="auto"/>
            <w:noWrap/>
            <w:vAlign w:val="center"/>
          </w:tcPr>
          <w:p w14:paraId="5A8C4928" w14:textId="7FB5FBDE"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98.339</w:t>
            </w:r>
          </w:p>
        </w:tc>
        <w:tc>
          <w:tcPr>
            <w:tcW w:w="486" w:type="pct"/>
            <w:tcBorders>
              <w:left w:val="nil"/>
              <w:bottom w:val="single" w:sz="12" w:space="0" w:color="auto"/>
              <w:right w:val="nil"/>
            </w:tcBorders>
            <w:shd w:val="clear" w:color="auto" w:fill="auto"/>
            <w:noWrap/>
          </w:tcPr>
          <w:p w14:paraId="52DF6B4E" w14:textId="5EB4D422" w:rsidR="00937EA9" w:rsidRPr="00D9006E" w:rsidRDefault="00937EA9" w:rsidP="00937EA9">
            <w:pPr>
              <w:spacing w:after="120"/>
              <w:jc w:val="right"/>
              <w:rPr>
                <w:rFonts w:ascii="Calibri" w:hAnsi="Calibri" w:cs="Calibri"/>
                <w:color w:val="000000"/>
                <w:sz w:val="14"/>
                <w:szCs w:val="14"/>
              </w:rPr>
            </w:pPr>
            <w:r w:rsidRPr="008F68D0">
              <w:rPr>
                <w:rFonts w:ascii="Calibri" w:hAnsi="Calibri" w:cs="Calibri"/>
                <w:color w:val="000000"/>
                <w:sz w:val="14"/>
                <w:szCs w:val="14"/>
              </w:rPr>
              <w:t>-</w:t>
            </w:r>
          </w:p>
        </w:tc>
        <w:tc>
          <w:tcPr>
            <w:tcW w:w="409" w:type="pct"/>
            <w:tcBorders>
              <w:left w:val="nil"/>
              <w:bottom w:val="single" w:sz="12" w:space="0" w:color="auto"/>
              <w:right w:val="nil"/>
            </w:tcBorders>
            <w:shd w:val="clear" w:color="auto" w:fill="auto"/>
            <w:noWrap/>
          </w:tcPr>
          <w:p w14:paraId="60247F21" w14:textId="119DC7AC" w:rsidR="00937EA9" w:rsidRPr="00D9006E" w:rsidRDefault="00937EA9" w:rsidP="00937EA9">
            <w:pPr>
              <w:spacing w:after="120"/>
              <w:jc w:val="right"/>
              <w:rPr>
                <w:rFonts w:ascii="Calibri" w:hAnsi="Calibri" w:cs="Calibri"/>
                <w:color w:val="000000"/>
                <w:sz w:val="14"/>
                <w:szCs w:val="14"/>
              </w:rPr>
            </w:pPr>
            <w:r w:rsidRPr="00C560CE">
              <w:rPr>
                <w:rFonts w:ascii="Calibri" w:hAnsi="Calibri" w:cs="Calibri"/>
                <w:color w:val="000000"/>
                <w:sz w:val="14"/>
                <w:szCs w:val="14"/>
              </w:rPr>
              <w:t>-</w:t>
            </w:r>
          </w:p>
        </w:tc>
        <w:tc>
          <w:tcPr>
            <w:tcW w:w="456" w:type="pct"/>
            <w:tcBorders>
              <w:left w:val="nil"/>
              <w:bottom w:val="single" w:sz="12" w:space="0" w:color="auto"/>
              <w:right w:val="nil"/>
            </w:tcBorders>
            <w:shd w:val="clear" w:color="auto" w:fill="auto"/>
            <w:noWrap/>
            <w:vAlign w:val="center"/>
          </w:tcPr>
          <w:p w14:paraId="443B8C2C" w14:textId="703827DA" w:rsidR="00937EA9" w:rsidRPr="00D9006E" w:rsidRDefault="00937EA9" w:rsidP="00937EA9">
            <w:pPr>
              <w:spacing w:after="120"/>
              <w:jc w:val="right"/>
              <w:rPr>
                <w:rFonts w:ascii="Calibri" w:hAnsi="Calibri" w:cs="Calibri"/>
                <w:color w:val="000000"/>
                <w:sz w:val="14"/>
                <w:szCs w:val="14"/>
              </w:rPr>
            </w:pPr>
            <w:r w:rsidRPr="00D9006E">
              <w:rPr>
                <w:rFonts w:ascii="Calibri" w:hAnsi="Calibri" w:cs="Calibri"/>
                <w:color w:val="000000"/>
                <w:sz w:val="14"/>
                <w:szCs w:val="14"/>
              </w:rPr>
              <w:t>98.339</w:t>
            </w:r>
          </w:p>
        </w:tc>
      </w:tr>
      <w:tr w:rsidR="00937EA9" w:rsidRPr="00D9006E" w14:paraId="713C5411" w14:textId="77777777" w:rsidTr="00B83E3B">
        <w:trPr>
          <w:trHeight w:hRule="exact" w:val="227"/>
        </w:trPr>
        <w:tc>
          <w:tcPr>
            <w:tcW w:w="1741" w:type="pct"/>
            <w:tcBorders>
              <w:top w:val="single" w:sz="12" w:space="0" w:color="auto"/>
              <w:left w:val="nil"/>
              <w:bottom w:val="single" w:sz="12" w:space="0" w:color="auto"/>
              <w:right w:val="nil"/>
            </w:tcBorders>
            <w:shd w:val="clear" w:color="auto" w:fill="auto"/>
            <w:noWrap/>
            <w:vAlign w:val="center"/>
          </w:tcPr>
          <w:p w14:paraId="6B24EEB0" w14:textId="01008797" w:rsidR="00937EA9" w:rsidRPr="00D9006E" w:rsidRDefault="00937EA9" w:rsidP="00937EA9">
            <w:pPr>
              <w:spacing w:after="120"/>
              <w:rPr>
                <w:rFonts w:ascii="Calibri" w:hAnsi="Calibri" w:cs="Calibri"/>
                <w:b/>
                <w:bCs/>
                <w:color w:val="000000"/>
                <w:sz w:val="14"/>
                <w:szCs w:val="14"/>
              </w:rPr>
            </w:pPr>
            <w:r w:rsidRPr="00D9006E">
              <w:rPr>
                <w:rFonts w:ascii="Calibri" w:hAnsi="Calibri" w:cs="Calibri"/>
                <w:b/>
                <w:bCs/>
                <w:color w:val="000000"/>
                <w:sz w:val="14"/>
                <w:szCs w:val="14"/>
              </w:rPr>
              <w:t>Estudos e Projetos em Andamento</w:t>
            </w:r>
          </w:p>
        </w:tc>
        <w:tc>
          <w:tcPr>
            <w:tcW w:w="1030" w:type="pct"/>
            <w:tcBorders>
              <w:top w:val="single" w:sz="12" w:space="0" w:color="auto"/>
              <w:left w:val="nil"/>
              <w:bottom w:val="single" w:sz="12" w:space="0" w:color="auto"/>
              <w:right w:val="nil"/>
            </w:tcBorders>
            <w:shd w:val="clear" w:color="auto" w:fill="auto"/>
            <w:noWrap/>
            <w:vAlign w:val="center"/>
          </w:tcPr>
          <w:p w14:paraId="02E5D013" w14:textId="77777777" w:rsidR="00937EA9" w:rsidRPr="00D9006E" w:rsidRDefault="00937EA9" w:rsidP="00937EA9">
            <w:pPr>
              <w:spacing w:after="120"/>
              <w:rPr>
                <w:rFonts w:ascii="Calibri" w:hAnsi="Calibri" w:cs="Calibri"/>
                <w:b/>
                <w:bCs/>
                <w:color w:val="000000"/>
                <w:sz w:val="14"/>
                <w:szCs w:val="14"/>
              </w:rPr>
            </w:pPr>
          </w:p>
        </w:tc>
        <w:tc>
          <w:tcPr>
            <w:tcW w:w="407" w:type="pct"/>
            <w:tcBorders>
              <w:top w:val="single" w:sz="12" w:space="0" w:color="auto"/>
              <w:left w:val="nil"/>
              <w:bottom w:val="single" w:sz="12" w:space="0" w:color="auto"/>
              <w:right w:val="nil"/>
            </w:tcBorders>
            <w:shd w:val="clear" w:color="auto" w:fill="auto"/>
            <w:noWrap/>
            <w:vAlign w:val="center"/>
          </w:tcPr>
          <w:p w14:paraId="456C1F60" w14:textId="12C29556" w:rsidR="00937EA9" w:rsidRPr="00D9006E" w:rsidRDefault="00937EA9" w:rsidP="00937EA9">
            <w:pPr>
              <w:spacing w:after="120"/>
              <w:jc w:val="right"/>
              <w:rPr>
                <w:rFonts w:ascii="Calibri" w:hAnsi="Calibri" w:cs="Calibri"/>
                <w:b/>
                <w:bCs/>
                <w:color w:val="000000"/>
                <w:sz w:val="14"/>
                <w:szCs w:val="14"/>
              </w:rPr>
            </w:pPr>
            <w:r>
              <w:rPr>
                <w:rFonts w:ascii="Calibri" w:hAnsi="Calibri" w:cs="Calibri"/>
                <w:b/>
                <w:bCs/>
                <w:color w:val="000000"/>
                <w:sz w:val="14"/>
                <w:szCs w:val="14"/>
              </w:rPr>
              <w:t>-</w:t>
            </w:r>
          </w:p>
        </w:tc>
        <w:tc>
          <w:tcPr>
            <w:tcW w:w="471" w:type="pct"/>
            <w:tcBorders>
              <w:top w:val="single" w:sz="12" w:space="0" w:color="auto"/>
              <w:left w:val="nil"/>
              <w:bottom w:val="single" w:sz="12" w:space="0" w:color="auto"/>
              <w:right w:val="nil"/>
            </w:tcBorders>
            <w:shd w:val="clear" w:color="auto" w:fill="auto"/>
            <w:noWrap/>
            <w:vAlign w:val="center"/>
          </w:tcPr>
          <w:p w14:paraId="5FFC81BD" w14:textId="3CC13554" w:rsidR="00937EA9" w:rsidRPr="00D9006E" w:rsidRDefault="00937EA9" w:rsidP="00937EA9">
            <w:pPr>
              <w:spacing w:after="120"/>
              <w:jc w:val="right"/>
              <w:rPr>
                <w:rFonts w:ascii="Calibri" w:hAnsi="Calibri" w:cs="Calibri"/>
                <w:b/>
                <w:bCs/>
                <w:color w:val="000000"/>
                <w:sz w:val="14"/>
                <w:szCs w:val="14"/>
              </w:rPr>
            </w:pPr>
            <w:r w:rsidRPr="00937EA9">
              <w:rPr>
                <w:rFonts w:ascii="Calibri" w:hAnsi="Calibri" w:cs="Calibri"/>
                <w:b/>
                <w:bCs/>
                <w:color w:val="000000"/>
                <w:sz w:val="14"/>
                <w:szCs w:val="14"/>
              </w:rPr>
              <w:t>95.537.319</w:t>
            </w:r>
          </w:p>
        </w:tc>
        <w:tc>
          <w:tcPr>
            <w:tcW w:w="486" w:type="pct"/>
            <w:tcBorders>
              <w:top w:val="single" w:sz="12" w:space="0" w:color="auto"/>
              <w:left w:val="nil"/>
              <w:bottom w:val="single" w:sz="12" w:space="0" w:color="auto"/>
              <w:right w:val="nil"/>
            </w:tcBorders>
            <w:shd w:val="clear" w:color="auto" w:fill="auto"/>
            <w:noWrap/>
            <w:vAlign w:val="center"/>
          </w:tcPr>
          <w:p w14:paraId="750A14A9" w14:textId="50A79B2D" w:rsidR="00937EA9" w:rsidRPr="00D9006E" w:rsidRDefault="00937EA9" w:rsidP="00937EA9">
            <w:pPr>
              <w:spacing w:after="120"/>
              <w:jc w:val="right"/>
              <w:rPr>
                <w:rFonts w:ascii="Calibri" w:hAnsi="Calibri" w:cs="Calibri"/>
                <w:b/>
                <w:bCs/>
                <w:color w:val="000000"/>
                <w:sz w:val="14"/>
                <w:szCs w:val="14"/>
              </w:rPr>
            </w:pPr>
            <w:r>
              <w:rPr>
                <w:rFonts w:ascii="Calibri" w:hAnsi="Calibri" w:cs="Calibri"/>
                <w:b/>
                <w:bCs/>
                <w:color w:val="000000"/>
                <w:sz w:val="14"/>
                <w:szCs w:val="14"/>
              </w:rPr>
              <w:t>-</w:t>
            </w:r>
          </w:p>
        </w:tc>
        <w:tc>
          <w:tcPr>
            <w:tcW w:w="409" w:type="pct"/>
            <w:tcBorders>
              <w:top w:val="single" w:sz="12" w:space="0" w:color="auto"/>
              <w:left w:val="nil"/>
              <w:bottom w:val="single" w:sz="12" w:space="0" w:color="auto"/>
              <w:right w:val="nil"/>
            </w:tcBorders>
            <w:shd w:val="clear" w:color="auto" w:fill="auto"/>
            <w:noWrap/>
            <w:vAlign w:val="center"/>
          </w:tcPr>
          <w:p w14:paraId="1EC791E8" w14:textId="6D01C33C" w:rsidR="00937EA9" w:rsidRPr="00D9006E" w:rsidRDefault="00937EA9" w:rsidP="00937EA9">
            <w:pPr>
              <w:spacing w:after="120"/>
              <w:jc w:val="right"/>
              <w:rPr>
                <w:rFonts w:ascii="Calibri" w:hAnsi="Calibri" w:cs="Calibri"/>
                <w:b/>
                <w:bCs/>
                <w:color w:val="000000"/>
                <w:sz w:val="14"/>
                <w:szCs w:val="14"/>
              </w:rPr>
            </w:pPr>
            <w:r>
              <w:rPr>
                <w:rFonts w:ascii="Calibri" w:hAnsi="Calibri" w:cs="Calibri"/>
                <w:b/>
                <w:bCs/>
                <w:color w:val="000000"/>
                <w:sz w:val="14"/>
                <w:szCs w:val="14"/>
              </w:rPr>
              <w:t>-</w:t>
            </w:r>
          </w:p>
        </w:tc>
        <w:tc>
          <w:tcPr>
            <w:tcW w:w="456" w:type="pct"/>
            <w:tcBorders>
              <w:top w:val="single" w:sz="12" w:space="0" w:color="auto"/>
              <w:left w:val="nil"/>
              <w:bottom w:val="single" w:sz="12" w:space="0" w:color="auto"/>
              <w:right w:val="nil"/>
            </w:tcBorders>
            <w:shd w:val="clear" w:color="auto" w:fill="auto"/>
            <w:noWrap/>
            <w:vAlign w:val="center"/>
          </w:tcPr>
          <w:p w14:paraId="36B8F92F" w14:textId="68AE0007" w:rsidR="00937EA9" w:rsidRPr="00D9006E" w:rsidRDefault="00937EA9" w:rsidP="00937EA9">
            <w:pPr>
              <w:spacing w:after="120"/>
              <w:jc w:val="right"/>
              <w:rPr>
                <w:rFonts w:ascii="Calibri" w:hAnsi="Calibri" w:cs="Calibri"/>
                <w:b/>
                <w:bCs/>
                <w:color w:val="000000"/>
                <w:sz w:val="14"/>
                <w:szCs w:val="14"/>
              </w:rPr>
            </w:pPr>
            <w:r w:rsidRPr="00937EA9">
              <w:rPr>
                <w:rFonts w:ascii="Calibri" w:hAnsi="Calibri" w:cs="Calibri"/>
                <w:b/>
                <w:bCs/>
                <w:color w:val="000000"/>
                <w:sz w:val="14"/>
                <w:szCs w:val="14"/>
              </w:rPr>
              <w:t>95.537.319</w:t>
            </w:r>
          </w:p>
        </w:tc>
      </w:tr>
      <w:tr w:rsidR="004C105B" w:rsidRPr="00D9006E" w14:paraId="704FD5B0" w14:textId="77777777" w:rsidTr="00B83E3B">
        <w:trPr>
          <w:trHeight w:hRule="exact" w:val="227"/>
        </w:trPr>
        <w:tc>
          <w:tcPr>
            <w:tcW w:w="1741" w:type="pct"/>
            <w:tcBorders>
              <w:top w:val="single" w:sz="12" w:space="0" w:color="auto"/>
              <w:left w:val="nil"/>
              <w:bottom w:val="nil"/>
              <w:right w:val="nil"/>
            </w:tcBorders>
            <w:shd w:val="clear" w:color="auto" w:fill="auto"/>
            <w:noWrap/>
            <w:vAlign w:val="center"/>
          </w:tcPr>
          <w:p w14:paraId="4B9107BA" w14:textId="42D60A73" w:rsidR="00937EA9" w:rsidRPr="00D9006E" w:rsidRDefault="00937EA9" w:rsidP="00937EA9">
            <w:pPr>
              <w:spacing w:after="120"/>
              <w:rPr>
                <w:rFonts w:ascii="Calibri" w:hAnsi="Calibri" w:cs="Calibri"/>
                <w:color w:val="000000"/>
                <w:sz w:val="14"/>
                <w:szCs w:val="14"/>
              </w:rPr>
            </w:pPr>
            <w:r w:rsidRPr="00937EA9">
              <w:rPr>
                <w:rFonts w:ascii="Calibri" w:hAnsi="Calibri" w:cs="Calibri"/>
                <w:color w:val="000000"/>
                <w:sz w:val="14"/>
                <w:szCs w:val="14"/>
              </w:rPr>
              <w:t>13/2013 - STE - LP nº 519/2015</w:t>
            </w:r>
          </w:p>
        </w:tc>
        <w:tc>
          <w:tcPr>
            <w:tcW w:w="1030" w:type="pct"/>
            <w:tcBorders>
              <w:top w:val="single" w:sz="12" w:space="0" w:color="auto"/>
              <w:left w:val="nil"/>
              <w:bottom w:val="nil"/>
              <w:right w:val="nil"/>
            </w:tcBorders>
            <w:shd w:val="clear" w:color="auto" w:fill="auto"/>
            <w:noWrap/>
            <w:vAlign w:val="center"/>
          </w:tcPr>
          <w:p w14:paraId="15E23C52" w14:textId="2A407FEB" w:rsidR="00937EA9" w:rsidRPr="00D9006E" w:rsidRDefault="00937EA9" w:rsidP="00937EA9">
            <w:pPr>
              <w:spacing w:after="120"/>
              <w:rPr>
                <w:rFonts w:ascii="Calibri" w:hAnsi="Calibri" w:cs="Calibri"/>
                <w:color w:val="000000"/>
                <w:sz w:val="14"/>
                <w:szCs w:val="14"/>
              </w:rPr>
            </w:pPr>
            <w:r w:rsidRPr="00937EA9">
              <w:rPr>
                <w:rFonts w:ascii="Calibri" w:hAnsi="Calibri" w:cs="Calibri"/>
                <w:color w:val="000000"/>
                <w:sz w:val="14"/>
                <w:szCs w:val="14"/>
              </w:rPr>
              <w:t>BR/040</w:t>
            </w:r>
          </w:p>
        </w:tc>
        <w:tc>
          <w:tcPr>
            <w:tcW w:w="407" w:type="pct"/>
            <w:tcBorders>
              <w:top w:val="single" w:sz="12" w:space="0" w:color="auto"/>
              <w:left w:val="nil"/>
              <w:bottom w:val="nil"/>
              <w:right w:val="nil"/>
            </w:tcBorders>
            <w:shd w:val="clear" w:color="auto" w:fill="auto"/>
            <w:noWrap/>
          </w:tcPr>
          <w:p w14:paraId="2330CFC9" w14:textId="1AB954C2" w:rsidR="00937EA9" w:rsidRPr="00D9006E" w:rsidRDefault="00937EA9" w:rsidP="00937EA9">
            <w:pPr>
              <w:spacing w:after="120"/>
              <w:jc w:val="right"/>
              <w:rPr>
                <w:rFonts w:ascii="Calibri" w:hAnsi="Calibri" w:cs="Calibri"/>
                <w:color w:val="000000"/>
                <w:sz w:val="14"/>
                <w:szCs w:val="14"/>
              </w:rPr>
            </w:pPr>
            <w:r w:rsidRPr="002E5208">
              <w:rPr>
                <w:rFonts w:ascii="Calibri" w:hAnsi="Calibri" w:cs="Calibri"/>
                <w:color w:val="000000"/>
                <w:sz w:val="14"/>
                <w:szCs w:val="14"/>
              </w:rPr>
              <w:t>-</w:t>
            </w:r>
          </w:p>
        </w:tc>
        <w:tc>
          <w:tcPr>
            <w:tcW w:w="471" w:type="pct"/>
            <w:tcBorders>
              <w:top w:val="single" w:sz="12" w:space="0" w:color="auto"/>
              <w:left w:val="nil"/>
              <w:bottom w:val="nil"/>
              <w:right w:val="nil"/>
            </w:tcBorders>
            <w:shd w:val="clear" w:color="auto" w:fill="auto"/>
            <w:noWrap/>
            <w:vAlign w:val="center"/>
          </w:tcPr>
          <w:p w14:paraId="22A01C20" w14:textId="42D80ADB" w:rsidR="00937EA9" w:rsidRPr="00D9006E" w:rsidRDefault="00937EA9" w:rsidP="00937EA9">
            <w:pPr>
              <w:spacing w:after="120"/>
              <w:jc w:val="right"/>
              <w:rPr>
                <w:rFonts w:ascii="Calibri" w:hAnsi="Calibri" w:cs="Calibri"/>
                <w:color w:val="000000"/>
                <w:sz w:val="14"/>
                <w:szCs w:val="14"/>
              </w:rPr>
            </w:pPr>
            <w:r w:rsidRPr="00937EA9">
              <w:rPr>
                <w:rFonts w:ascii="Calibri" w:hAnsi="Calibri" w:cs="Calibri"/>
                <w:color w:val="000000"/>
                <w:sz w:val="14"/>
                <w:szCs w:val="14"/>
              </w:rPr>
              <w:t>8.026.718</w:t>
            </w:r>
          </w:p>
        </w:tc>
        <w:tc>
          <w:tcPr>
            <w:tcW w:w="486" w:type="pct"/>
            <w:tcBorders>
              <w:top w:val="single" w:sz="12" w:space="0" w:color="auto"/>
              <w:left w:val="nil"/>
              <w:bottom w:val="nil"/>
              <w:right w:val="nil"/>
            </w:tcBorders>
            <w:shd w:val="clear" w:color="auto" w:fill="auto"/>
            <w:noWrap/>
          </w:tcPr>
          <w:p w14:paraId="7363C3C0" w14:textId="1E2955E9" w:rsidR="00937EA9" w:rsidRPr="00D9006E" w:rsidRDefault="00937EA9" w:rsidP="00937EA9">
            <w:pPr>
              <w:spacing w:after="120"/>
              <w:jc w:val="right"/>
              <w:rPr>
                <w:rFonts w:ascii="Calibri" w:hAnsi="Calibri" w:cs="Calibri"/>
                <w:color w:val="000000"/>
                <w:sz w:val="14"/>
                <w:szCs w:val="14"/>
              </w:rPr>
            </w:pPr>
            <w:r w:rsidRPr="002E5208">
              <w:rPr>
                <w:rFonts w:ascii="Calibri" w:hAnsi="Calibri" w:cs="Calibri"/>
                <w:color w:val="000000"/>
                <w:sz w:val="14"/>
                <w:szCs w:val="14"/>
              </w:rPr>
              <w:t>-</w:t>
            </w:r>
          </w:p>
        </w:tc>
        <w:tc>
          <w:tcPr>
            <w:tcW w:w="409" w:type="pct"/>
            <w:tcBorders>
              <w:top w:val="single" w:sz="12" w:space="0" w:color="auto"/>
              <w:left w:val="nil"/>
              <w:bottom w:val="nil"/>
              <w:right w:val="nil"/>
            </w:tcBorders>
            <w:shd w:val="clear" w:color="auto" w:fill="auto"/>
            <w:noWrap/>
          </w:tcPr>
          <w:p w14:paraId="55598B91" w14:textId="69C199F0" w:rsidR="00937EA9" w:rsidRPr="00D9006E" w:rsidRDefault="00937EA9" w:rsidP="00937EA9">
            <w:pPr>
              <w:spacing w:after="120"/>
              <w:jc w:val="right"/>
              <w:rPr>
                <w:rFonts w:ascii="Calibri" w:hAnsi="Calibri" w:cs="Calibri"/>
                <w:color w:val="000000"/>
                <w:sz w:val="14"/>
                <w:szCs w:val="14"/>
              </w:rPr>
            </w:pPr>
            <w:r w:rsidRPr="002E5208">
              <w:rPr>
                <w:rFonts w:ascii="Calibri" w:hAnsi="Calibri" w:cs="Calibri"/>
                <w:color w:val="000000"/>
                <w:sz w:val="14"/>
                <w:szCs w:val="14"/>
              </w:rPr>
              <w:t>-</w:t>
            </w:r>
          </w:p>
        </w:tc>
        <w:tc>
          <w:tcPr>
            <w:tcW w:w="456" w:type="pct"/>
            <w:tcBorders>
              <w:top w:val="single" w:sz="12" w:space="0" w:color="auto"/>
              <w:left w:val="nil"/>
              <w:bottom w:val="nil"/>
              <w:right w:val="nil"/>
            </w:tcBorders>
            <w:shd w:val="clear" w:color="auto" w:fill="auto"/>
            <w:noWrap/>
            <w:vAlign w:val="center"/>
          </w:tcPr>
          <w:p w14:paraId="674C2C64" w14:textId="3D375508" w:rsidR="00937EA9" w:rsidRPr="00D9006E" w:rsidRDefault="00937EA9" w:rsidP="00937EA9">
            <w:pPr>
              <w:spacing w:after="120"/>
              <w:jc w:val="right"/>
              <w:rPr>
                <w:rFonts w:ascii="Calibri" w:hAnsi="Calibri" w:cs="Calibri"/>
                <w:color w:val="000000"/>
                <w:sz w:val="14"/>
                <w:szCs w:val="14"/>
              </w:rPr>
            </w:pPr>
            <w:r w:rsidRPr="00937EA9">
              <w:rPr>
                <w:rFonts w:ascii="Calibri" w:hAnsi="Calibri" w:cs="Calibri"/>
                <w:color w:val="000000"/>
                <w:sz w:val="14"/>
                <w:szCs w:val="14"/>
              </w:rPr>
              <w:t>8.026.718</w:t>
            </w:r>
          </w:p>
        </w:tc>
      </w:tr>
      <w:tr w:rsidR="004C105B" w:rsidRPr="00D9006E" w14:paraId="58B319E1" w14:textId="77777777" w:rsidTr="00B83E3B">
        <w:trPr>
          <w:trHeight w:hRule="exact" w:val="227"/>
        </w:trPr>
        <w:tc>
          <w:tcPr>
            <w:tcW w:w="1741" w:type="pct"/>
            <w:tcBorders>
              <w:left w:val="nil"/>
              <w:bottom w:val="nil"/>
              <w:right w:val="nil"/>
            </w:tcBorders>
            <w:shd w:val="clear" w:color="auto" w:fill="auto"/>
            <w:noWrap/>
            <w:vAlign w:val="center"/>
          </w:tcPr>
          <w:p w14:paraId="705C9084" w14:textId="16A243B0" w:rsidR="00937EA9" w:rsidRPr="00D9006E" w:rsidRDefault="00937EA9" w:rsidP="00937EA9">
            <w:pPr>
              <w:spacing w:after="120"/>
              <w:rPr>
                <w:rFonts w:ascii="Calibri" w:hAnsi="Calibri" w:cs="Calibri"/>
                <w:color w:val="000000"/>
                <w:sz w:val="14"/>
                <w:szCs w:val="14"/>
              </w:rPr>
            </w:pPr>
            <w:r w:rsidRPr="00937EA9">
              <w:rPr>
                <w:rFonts w:ascii="Calibri" w:hAnsi="Calibri" w:cs="Calibri"/>
                <w:color w:val="000000"/>
                <w:sz w:val="14"/>
                <w:szCs w:val="14"/>
              </w:rPr>
              <w:t>04 2014 - MRS - LP nº 505/2015</w:t>
            </w:r>
          </w:p>
        </w:tc>
        <w:tc>
          <w:tcPr>
            <w:tcW w:w="1030" w:type="pct"/>
            <w:tcBorders>
              <w:left w:val="nil"/>
              <w:bottom w:val="nil"/>
              <w:right w:val="nil"/>
            </w:tcBorders>
            <w:shd w:val="clear" w:color="auto" w:fill="auto"/>
            <w:noWrap/>
            <w:vAlign w:val="center"/>
          </w:tcPr>
          <w:p w14:paraId="2A211B14" w14:textId="0F544547" w:rsidR="00937EA9" w:rsidRPr="00D9006E" w:rsidRDefault="00937EA9" w:rsidP="00937EA9">
            <w:pPr>
              <w:spacing w:after="120"/>
              <w:rPr>
                <w:rFonts w:ascii="Calibri" w:hAnsi="Calibri" w:cs="Calibri"/>
                <w:color w:val="000000"/>
                <w:sz w:val="14"/>
                <w:szCs w:val="14"/>
              </w:rPr>
            </w:pPr>
            <w:r w:rsidRPr="00937EA9">
              <w:rPr>
                <w:rFonts w:ascii="Calibri" w:hAnsi="Calibri" w:cs="Calibri"/>
                <w:color w:val="000000"/>
                <w:sz w:val="14"/>
                <w:szCs w:val="14"/>
              </w:rPr>
              <w:t>BR153/262</w:t>
            </w:r>
          </w:p>
        </w:tc>
        <w:tc>
          <w:tcPr>
            <w:tcW w:w="407" w:type="pct"/>
            <w:tcBorders>
              <w:left w:val="nil"/>
              <w:bottom w:val="nil"/>
              <w:right w:val="nil"/>
            </w:tcBorders>
            <w:shd w:val="clear" w:color="auto" w:fill="auto"/>
            <w:noWrap/>
          </w:tcPr>
          <w:p w14:paraId="5318A34F" w14:textId="52F54EBF" w:rsidR="00937EA9" w:rsidRPr="00D9006E" w:rsidRDefault="00937EA9" w:rsidP="00937EA9">
            <w:pPr>
              <w:spacing w:after="120"/>
              <w:jc w:val="right"/>
              <w:rPr>
                <w:rFonts w:ascii="Calibri" w:hAnsi="Calibri" w:cs="Calibri"/>
                <w:color w:val="000000"/>
                <w:sz w:val="14"/>
                <w:szCs w:val="14"/>
              </w:rPr>
            </w:pPr>
            <w:r w:rsidRPr="002E5208">
              <w:rPr>
                <w:rFonts w:ascii="Calibri" w:hAnsi="Calibri" w:cs="Calibri"/>
                <w:color w:val="000000"/>
                <w:sz w:val="14"/>
                <w:szCs w:val="14"/>
              </w:rPr>
              <w:t>-</w:t>
            </w:r>
          </w:p>
        </w:tc>
        <w:tc>
          <w:tcPr>
            <w:tcW w:w="471" w:type="pct"/>
            <w:tcBorders>
              <w:left w:val="nil"/>
              <w:bottom w:val="nil"/>
              <w:right w:val="nil"/>
            </w:tcBorders>
            <w:shd w:val="clear" w:color="auto" w:fill="auto"/>
            <w:noWrap/>
            <w:vAlign w:val="center"/>
          </w:tcPr>
          <w:p w14:paraId="733DEDC1" w14:textId="35479A82" w:rsidR="00937EA9" w:rsidRPr="00D9006E" w:rsidRDefault="00937EA9" w:rsidP="00937EA9">
            <w:pPr>
              <w:spacing w:after="120"/>
              <w:jc w:val="right"/>
              <w:rPr>
                <w:rFonts w:ascii="Calibri" w:hAnsi="Calibri" w:cs="Calibri"/>
                <w:color w:val="000000"/>
                <w:sz w:val="14"/>
                <w:szCs w:val="14"/>
              </w:rPr>
            </w:pPr>
            <w:r w:rsidRPr="00937EA9">
              <w:rPr>
                <w:rFonts w:ascii="Calibri" w:hAnsi="Calibri" w:cs="Calibri"/>
                <w:color w:val="000000"/>
                <w:sz w:val="14"/>
                <w:szCs w:val="14"/>
              </w:rPr>
              <w:t>4.679.708</w:t>
            </w:r>
          </w:p>
        </w:tc>
        <w:tc>
          <w:tcPr>
            <w:tcW w:w="486" w:type="pct"/>
            <w:tcBorders>
              <w:left w:val="nil"/>
              <w:bottom w:val="nil"/>
              <w:right w:val="nil"/>
            </w:tcBorders>
            <w:shd w:val="clear" w:color="auto" w:fill="auto"/>
            <w:noWrap/>
          </w:tcPr>
          <w:p w14:paraId="29D70013" w14:textId="32D18AF6" w:rsidR="00937EA9" w:rsidRPr="00D9006E" w:rsidRDefault="00937EA9" w:rsidP="00937EA9">
            <w:pPr>
              <w:spacing w:after="120"/>
              <w:jc w:val="right"/>
              <w:rPr>
                <w:rFonts w:ascii="Calibri" w:hAnsi="Calibri" w:cs="Calibri"/>
                <w:color w:val="000000"/>
                <w:sz w:val="14"/>
                <w:szCs w:val="14"/>
              </w:rPr>
            </w:pPr>
            <w:r w:rsidRPr="002E5208">
              <w:rPr>
                <w:rFonts w:ascii="Calibri" w:hAnsi="Calibri" w:cs="Calibri"/>
                <w:color w:val="000000"/>
                <w:sz w:val="14"/>
                <w:szCs w:val="14"/>
              </w:rPr>
              <w:t>-</w:t>
            </w:r>
          </w:p>
        </w:tc>
        <w:tc>
          <w:tcPr>
            <w:tcW w:w="409" w:type="pct"/>
            <w:tcBorders>
              <w:left w:val="nil"/>
              <w:bottom w:val="nil"/>
              <w:right w:val="nil"/>
            </w:tcBorders>
            <w:shd w:val="clear" w:color="auto" w:fill="auto"/>
            <w:noWrap/>
          </w:tcPr>
          <w:p w14:paraId="382A8F3A" w14:textId="433B6F3E" w:rsidR="00937EA9" w:rsidRPr="00D9006E" w:rsidRDefault="00937EA9" w:rsidP="00937EA9">
            <w:pPr>
              <w:spacing w:after="120"/>
              <w:jc w:val="right"/>
              <w:rPr>
                <w:rFonts w:ascii="Calibri" w:hAnsi="Calibri" w:cs="Calibri"/>
                <w:color w:val="000000"/>
                <w:sz w:val="14"/>
                <w:szCs w:val="14"/>
              </w:rPr>
            </w:pPr>
            <w:r w:rsidRPr="002E5208">
              <w:rPr>
                <w:rFonts w:ascii="Calibri" w:hAnsi="Calibri" w:cs="Calibri"/>
                <w:color w:val="000000"/>
                <w:sz w:val="14"/>
                <w:szCs w:val="14"/>
              </w:rPr>
              <w:t>-</w:t>
            </w:r>
          </w:p>
        </w:tc>
        <w:tc>
          <w:tcPr>
            <w:tcW w:w="456" w:type="pct"/>
            <w:tcBorders>
              <w:left w:val="nil"/>
              <w:bottom w:val="nil"/>
              <w:right w:val="nil"/>
            </w:tcBorders>
            <w:shd w:val="clear" w:color="auto" w:fill="auto"/>
            <w:noWrap/>
            <w:vAlign w:val="center"/>
          </w:tcPr>
          <w:p w14:paraId="53C571FF" w14:textId="7EEF7F65" w:rsidR="00937EA9" w:rsidRPr="00D9006E" w:rsidRDefault="00937EA9" w:rsidP="00937EA9">
            <w:pPr>
              <w:spacing w:after="120"/>
              <w:jc w:val="right"/>
              <w:rPr>
                <w:rFonts w:ascii="Calibri" w:hAnsi="Calibri" w:cs="Calibri"/>
                <w:color w:val="000000"/>
                <w:sz w:val="14"/>
                <w:szCs w:val="14"/>
              </w:rPr>
            </w:pPr>
            <w:r w:rsidRPr="00937EA9">
              <w:rPr>
                <w:rFonts w:ascii="Calibri" w:hAnsi="Calibri" w:cs="Calibri"/>
                <w:color w:val="000000"/>
                <w:sz w:val="14"/>
                <w:szCs w:val="14"/>
              </w:rPr>
              <w:t>4.679.708</w:t>
            </w:r>
          </w:p>
        </w:tc>
      </w:tr>
      <w:tr w:rsidR="00937EA9" w:rsidRPr="00D9006E" w14:paraId="01403ACF" w14:textId="77777777" w:rsidTr="00B83E3B">
        <w:trPr>
          <w:trHeight w:hRule="exact" w:val="227"/>
        </w:trPr>
        <w:tc>
          <w:tcPr>
            <w:tcW w:w="1741" w:type="pct"/>
            <w:tcBorders>
              <w:left w:val="nil"/>
              <w:bottom w:val="single" w:sz="12" w:space="0" w:color="auto"/>
              <w:right w:val="nil"/>
            </w:tcBorders>
            <w:shd w:val="clear" w:color="auto" w:fill="auto"/>
            <w:noWrap/>
            <w:vAlign w:val="center"/>
          </w:tcPr>
          <w:p w14:paraId="4BA88BAD" w14:textId="6DEB2736" w:rsidR="00937EA9" w:rsidRPr="00D9006E" w:rsidRDefault="00937EA9" w:rsidP="00937EA9">
            <w:pPr>
              <w:spacing w:after="120"/>
              <w:rPr>
                <w:rFonts w:ascii="Calibri" w:hAnsi="Calibri" w:cs="Calibri"/>
                <w:color w:val="000000"/>
                <w:sz w:val="14"/>
                <w:szCs w:val="14"/>
              </w:rPr>
            </w:pPr>
            <w:r w:rsidRPr="00937EA9">
              <w:rPr>
                <w:rFonts w:ascii="Calibri" w:hAnsi="Calibri" w:cs="Calibri"/>
                <w:color w:val="000000"/>
                <w:sz w:val="14"/>
                <w:szCs w:val="14"/>
              </w:rPr>
              <w:t>09/2014 - PROFILL - LP nº 553/2017</w:t>
            </w:r>
          </w:p>
        </w:tc>
        <w:tc>
          <w:tcPr>
            <w:tcW w:w="1030" w:type="pct"/>
            <w:tcBorders>
              <w:left w:val="nil"/>
              <w:bottom w:val="single" w:sz="12" w:space="0" w:color="auto"/>
              <w:right w:val="nil"/>
            </w:tcBorders>
            <w:shd w:val="clear" w:color="auto" w:fill="auto"/>
            <w:noWrap/>
            <w:vAlign w:val="center"/>
          </w:tcPr>
          <w:p w14:paraId="1C03574C" w14:textId="2B5C79D7" w:rsidR="00937EA9" w:rsidRPr="00D9006E" w:rsidRDefault="00937EA9" w:rsidP="00937EA9">
            <w:pPr>
              <w:spacing w:after="120"/>
              <w:rPr>
                <w:rFonts w:ascii="Calibri" w:hAnsi="Calibri" w:cs="Calibri"/>
                <w:color w:val="000000"/>
                <w:sz w:val="14"/>
                <w:szCs w:val="14"/>
              </w:rPr>
            </w:pPr>
            <w:r w:rsidRPr="00937EA9">
              <w:rPr>
                <w:rFonts w:ascii="Calibri" w:hAnsi="Calibri" w:cs="Calibri"/>
                <w:color w:val="000000"/>
                <w:sz w:val="14"/>
                <w:szCs w:val="14"/>
              </w:rPr>
              <w:t>BR-153/GO/TO</w:t>
            </w:r>
          </w:p>
        </w:tc>
        <w:tc>
          <w:tcPr>
            <w:tcW w:w="407" w:type="pct"/>
            <w:tcBorders>
              <w:left w:val="nil"/>
              <w:bottom w:val="single" w:sz="12" w:space="0" w:color="auto"/>
              <w:right w:val="nil"/>
            </w:tcBorders>
            <w:shd w:val="clear" w:color="auto" w:fill="auto"/>
            <w:noWrap/>
          </w:tcPr>
          <w:p w14:paraId="4738C438" w14:textId="27DADF0A" w:rsidR="00937EA9" w:rsidRPr="00D9006E" w:rsidRDefault="00937EA9" w:rsidP="00937EA9">
            <w:pPr>
              <w:spacing w:after="120"/>
              <w:jc w:val="right"/>
              <w:rPr>
                <w:rFonts w:ascii="Calibri" w:hAnsi="Calibri" w:cs="Calibri"/>
                <w:color w:val="000000"/>
                <w:sz w:val="14"/>
                <w:szCs w:val="14"/>
              </w:rPr>
            </w:pPr>
            <w:r w:rsidRPr="002E5208">
              <w:rPr>
                <w:rFonts w:ascii="Calibri" w:hAnsi="Calibri" w:cs="Calibri"/>
                <w:color w:val="000000"/>
                <w:sz w:val="14"/>
                <w:szCs w:val="14"/>
              </w:rPr>
              <w:t>-</w:t>
            </w:r>
          </w:p>
        </w:tc>
        <w:tc>
          <w:tcPr>
            <w:tcW w:w="471" w:type="pct"/>
            <w:tcBorders>
              <w:left w:val="nil"/>
              <w:bottom w:val="single" w:sz="12" w:space="0" w:color="auto"/>
              <w:right w:val="nil"/>
            </w:tcBorders>
            <w:shd w:val="clear" w:color="auto" w:fill="auto"/>
            <w:noWrap/>
            <w:vAlign w:val="center"/>
          </w:tcPr>
          <w:p w14:paraId="67CC685D" w14:textId="5A956600" w:rsidR="00937EA9" w:rsidRPr="00D9006E" w:rsidRDefault="00937EA9" w:rsidP="00937EA9">
            <w:pPr>
              <w:spacing w:after="120"/>
              <w:jc w:val="right"/>
              <w:rPr>
                <w:rFonts w:ascii="Calibri" w:hAnsi="Calibri" w:cs="Calibri"/>
                <w:color w:val="000000"/>
                <w:sz w:val="14"/>
                <w:szCs w:val="14"/>
              </w:rPr>
            </w:pPr>
            <w:r w:rsidRPr="00937EA9">
              <w:rPr>
                <w:rFonts w:ascii="Calibri" w:hAnsi="Calibri" w:cs="Calibri"/>
                <w:color w:val="000000"/>
                <w:sz w:val="14"/>
                <w:szCs w:val="14"/>
              </w:rPr>
              <w:t>444.392</w:t>
            </w:r>
          </w:p>
        </w:tc>
        <w:tc>
          <w:tcPr>
            <w:tcW w:w="486" w:type="pct"/>
            <w:tcBorders>
              <w:left w:val="nil"/>
              <w:bottom w:val="single" w:sz="12" w:space="0" w:color="auto"/>
              <w:right w:val="nil"/>
            </w:tcBorders>
            <w:shd w:val="clear" w:color="auto" w:fill="auto"/>
            <w:noWrap/>
          </w:tcPr>
          <w:p w14:paraId="27CCB7B1" w14:textId="2BCCC580" w:rsidR="00937EA9" w:rsidRPr="00D9006E" w:rsidRDefault="00937EA9" w:rsidP="00937EA9">
            <w:pPr>
              <w:spacing w:after="120"/>
              <w:jc w:val="right"/>
              <w:rPr>
                <w:rFonts w:ascii="Calibri" w:hAnsi="Calibri" w:cs="Calibri"/>
                <w:color w:val="000000"/>
                <w:sz w:val="14"/>
                <w:szCs w:val="14"/>
              </w:rPr>
            </w:pPr>
            <w:r w:rsidRPr="002E5208">
              <w:rPr>
                <w:rFonts w:ascii="Calibri" w:hAnsi="Calibri" w:cs="Calibri"/>
                <w:color w:val="000000"/>
                <w:sz w:val="14"/>
                <w:szCs w:val="14"/>
              </w:rPr>
              <w:t>-</w:t>
            </w:r>
          </w:p>
        </w:tc>
        <w:tc>
          <w:tcPr>
            <w:tcW w:w="409" w:type="pct"/>
            <w:tcBorders>
              <w:left w:val="nil"/>
              <w:bottom w:val="single" w:sz="12" w:space="0" w:color="auto"/>
              <w:right w:val="nil"/>
            </w:tcBorders>
            <w:shd w:val="clear" w:color="auto" w:fill="auto"/>
            <w:noWrap/>
          </w:tcPr>
          <w:p w14:paraId="73AFB719" w14:textId="5A277C4E" w:rsidR="00937EA9" w:rsidRPr="00D9006E" w:rsidRDefault="00937EA9" w:rsidP="00937EA9">
            <w:pPr>
              <w:spacing w:after="120"/>
              <w:jc w:val="right"/>
              <w:rPr>
                <w:rFonts w:ascii="Calibri" w:hAnsi="Calibri" w:cs="Calibri"/>
                <w:color w:val="000000"/>
                <w:sz w:val="14"/>
                <w:szCs w:val="14"/>
              </w:rPr>
            </w:pPr>
            <w:r w:rsidRPr="002E5208">
              <w:rPr>
                <w:rFonts w:ascii="Calibri" w:hAnsi="Calibri" w:cs="Calibri"/>
                <w:color w:val="000000"/>
                <w:sz w:val="14"/>
                <w:szCs w:val="14"/>
              </w:rPr>
              <w:t>-</w:t>
            </w:r>
          </w:p>
        </w:tc>
        <w:tc>
          <w:tcPr>
            <w:tcW w:w="456" w:type="pct"/>
            <w:tcBorders>
              <w:left w:val="nil"/>
              <w:bottom w:val="single" w:sz="12" w:space="0" w:color="auto"/>
              <w:right w:val="nil"/>
            </w:tcBorders>
            <w:shd w:val="clear" w:color="auto" w:fill="auto"/>
            <w:noWrap/>
            <w:vAlign w:val="center"/>
          </w:tcPr>
          <w:p w14:paraId="371023F5" w14:textId="18FFF5DF" w:rsidR="00937EA9" w:rsidRPr="00D9006E" w:rsidRDefault="00937EA9" w:rsidP="00937EA9">
            <w:pPr>
              <w:spacing w:after="120"/>
              <w:jc w:val="right"/>
              <w:rPr>
                <w:rFonts w:ascii="Calibri" w:hAnsi="Calibri" w:cs="Calibri"/>
                <w:color w:val="000000"/>
                <w:sz w:val="14"/>
                <w:szCs w:val="14"/>
              </w:rPr>
            </w:pPr>
            <w:r w:rsidRPr="00937EA9">
              <w:rPr>
                <w:rFonts w:ascii="Calibri" w:hAnsi="Calibri" w:cs="Calibri"/>
                <w:color w:val="000000"/>
                <w:sz w:val="14"/>
                <w:szCs w:val="14"/>
              </w:rPr>
              <w:t>444.392</w:t>
            </w:r>
          </w:p>
        </w:tc>
      </w:tr>
      <w:tr w:rsidR="004C105B" w:rsidRPr="00D9006E" w14:paraId="3F4A58DA" w14:textId="77777777" w:rsidTr="00B83E3B">
        <w:trPr>
          <w:trHeight w:hRule="exact" w:val="227"/>
        </w:trPr>
        <w:tc>
          <w:tcPr>
            <w:tcW w:w="1741" w:type="pct"/>
            <w:tcBorders>
              <w:top w:val="single" w:sz="12" w:space="0" w:color="auto"/>
              <w:left w:val="nil"/>
              <w:bottom w:val="nil"/>
              <w:right w:val="nil"/>
            </w:tcBorders>
            <w:shd w:val="clear" w:color="auto" w:fill="auto"/>
            <w:noWrap/>
            <w:vAlign w:val="center"/>
          </w:tcPr>
          <w:p w14:paraId="717CB313" w14:textId="04A64DAE" w:rsidR="00937EA9" w:rsidRPr="00937EA9" w:rsidRDefault="00937EA9" w:rsidP="00937EA9">
            <w:pPr>
              <w:spacing w:after="120"/>
              <w:rPr>
                <w:rFonts w:ascii="Calibri" w:hAnsi="Calibri" w:cs="Calibri"/>
                <w:b/>
                <w:bCs/>
                <w:color w:val="000000"/>
                <w:sz w:val="14"/>
                <w:szCs w:val="14"/>
              </w:rPr>
            </w:pPr>
            <w:r w:rsidRPr="00937EA9">
              <w:rPr>
                <w:rFonts w:ascii="Calibri" w:hAnsi="Calibri" w:cs="Calibri"/>
                <w:b/>
                <w:bCs/>
                <w:color w:val="000000"/>
                <w:sz w:val="14"/>
                <w:szCs w:val="14"/>
              </w:rPr>
              <w:t>Licença Ambiental</w:t>
            </w:r>
          </w:p>
        </w:tc>
        <w:tc>
          <w:tcPr>
            <w:tcW w:w="1030" w:type="pct"/>
            <w:tcBorders>
              <w:top w:val="single" w:sz="12" w:space="0" w:color="auto"/>
              <w:left w:val="nil"/>
              <w:bottom w:val="nil"/>
              <w:right w:val="nil"/>
            </w:tcBorders>
            <w:shd w:val="clear" w:color="auto" w:fill="auto"/>
            <w:noWrap/>
            <w:vAlign w:val="center"/>
          </w:tcPr>
          <w:p w14:paraId="57EED936" w14:textId="77777777" w:rsidR="00937EA9" w:rsidRPr="00937EA9" w:rsidRDefault="00937EA9" w:rsidP="00937EA9">
            <w:pPr>
              <w:spacing w:after="120"/>
              <w:rPr>
                <w:rFonts w:ascii="Calibri" w:hAnsi="Calibri" w:cs="Calibri"/>
                <w:b/>
                <w:bCs/>
                <w:color w:val="000000"/>
                <w:sz w:val="14"/>
                <w:szCs w:val="14"/>
              </w:rPr>
            </w:pPr>
          </w:p>
        </w:tc>
        <w:tc>
          <w:tcPr>
            <w:tcW w:w="407" w:type="pct"/>
            <w:tcBorders>
              <w:top w:val="single" w:sz="12" w:space="0" w:color="auto"/>
              <w:left w:val="nil"/>
              <w:bottom w:val="nil"/>
              <w:right w:val="nil"/>
            </w:tcBorders>
            <w:shd w:val="clear" w:color="auto" w:fill="auto"/>
            <w:noWrap/>
            <w:vAlign w:val="center"/>
          </w:tcPr>
          <w:p w14:paraId="010FC975" w14:textId="211030F3" w:rsidR="00937EA9" w:rsidRPr="00937EA9" w:rsidRDefault="00937EA9" w:rsidP="00937EA9">
            <w:pPr>
              <w:spacing w:after="120"/>
              <w:jc w:val="right"/>
              <w:rPr>
                <w:rFonts w:ascii="Calibri" w:hAnsi="Calibri" w:cs="Calibri"/>
                <w:b/>
                <w:bCs/>
                <w:color w:val="000000"/>
                <w:sz w:val="14"/>
                <w:szCs w:val="14"/>
              </w:rPr>
            </w:pPr>
            <w:r>
              <w:rPr>
                <w:rFonts w:ascii="Calibri" w:hAnsi="Calibri" w:cs="Calibri"/>
                <w:b/>
                <w:bCs/>
                <w:color w:val="000000"/>
                <w:sz w:val="14"/>
                <w:szCs w:val="14"/>
              </w:rPr>
              <w:t>-</w:t>
            </w:r>
          </w:p>
        </w:tc>
        <w:tc>
          <w:tcPr>
            <w:tcW w:w="471" w:type="pct"/>
            <w:tcBorders>
              <w:top w:val="single" w:sz="12" w:space="0" w:color="auto"/>
              <w:left w:val="nil"/>
              <w:bottom w:val="nil"/>
              <w:right w:val="nil"/>
            </w:tcBorders>
            <w:shd w:val="clear" w:color="auto" w:fill="auto"/>
            <w:noWrap/>
            <w:vAlign w:val="center"/>
          </w:tcPr>
          <w:p w14:paraId="55B04300" w14:textId="6040CB64" w:rsidR="00937EA9" w:rsidRPr="00937EA9" w:rsidRDefault="00937EA9" w:rsidP="00937EA9">
            <w:pPr>
              <w:spacing w:after="120"/>
              <w:jc w:val="right"/>
              <w:rPr>
                <w:rFonts w:ascii="Calibri" w:hAnsi="Calibri" w:cs="Calibri"/>
                <w:b/>
                <w:bCs/>
                <w:color w:val="000000"/>
                <w:sz w:val="14"/>
                <w:szCs w:val="14"/>
              </w:rPr>
            </w:pPr>
            <w:r w:rsidRPr="00937EA9">
              <w:rPr>
                <w:rFonts w:ascii="Calibri" w:hAnsi="Calibri" w:cs="Calibri"/>
                <w:b/>
                <w:bCs/>
                <w:color w:val="000000"/>
                <w:sz w:val="14"/>
                <w:szCs w:val="14"/>
              </w:rPr>
              <w:t>13.150.818</w:t>
            </w:r>
          </w:p>
        </w:tc>
        <w:tc>
          <w:tcPr>
            <w:tcW w:w="486" w:type="pct"/>
            <w:tcBorders>
              <w:top w:val="single" w:sz="12" w:space="0" w:color="auto"/>
              <w:left w:val="nil"/>
              <w:bottom w:val="nil"/>
              <w:right w:val="nil"/>
            </w:tcBorders>
            <w:shd w:val="clear" w:color="auto" w:fill="auto"/>
            <w:noWrap/>
            <w:vAlign w:val="center"/>
          </w:tcPr>
          <w:p w14:paraId="66074B5D" w14:textId="009D0978" w:rsidR="00937EA9" w:rsidRPr="00937EA9" w:rsidRDefault="00937EA9" w:rsidP="00937EA9">
            <w:pPr>
              <w:spacing w:after="120"/>
              <w:jc w:val="right"/>
              <w:rPr>
                <w:rFonts w:ascii="Calibri" w:hAnsi="Calibri" w:cs="Calibri"/>
                <w:b/>
                <w:bCs/>
                <w:color w:val="000000"/>
                <w:sz w:val="14"/>
                <w:szCs w:val="14"/>
              </w:rPr>
            </w:pPr>
            <w:r>
              <w:rPr>
                <w:rFonts w:ascii="Calibri" w:hAnsi="Calibri" w:cs="Calibri"/>
                <w:b/>
                <w:bCs/>
                <w:color w:val="000000"/>
                <w:sz w:val="14"/>
                <w:szCs w:val="14"/>
              </w:rPr>
              <w:t>-</w:t>
            </w:r>
          </w:p>
        </w:tc>
        <w:tc>
          <w:tcPr>
            <w:tcW w:w="409" w:type="pct"/>
            <w:tcBorders>
              <w:top w:val="single" w:sz="12" w:space="0" w:color="auto"/>
              <w:left w:val="nil"/>
              <w:bottom w:val="nil"/>
              <w:right w:val="nil"/>
            </w:tcBorders>
            <w:shd w:val="clear" w:color="auto" w:fill="auto"/>
            <w:noWrap/>
            <w:vAlign w:val="center"/>
          </w:tcPr>
          <w:p w14:paraId="40E31776" w14:textId="2380F126" w:rsidR="00937EA9" w:rsidRPr="00937EA9" w:rsidRDefault="00937EA9" w:rsidP="00937EA9">
            <w:pPr>
              <w:spacing w:after="120"/>
              <w:jc w:val="right"/>
              <w:rPr>
                <w:rFonts w:ascii="Calibri" w:hAnsi="Calibri" w:cs="Calibri"/>
                <w:b/>
                <w:bCs/>
                <w:color w:val="000000"/>
                <w:sz w:val="14"/>
                <w:szCs w:val="14"/>
              </w:rPr>
            </w:pPr>
            <w:r>
              <w:rPr>
                <w:rFonts w:ascii="Calibri" w:hAnsi="Calibri" w:cs="Calibri"/>
                <w:b/>
                <w:bCs/>
                <w:color w:val="000000"/>
                <w:sz w:val="14"/>
                <w:szCs w:val="14"/>
              </w:rPr>
              <w:t>-</w:t>
            </w:r>
          </w:p>
        </w:tc>
        <w:tc>
          <w:tcPr>
            <w:tcW w:w="456" w:type="pct"/>
            <w:tcBorders>
              <w:top w:val="single" w:sz="12" w:space="0" w:color="auto"/>
              <w:left w:val="nil"/>
              <w:bottom w:val="nil"/>
              <w:right w:val="nil"/>
            </w:tcBorders>
            <w:shd w:val="clear" w:color="auto" w:fill="auto"/>
            <w:noWrap/>
            <w:vAlign w:val="center"/>
          </w:tcPr>
          <w:p w14:paraId="6307DA30" w14:textId="11DB31BF" w:rsidR="00937EA9" w:rsidRPr="00937EA9" w:rsidRDefault="00937EA9" w:rsidP="00937EA9">
            <w:pPr>
              <w:spacing w:after="120"/>
              <w:jc w:val="right"/>
              <w:rPr>
                <w:rFonts w:ascii="Calibri" w:hAnsi="Calibri" w:cs="Calibri"/>
                <w:b/>
                <w:bCs/>
                <w:color w:val="000000"/>
                <w:sz w:val="14"/>
                <w:szCs w:val="14"/>
              </w:rPr>
            </w:pPr>
            <w:r w:rsidRPr="00937EA9">
              <w:rPr>
                <w:rFonts w:ascii="Calibri" w:hAnsi="Calibri" w:cs="Calibri"/>
                <w:b/>
                <w:bCs/>
                <w:color w:val="000000"/>
                <w:sz w:val="14"/>
                <w:szCs w:val="14"/>
              </w:rPr>
              <w:t>13.150.818</w:t>
            </w:r>
          </w:p>
        </w:tc>
      </w:tr>
      <w:tr w:rsidR="004C105B" w:rsidRPr="00D9006E" w14:paraId="394F1556" w14:textId="77777777" w:rsidTr="00B83E3B">
        <w:trPr>
          <w:trHeight w:hRule="exact" w:val="227"/>
        </w:trPr>
        <w:tc>
          <w:tcPr>
            <w:tcW w:w="1741" w:type="pct"/>
            <w:tcBorders>
              <w:top w:val="single" w:sz="12" w:space="0" w:color="auto"/>
              <w:left w:val="nil"/>
              <w:bottom w:val="nil"/>
              <w:right w:val="nil"/>
            </w:tcBorders>
            <w:shd w:val="clear" w:color="auto" w:fill="auto"/>
            <w:noWrap/>
            <w:vAlign w:val="center"/>
          </w:tcPr>
          <w:p w14:paraId="7EE1B7A7" w14:textId="12B2E5BD" w:rsidR="00937EA9" w:rsidRPr="00937EA9" w:rsidRDefault="00937EA9" w:rsidP="00937EA9">
            <w:pPr>
              <w:spacing w:after="120"/>
              <w:rPr>
                <w:rFonts w:ascii="Calibri" w:hAnsi="Calibri" w:cs="Calibri"/>
                <w:b/>
                <w:bCs/>
                <w:color w:val="000000"/>
                <w:sz w:val="14"/>
                <w:szCs w:val="14"/>
              </w:rPr>
            </w:pPr>
            <w:r w:rsidRPr="00937EA9">
              <w:rPr>
                <w:rFonts w:ascii="Calibri" w:hAnsi="Calibri" w:cs="Calibri"/>
                <w:b/>
                <w:bCs/>
                <w:color w:val="000000"/>
                <w:sz w:val="14"/>
                <w:szCs w:val="14"/>
              </w:rPr>
              <w:t>Total Estudos e Projetos em Andamento e Licença Ambiental</w:t>
            </w:r>
          </w:p>
        </w:tc>
        <w:tc>
          <w:tcPr>
            <w:tcW w:w="1030" w:type="pct"/>
            <w:tcBorders>
              <w:top w:val="single" w:sz="12" w:space="0" w:color="auto"/>
              <w:left w:val="nil"/>
              <w:bottom w:val="nil"/>
              <w:right w:val="nil"/>
            </w:tcBorders>
            <w:shd w:val="clear" w:color="auto" w:fill="auto"/>
            <w:noWrap/>
            <w:vAlign w:val="center"/>
          </w:tcPr>
          <w:p w14:paraId="344F8132" w14:textId="77777777" w:rsidR="00937EA9" w:rsidRPr="00937EA9" w:rsidRDefault="00937EA9" w:rsidP="00937EA9">
            <w:pPr>
              <w:spacing w:after="120"/>
              <w:rPr>
                <w:rFonts w:ascii="Calibri" w:hAnsi="Calibri" w:cs="Calibri"/>
                <w:b/>
                <w:bCs/>
                <w:color w:val="000000"/>
                <w:sz w:val="14"/>
                <w:szCs w:val="14"/>
              </w:rPr>
            </w:pPr>
          </w:p>
        </w:tc>
        <w:tc>
          <w:tcPr>
            <w:tcW w:w="407" w:type="pct"/>
            <w:tcBorders>
              <w:top w:val="single" w:sz="12" w:space="0" w:color="auto"/>
              <w:left w:val="nil"/>
              <w:bottom w:val="nil"/>
              <w:right w:val="nil"/>
            </w:tcBorders>
            <w:shd w:val="clear" w:color="auto" w:fill="auto"/>
            <w:noWrap/>
            <w:vAlign w:val="center"/>
          </w:tcPr>
          <w:p w14:paraId="691C3AFF" w14:textId="24B00D42" w:rsidR="00937EA9" w:rsidRPr="00937EA9" w:rsidRDefault="00937EA9" w:rsidP="00937EA9">
            <w:pPr>
              <w:spacing w:after="120"/>
              <w:jc w:val="right"/>
              <w:rPr>
                <w:rFonts w:ascii="Calibri" w:hAnsi="Calibri" w:cs="Calibri"/>
                <w:b/>
                <w:bCs/>
                <w:color w:val="000000"/>
                <w:sz w:val="14"/>
                <w:szCs w:val="14"/>
              </w:rPr>
            </w:pPr>
            <w:r>
              <w:rPr>
                <w:rFonts w:ascii="Calibri" w:hAnsi="Calibri" w:cs="Calibri"/>
                <w:b/>
                <w:bCs/>
                <w:color w:val="000000"/>
                <w:sz w:val="14"/>
                <w:szCs w:val="14"/>
              </w:rPr>
              <w:t>-</w:t>
            </w:r>
          </w:p>
        </w:tc>
        <w:tc>
          <w:tcPr>
            <w:tcW w:w="471" w:type="pct"/>
            <w:tcBorders>
              <w:top w:val="single" w:sz="12" w:space="0" w:color="auto"/>
              <w:left w:val="nil"/>
              <w:bottom w:val="nil"/>
              <w:right w:val="nil"/>
            </w:tcBorders>
            <w:shd w:val="clear" w:color="auto" w:fill="auto"/>
            <w:noWrap/>
            <w:vAlign w:val="center"/>
          </w:tcPr>
          <w:p w14:paraId="7B102EB0" w14:textId="7738FBAE" w:rsidR="00937EA9" w:rsidRPr="00937EA9" w:rsidRDefault="00937EA9" w:rsidP="00937EA9">
            <w:pPr>
              <w:spacing w:after="120"/>
              <w:jc w:val="right"/>
              <w:rPr>
                <w:rFonts w:ascii="Calibri" w:hAnsi="Calibri" w:cs="Calibri"/>
                <w:b/>
                <w:bCs/>
                <w:color w:val="000000"/>
                <w:sz w:val="14"/>
                <w:szCs w:val="14"/>
              </w:rPr>
            </w:pPr>
            <w:r w:rsidRPr="00937EA9">
              <w:rPr>
                <w:rFonts w:ascii="Calibri" w:hAnsi="Calibri" w:cs="Calibri"/>
                <w:b/>
                <w:bCs/>
                <w:color w:val="000000"/>
                <w:sz w:val="14"/>
                <w:szCs w:val="14"/>
              </w:rPr>
              <w:t>108.688.137</w:t>
            </w:r>
          </w:p>
        </w:tc>
        <w:tc>
          <w:tcPr>
            <w:tcW w:w="486" w:type="pct"/>
            <w:tcBorders>
              <w:top w:val="single" w:sz="12" w:space="0" w:color="auto"/>
              <w:left w:val="nil"/>
              <w:bottom w:val="nil"/>
              <w:right w:val="nil"/>
            </w:tcBorders>
            <w:shd w:val="clear" w:color="auto" w:fill="auto"/>
            <w:noWrap/>
            <w:vAlign w:val="center"/>
          </w:tcPr>
          <w:p w14:paraId="36DBFEEA" w14:textId="4A4F1431" w:rsidR="00937EA9" w:rsidRPr="00937EA9" w:rsidRDefault="00937EA9" w:rsidP="00937EA9">
            <w:pPr>
              <w:spacing w:after="120"/>
              <w:jc w:val="right"/>
              <w:rPr>
                <w:rFonts w:ascii="Calibri" w:hAnsi="Calibri" w:cs="Calibri"/>
                <w:b/>
                <w:bCs/>
                <w:color w:val="000000"/>
                <w:sz w:val="14"/>
                <w:szCs w:val="14"/>
              </w:rPr>
            </w:pPr>
            <w:r>
              <w:rPr>
                <w:rFonts w:ascii="Calibri" w:hAnsi="Calibri" w:cs="Calibri"/>
                <w:b/>
                <w:bCs/>
                <w:color w:val="000000"/>
                <w:sz w:val="14"/>
                <w:szCs w:val="14"/>
              </w:rPr>
              <w:t>-</w:t>
            </w:r>
          </w:p>
        </w:tc>
        <w:tc>
          <w:tcPr>
            <w:tcW w:w="409" w:type="pct"/>
            <w:tcBorders>
              <w:top w:val="single" w:sz="12" w:space="0" w:color="auto"/>
              <w:left w:val="nil"/>
              <w:bottom w:val="nil"/>
              <w:right w:val="nil"/>
            </w:tcBorders>
            <w:shd w:val="clear" w:color="auto" w:fill="auto"/>
            <w:noWrap/>
            <w:vAlign w:val="center"/>
          </w:tcPr>
          <w:p w14:paraId="30CF1CEB" w14:textId="56C67E38" w:rsidR="00937EA9" w:rsidRPr="00937EA9" w:rsidRDefault="00937EA9" w:rsidP="00937EA9">
            <w:pPr>
              <w:spacing w:after="120"/>
              <w:jc w:val="right"/>
              <w:rPr>
                <w:rFonts w:ascii="Calibri" w:hAnsi="Calibri" w:cs="Calibri"/>
                <w:b/>
                <w:bCs/>
                <w:color w:val="000000"/>
                <w:sz w:val="14"/>
                <w:szCs w:val="14"/>
              </w:rPr>
            </w:pPr>
            <w:r>
              <w:rPr>
                <w:rFonts w:ascii="Calibri" w:hAnsi="Calibri" w:cs="Calibri"/>
                <w:b/>
                <w:bCs/>
                <w:color w:val="000000"/>
                <w:sz w:val="14"/>
                <w:szCs w:val="14"/>
              </w:rPr>
              <w:t>-</w:t>
            </w:r>
          </w:p>
        </w:tc>
        <w:tc>
          <w:tcPr>
            <w:tcW w:w="456" w:type="pct"/>
            <w:tcBorders>
              <w:top w:val="single" w:sz="12" w:space="0" w:color="auto"/>
              <w:left w:val="nil"/>
              <w:bottom w:val="nil"/>
              <w:right w:val="nil"/>
            </w:tcBorders>
            <w:shd w:val="clear" w:color="auto" w:fill="auto"/>
            <w:noWrap/>
            <w:vAlign w:val="center"/>
          </w:tcPr>
          <w:p w14:paraId="149528E8" w14:textId="4F5B0B30" w:rsidR="00937EA9" w:rsidRPr="00937EA9" w:rsidRDefault="00937EA9" w:rsidP="00937EA9">
            <w:pPr>
              <w:spacing w:after="120"/>
              <w:jc w:val="right"/>
              <w:rPr>
                <w:rFonts w:ascii="Calibri" w:hAnsi="Calibri" w:cs="Calibri"/>
                <w:b/>
                <w:bCs/>
                <w:color w:val="000000"/>
                <w:sz w:val="14"/>
                <w:szCs w:val="14"/>
              </w:rPr>
            </w:pPr>
            <w:r w:rsidRPr="00937EA9">
              <w:rPr>
                <w:rFonts w:ascii="Calibri" w:hAnsi="Calibri" w:cs="Calibri"/>
                <w:b/>
                <w:bCs/>
                <w:color w:val="000000"/>
                <w:sz w:val="14"/>
                <w:szCs w:val="14"/>
              </w:rPr>
              <w:t>108.688.137</w:t>
            </w:r>
          </w:p>
        </w:tc>
      </w:tr>
      <w:tr w:rsidR="00937EA9" w:rsidRPr="00D9006E" w14:paraId="3BD106C9" w14:textId="77777777" w:rsidTr="00B83E3B">
        <w:trPr>
          <w:trHeight w:hRule="exact" w:val="227"/>
        </w:trPr>
        <w:tc>
          <w:tcPr>
            <w:tcW w:w="1741" w:type="pct"/>
            <w:tcBorders>
              <w:top w:val="single" w:sz="12" w:space="0" w:color="auto"/>
              <w:left w:val="nil"/>
              <w:bottom w:val="nil"/>
              <w:right w:val="nil"/>
            </w:tcBorders>
            <w:shd w:val="clear" w:color="auto" w:fill="auto"/>
            <w:noWrap/>
            <w:vAlign w:val="center"/>
          </w:tcPr>
          <w:p w14:paraId="562A3887" w14:textId="7E8D804C" w:rsidR="00937EA9" w:rsidRPr="00D9006E" w:rsidRDefault="004C105B" w:rsidP="00563D49">
            <w:pPr>
              <w:spacing w:after="120"/>
              <w:rPr>
                <w:rFonts w:ascii="Calibri" w:hAnsi="Calibri" w:cs="Calibri"/>
                <w:color w:val="000000"/>
                <w:sz w:val="14"/>
                <w:szCs w:val="14"/>
              </w:rPr>
            </w:pPr>
            <w:r w:rsidRPr="004C105B">
              <w:rPr>
                <w:rFonts w:ascii="Calibri" w:hAnsi="Calibri" w:cs="Calibri"/>
                <w:color w:val="000000"/>
                <w:sz w:val="14"/>
                <w:szCs w:val="14"/>
              </w:rPr>
              <w:t>Direito de Uso de Comunicação</w:t>
            </w:r>
          </w:p>
        </w:tc>
        <w:tc>
          <w:tcPr>
            <w:tcW w:w="1030" w:type="pct"/>
            <w:tcBorders>
              <w:top w:val="single" w:sz="12" w:space="0" w:color="auto"/>
              <w:left w:val="nil"/>
              <w:bottom w:val="nil"/>
              <w:right w:val="nil"/>
            </w:tcBorders>
            <w:shd w:val="clear" w:color="auto" w:fill="auto"/>
            <w:noWrap/>
            <w:vAlign w:val="center"/>
          </w:tcPr>
          <w:p w14:paraId="2CC76EE8" w14:textId="77777777" w:rsidR="00937EA9" w:rsidRPr="00D9006E" w:rsidRDefault="00937EA9" w:rsidP="001E20DD">
            <w:pPr>
              <w:spacing w:after="120"/>
              <w:rPr>
                <w:rFonts w:ascii="Calibri" w:hAnsi="Calibri" w:cs="Calibri"/>
                <w:color w:val="000000"/>
                <w:sz w:val="14"/>
                <w:szCs w:val="14"/>
              </w:rPr>
            </w:pPr>
          </w:p>
        </w:tc>
        <w:tc>
          <w:tcPr>
            <w:tcW w:w="407" w:type="pct"/>
            <w:tcBorders>
              <w:top w:val="single" w:sz="12" w:space="0" w:color="auto"/>
              <w:left w:val="nil"/>
              <w:bottom w:val="nil"/>
              <w:right w:val="nil"/>
            </w:tcBorders>
            <w:shd w:val="clear" w:color="auto" w:fill="auto"/>
            <w:noWrap/>
            <w:vAlign w:val="center"/>
          </w:tcPr>
          <w:p w14:paraId="79F68847" w14:textId="6BF12909"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139.790</w:t>
            </w:r>
          </w:p>
        </w:tc>
        <w:tc>
          <w:tcPr>
            <w:tcW w:w="471" w:type="pct"/>
            <w:tcBorders>
              <w:top w:val="single" w:sz="12" w:space="0" w:color="auto"/>
              <w:left w:val="nil"/>
              <w:bottom w:val="nil"/>
              <w:right w:val="nil"/>
            </w:tcBorders>
            <w:shd w:val="clear" w:color="auto" w:fill="auto"/>
            <w:noWrap/>
            <w:vAlign w:val="center"/>
          </w:tcPr>
          <w:p w14:paraId="01D70F5F" w14:textId="668F5AB1"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w:t>
            </w:r>
          </w:p>
        </w:tc>
        <w:tc>
          <w:tcPr>
            <w:tcW w:w="486" w:type="pct"/>
            <w:tcBorders>
              <w:top w:val="single" w:sz="12" w:space="0" w:color="auto"/>
              <w:left w:val="nil"/>
              <w:bottom w:val="nil"/>
              <w:right w:val="nil"/>
            </w:tcBorders>
            <w:shd w:val="clear" w:color="auto" w:fill="auto"/>
            <w:noWrap/>
            <w:vAlign w:val="center"/>
          </w:tcPr>
          <w:p w14:paraId="3275617D" w14:textId="03FEA972"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w:t>
            </w:r>
          </w:p>
        </w:tc>
        <w:tc>
          <w:tcPr>
            <w:tcW w:w="409" w:type="pct"/>
            <w:tcBorders>
              <w:top w:val="single" w:sz="12" w:space="0" w:color="auto"/>
              <w:left w:val="nil"/>
              <w:bottom w:val="nil"/>
              <w:right w:val="nil"/>
            </w:tcBorders>
            <w:shd w:val="clear" w:color="auto" w:fill="auto"/>
            <w:noWrap/>
            <w:vAlign w:val="center"/>
          </w:tcPr>
          <w:p w14:paraId="5C29D82B" w14:textId="58CAB3A5"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w:t>
            </w:r>
          </w:p>
        </w:tc>
        <w:tc>
          <w:tcPr>
            <w:tcW w:w="456" w:type="pct"/>
            <w:tcBorders>
              <w:top w:val="single" w:sz="12" w:space="0" w:color="auto"/>
              <w:left w:val="nil"/>
              <w:bottom w:val="nil"/>
              <w:right w:val="nil"/>
            </w:tcBorders>
            <w:shd w:val="clear" w:color="auto" w:fill="auto"/>
            <w:noWrap/>
            <w:vAlign w:val="center"/>
          </w:tcPr>
          <w:p w14:paraId="4C56DFB5" w14:textId="02040D29"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139.790</w:t>
            </w:r>
          </w:p>
        </w:tc>
      </w:tr>
      <w:tr w:rsidR="00937EA9" w:rsidRPr="00D9006E" w14:paraId="65C42BAD" w14:textId="77777777" w:rsidTr="00B83E3B">
        <w:trPr>
          <w:trHeight w:hRule="exact" w:val="227"/>
        </w:trPr>
        <w:tc>
          <w:tcPr>
            <w:tcW w:w="1741" w:type="pct"/>
            <w:tcBorders>
              <w:top w:val="nil"/>
              <w:left w:val="nil"/>
              <w:bottom w:val="nil"/>
              <w:right w:val="nil"/>
            </w:tcBorders>
            <w:shd w:val="clear" w:color="auto" w:fill="auto"/>
            <w:noWrap/>
            <w:vAlign w:val="center"/>
            <w:hideMark/>
          </w:tcPr>
          <w:p w14:paraId="049B3189" w14:textId="4A4660D0" w:rsidR="00937EA9" w:rsidRPr="00D9006E" w:rsidRDefault="004C105B" w:rsidP="00563D49">
            <w:pPr>
              <w:spacing w:after="120"/>
              <w:rPr>
                <w:rFonts w:ascii="Calibri" w:hAnsi="Calibri" w:cs="Calibri"/>
                <w:color w:val="000000"/>
                <w:sz w:val="14"/>
                <w:szCs w:val="14"/>
              </w:rPr>
            </w:pPr>
            <w:r>
              <w:rPr>
                <w:rFonts w:ascii="Calibri" w:hAnsi="Calibri" w:cs="Calibri"/>
                <w:color w:val="000000"/>
                <w:sz w:val="14"/>
                <w:szCs w:val="14"/>
              </w:rPr>
              <w:t xml:space="preserve">Licenças e </w:t>
            </w:r>
            <w:r w:rsidR="00937EA9" w:rsidRPr="00D9006E">
              <w:rPr>
                <w:rFonts w:ascii="Calibri" w:hAnsi="Calibri" w:cs="Calibri"/>
                <w:color w:val="000000"/>
                <w:sz w:val="14"/>
                <w:szCs w:val="14"/>
              </w:rPr>
              <w:t>Softwares</w:t>
            </w:r>
            <w:r>
              <w:rPr>
                <w:rFonts w:ascii="Calibri" w:hAnsi="Calibri" w:cs="Calibri"/>
                <w:color w:val="000000"/>
                <w:sz w:val="14"/>
                <w:szCs w:val="14"/>
              </w:rPr>
              <w:t xml:space="preserve"> T.I.</w:t>
            </w:r>
          </w:p>
        </w:tc>
        <w:tc>
          <w:tcPr>
            <w:tcW w:w="1030" w:type="pct"/>
            <w:tcBorders>
              <w:top w:val="nil"/>
              <w:left w:val="nil"/>
              <w:bottom w:val="nil"/>
              <w:right w:val="nil"/>
            </w:tcBorders>
            <w:shd w:val="clear" w:color="auto" w:fill="auto"/>
            <w:noWrap/>
            <w:vAlign w:val="center"/>
            <w:hideMark/>
          </w:tcPr>
          <w:p w14:paraId="50C7FB48" w14:textId="17FEF52F" w:rsidR="00937EA9" w:rsidRPr="00D9006E" w:rsidRDefault="00937EA9" w:rsidP="001E20DD">
            <w:pPr>
              <w:spacing w:after="120"/>
              <w:rPr>
                <w:rFonts w:ascii="Calibri" w:hAnsi="Calibri" w:cs="Calibri"/>
                <w:color w:val="000000"/>
                <w:sz w:val="14"/>
                <w:szCs w:val="14"/>
              </w:rPr>
            </w:pPr>
          </w:p>
        </w:tc>
        <w:tc>
          <w:tcPr>
            <w:tcW w:w="407" w:type="pct"/>
            <w:tcBorders>
              <w:top w:val="nil"/>
              <w:left w:val="nil"/>
              <w:bottom w:val="nil"/>
              <w:right w:val="nil"/>
            </w:tcBorders>
            <w:shd w:val="clear" w:color="auto" w:fill="auto"/>
            <w:noWrap/>
            <w:vAlign w:val="center"/>
            <w:hideMark/>
          </w:tcPr>
          <w:p w14:paraId="22FFE0EF" w14:textId="76565E30"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11.731.207</w:t>
            </w:r>
          </w:p>
        </w:tc>
        <w:tc>
          <w:tcPr>
            <w:tcW w:w="471" w:type="pct"/>
            <w:tcBorders>
              <w:top w:val="nil"/>
              <w:left w:val="nil"/>
              <w:bottom w:val="nil"/>
              <w:right w:val="nil"/>
            </w:tcBorders>
            <w:shd w:val="clear" w:color="auto" w:fill="auto"/>
            <w:noWrap/>
            <w:vAlign w:val="center"/>
            <w:hideMark/>
          </w:tcPr>
          <w:p w14:paraId="4D64FA41" w14:textId="47AE92F8"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12.207.843</w:t>
            </w:r>
          </w:p>
        </w:tc>
        <w:tc>
          <w:tcPr>
            <w:tcW w:w="486" w:type="pct"/>
            <w:tcBorders>
              <w:top w:val="nil"/>
              <w:left w:val="nil"/>
              <w:bottom w:val="nil"/>
              <w:right w:val="nil"/>
            </w:tcBorders>
            <w:shd w:val="clear" w:color="auto" w:fill="auto"/>
            <w:noWrap/>
            <w:vAlign w:val="center"/>
            <w:hideMark/>
          </w:tcPr>
          <w:p w14:paraId="35E169C1" w14:textId="1FA89494"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w:t>
            </w:r>
          </w:p>
        </w:tc>
        <w:tc>
          <w:tcPr>
            <w:tcW w:w="409" w:type="pct"/>
            <w:tcBorders>
              <w:top w:val="nil"/>
              <w:left w:val="nil"/>
              <w:bottom w:val="nil"/>
              <w:right w:val="nil"/>
            </w:tcBorders>
            <w:shd w:val="clear" w:color="auto" w:fill="auto"/>
            <w:noWrap/>
            <w:vAlign w:val="center"/>
            <w:hideMark/>
          </w:tcPr>
          <w:p w14:paraId="23A2D84C" w14:textId="24385BD2"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w:t>
            </w:r>
          </w:p>
        </w:tc>
        <w:tc>
          <w:tcPr>
            <w:tcW w:w="456" w:type="pct"/>
            <w:tcBorders>
              <w:top w:val="nil"/>
              <w:left w:val="nil"/>
              <w:bottom w:val="nil"/>
              <w:right w:val="nil"/>
            </w:tcBorders>
            <w:shd w:val="clear" w:color="auto" w:fill="auto"/>
            <w:noWrap/>
            <w:vAlign w:val="center"/>
            <w:hideMark/>
          </w:tcPr>
          <w:p w14:paraId="3950A484" w14:textId="0A1406FA"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23.939.050</w:t>
            </w:r>
          </w:p>
        </w:tc>
      </w:tr>
      <w:tr w:rsidR="00937EA9" w:rsidRPr="00D9006E" w14:paraId="6B69B262" w14:textId="77777777" w:rsidTr="00B83E3B">
        <w:trPr>
          <w:trHeight w:hRule="exact" w:val="227"/>
        </w:trPr>
        <w:tc>
          <w:tcPr>
            <w:tcW w:w="1741" w:type="pct"/>
            <w:tcBorders>
              <w:top w:val="nil"/>
              <w:left w:val="nil"/>
              <w:bottom w:val="single" w:sz="12" w:space="0" w:color="auto"/>
              <w:right w:val="nil"/>
            </w:tcBorders>
            <w:shd w:val="clear" w:color="auto" w:fill="auto"/>
            <w:noWrap/>
            <w:vAlign w:val="center"/>
            <w:hideMark/>
          </w:tcPr>
          <w:p w14:paraId="31CC6FE1" w14:textId="1B0DE5E4" w:rsidR="00937EA9" w:rsidRPr="00D9006E" w:rsidRDefault="00937EA9" w:rsidP="00563D49">
            <w:pPr>
              <w:spacing w:after="120"/>
              <w:rPr>
                <w:rFonts w:ascii="Calibri" w:hAnsi="Calibri" w:cs="Calibri"/>
                <w:color w:val="000000"/>
                <w:sz w:val="14"/>
                <w:szCs w:val="14"/>
              </w:rPr>
            </w:pPr>
            <w:r w:rsidRPr="00D9006E">
              <w:rPr>
                <w:rFonts w:ascii="Calibri" w:hAnsi="Calibri" w:cs="Calibri"/>
                <w:color w:val="000000"/>
                <w:sz w:val="14"/>
                <w:szCs w:val="14"/>
              </w:rPr>
              <w:t>(-) Amortizações Acumuladas</w:t>
            </w:r>
            <w:r w:rsidR="004C105B">
              <w:rPr>
                <w:rFonts w:ascii="Calibri" w:hAnsi="Calibri" w:cs="Calibri"/>
                <w:color w:val="000000"/>
                <w:sz w:val="14"/>
                <w:szCs w:val="14"/>
              </w:rPr>
              <w:t xml:space="preserve"> (20%)</w:t>
            </w:r>
          </w:p>
        </w:tc>
        <w:tc>
          <w:tcPr>
            <w:tcW w:w="1030" w:type="pct"/>
            <w:tcBorders>
              <w:top w:val="nil"/>
              <w:left w:val="nil"/>
              <w:bottom w:val="single" w:sz="12" w:space="0" w:color="auto"/>
              <w:right w:val="nil"/>
            </w:tcBorders>
            <w:shd w:val="clear" w:color="auto" w:fill="auto"/>
            <w:noWrap/>
            <w:vAlign w:val="center"/>
            <w:hideMark/>
          </w:tcPr>
          <w:p w14:paraId="0AECD106" w14:textId="28B79EC5" w:rsidR="00937EA9" w:rsidRPr="00D9006E" w:rsidRDefault="00937EA9" w:rsidP="001E20DD">
            <w:pPr>
              <w:spacing w:after="120"/>
              <w:rPr>
                <w:rFonts w:ascii="Calibri" w:hAnsi="Calibri" w:cs="Calibri"/>
                <w:color w:val="000000"/>
                <w:sz w:val="14"/>
                <w:szCs w:val="14"/>
              </w:rPr>
            </w:pPr>
          </w:p>
        </w:tc>
        <w:tc>
          <w:tcPr>
            <w:tcW w:w="407" w:type="pct"/>
            <w:tcBorders>
              <w:top w:val="nil"/>
              <w:left w:val="nil"/>
              <w:bottom w:val="single" w:sz="12" w:space="0" w:color="auto"/>
              <w:right w:val="nil"/>
            </w:tcBorders>
            <w:shd w:val="clear" w:color="auto" w:fill="auto"/>
            <w:noWrap/>
            <w:vAlign w:val="center"/>
            <w:hideMark/>
          </w:tcPr>
          <w:p w14:paraId="3A1B9531" w14:textId="7E3A530D" w:rsidR="00937EA9" w:rsidRPr="00D9006E" w:rsidRDefault="00937EA9" w:rsidP="00563D49">
            <w:pPr>
              <w:spacing w:after="120"/>
              <w:jc w:val="right"/>
              <w:rPr>
                <w:rFonts w:ascii="Calibri" w:hAnsi="Calibri" w:cs="Calibri"/>
                <w:color w:val="000000"/>
                <w:sz w:val="14"/>
                <w:szCs w:val="14"/>
              </w:rPr>
            </w:pPr>
            <w:r w:rsidRPr="00D9006E">
              <w:rPr>
                <w:rFonts w:ascii="Calibri" w:hAnsi="Calibri" w:cs="Calibri"/>
                <w:color w:val="000000"/>
                <w:sz w:val="14"/>
                <w:szCs w:val="14"/>
              </w:rPr>
              <w:t>(</w:t>
            </w:r>
            <w:r w:rsidR="004C105B">
              <w:rPr>
                <w:rFonts w:ascii="Calibri" w:hAnsi="Calibri" w:cs="Calibri"/>
                <w:color w:val="000000"/>
                <w:sz w:val="14"/>
                <w:szCs w:val="14"/>
              </w:rPr>
              <w:t>8.986.685)</w:t>
            </w:r>
          </w:p>
        </w:tc>
        <w:tc>
          <w:tcPr>
            <w:tcW w:w="471" w:type="pct"/>
            <w:tcBorders>
              <w:top w:val="nil"/>
              <w:left w:val="nil"/>
              <w:bottom w:val="single" w:sz="12" w:space="0" w:color="auto"/>
              <w:right w:val="nil"/>
            </w:tcBorders>
            <w:shd w:val="clear" w:color="auto" w:fill="auto"/>
            <w:noWrap/>
            <w:vAlign w:val="center"/>
            <w:hideMark/>
          </w:tcPr>
          <w:p w14:paraId="4F37539D" w14:textId="018C7204"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(11.925.865)</w:t>
            </w:r>
          </w:p>
        </w:tc>
        <w:tc>
          <w:tcPr>
            <w:tcW w:w="486" w:type="pct"/>
            <w:tcBorders>
              <w:top w:val="nil"/>
              <w:left w:val="nil"/>
              <w:bottom w:val="single" w:sz="12" w:space="0" w:color="auto"/>
              <w:right w:val="nil"/>
            </w:tcBorders>
            <w:shd w:val="clear" w:color="auto" w:fill="auto"/>
            <w:noWrap/>
            <w:vAlign w:val="center"/>
            <w:hideMark/>
          </w:tcPr>
          <w:p w14:paraId="188F8D92" w14:textId="323C9270"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w:t>
            </w:r>
          </w:p>
        </w:tc>
        <w:tc>
          <w:tcPr>
            <w:tcW w:w="409" w:type="pct"/>
            <w:tcBorders>
              <w:top w:val="nil"/>
              <w:left w:val="nil"/>
              <w:bottom w:val="single" w:sz="12" w:space="0" w:color="auto"/>
              <w:right w:val="nil"/>
            </w:tcBorders>
            <w:shd w:val="clear" w:color="auto" w:fill="auto"/>
            <w:noWrap/>
            <w:vAlign w:val="center"/>
            <w:hideMark/>
          </w:tcPr>
          <w:p w14:paraId="5636E438" w14:textId="7A6E1BCA"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w:t>
            </w:r>
          </w:p>
        </w:tc>
        <w:tc>
          <w:tcPr>
            <w:tcW w:w="456" w:type="pct"/>
            <w:tcBorders>
              <w:top w:val="nil"/>
              <w:left w:val="nil"/>
              <w:bottom w:val="single" w:sz="12" w:space="0" w:color="auto"/>
              <w:right w:val="nil"/>
            </w:tcBorders>
            <w:shd w:val="clear" w:color="auto" w:fill="auto"/>
            <w:noWrap/>
            <w:vAlign w:val="center"/>
            <w:hideMark/>
          </w:tcPr>
          <w:p w14:paraId="12DE0B71" w14:textId="4AF31F5A" w:rsidR="00937EA9" w:rsidRPr="00D9006E" w:rsidRDefault="004C105B" w:rsidP="00563D49">
            <w:pPr>
              <w:spacing w:after="120"/>
              <w:jc w:val="right"/>
              <w:rPr>
                <w:rFonts w:ascii="Calibri" w:hAnsi="Calibri" w:cs="Calibri"/>
                <w:color w:val="000000"/>
                <w:sz w:val="14"/>
                <w:szCs w:val="14"/>
              </w:rPr>
            </w:pPr>
            <w:r>
              <w:rPr>
                <w:rFonts w:ascii="Calibri" w:hAnsi="Calibri" w:cs="Calibri"/>
                <w:color w:val="000000"/>
                <w:sz w:val="14"/>
                <w:szCs w:val="14"/>
              </w:rPr>
              <w:t>(20.912.550)</w:t>
            </w:r>
          </w:p>
        </w:tc>
      </w:tr>
      <w:tr w:rsidR="004C105B" w:rsidRPr="004C105B" w14:paraId="4C00080A" w14:textId="77777777" w:rsidTr="00B83E3B">
        <w:trPr>
          <w:trHeight w:hRule="exact" w:val="227"/>
        </w:trPr>
        <w:tc>
          <w:tcPr>
            <w:tcW w:w="1741" w:type="pct"/>
            <w:tcBorders>
              <w:top w:val="single" w:sz="12" w:space="0" w:color="auto"/>
              <w:left w:val="nil"/>
              <w:bottom w:val="single" w:sz="12" w:space="0" w:color="auto"/>
              <w:right w:val="nil"/>
            </w:tcBorders>
            <w:shd w:val="clear" w:color="auto" w:fill="auto"/>
            <w:noWrap/>
            <w:vAlign w:val="center"/>
          </w:tcPr>
          <w:p w14:paraId="729C6E39" w14:textId="1AAA3B3C" w:rsidR="004C105B" w:rsidRPr="004C105B" w:rsidRDefault="004C105B" w:rsidP="00563D49">
            <w:pPr>
              <w:spacing w:after="120"/>
              <w:rPr>
                <w:rFonts w:ascii="Calibri" w:hAnsi="Calibri" w:cs="Calibri"/>
                <w:b/>
                <w:bCs/>
                <w:color w:val="000000"/>
                <w:sz w:val="14"/>
                <w:szCs w:val="14"/>
              </w:rPr>
            </w:pPr>
            <w:r w:rsidRPr="004C105B">
              <w:rPr>
                <w:rFonts w:ascii="Calibri" w:hAnsi="Calibri" w:cs="Calibri"/>
                <w:b/>
                <w:bCs/>
                <w:color w:val="000000"/>
                <w:sz w:val="14"/>
                <w:szCs w:val="14"/>
              </w:rPr>
              <w:t>Direito de Uso de Comunicação</w:t>
            </w:r>
            <w:r>
              <w:rPr>
                <w:rFonts w:ascii="Calibri" w:hAnsi="Calibri" w:cs="Calibri"/>
                <w:b/>
                <w:bCs/>
                <w:color w:val="000000"/>
                <w:sz w:val="14"/>
                <w:szCs w:val="14"/>
              </w:rPr>
              <w:t xml:space="preserve"> e </w:t>
            </w:r>
            <w:r w:rsidRPr="004C105B">
              <w:rPr>
                <w:rFonts w:ascii="Calibri" w:hAnsi="Calibri" w:cs="Calibri"/>
                <w:b/>
                <w:bCs/>
                <w:color w:val="000000"/>
                <w:sz w:val="14"/>
                <w:szCs w:val="14"/>
              </w:rPr>
              <w:t>Licenças e Softwares T.I.</w:t>
            </w:r>
          </w:p>
        </w:tc>
        <w:tc>
          <w:tcPr>
            <w:tcW w:w="1030" w:type="pct"/>
            <w:tcBorders>
              <w:top w:val="single" w:sz="12" w:space="0" w:color="auto"/>
              <w:left w:val="nil"/>
              <w:bottom w:val="single" w:sz="12" w:space="0" w:color="auto"/>
              <w:right w:val="nil"/>
            </w:tcBorders>
            <w:shd w:val="clear" w:color="auto" w:fill="auto"/>
            <w:noWrap/>
            <w:vAlign w:val="center"/>
          </w:tcPr>
          <w:p w14:paraId="763D804F" w14:textId="77777777" w:rsidR="004C105B" w:rsidRPr="004C105B" w:rsidRDefault="004C105B" w:rsidP="001E20DD">
            <w:pPr>
              <w:spacing w:after="120"/>
              <w:rPr>
                <w:rFonts w:ascii="Calibri" w:hAnsi="Calibri" w:cs="Calibri"/>
                <w:b/>
                <w:bCs/>
                <w:color w:val="000000"/>
                <w:sz w:val="14"/>
                <w:szCs w:val="14"/>
              </w:rPr>
            </w:pPr>
          </w:p>
        </w:tc>
        <w:tc>
          <w:tcPr>
            <w:tcW w:w="407" w:type="pct"/>
            <w:tcBorders>
              <w:top w:val="single" w:sz="12" w:space="0" w:color="auto"/>
              <w:left w:val="nil"/>
              <w:bottom w:val="single" w:sz="12" w:space="0" w:color="auto"/>
              <w:right w:val="nil"/>
            </w:tcBorders>
            <w:shd w:val="clear" w:color="auto" w:fill="auto"/>
            <w:noWrap/>
            <w:vAlign w:val="center"/>
          </w:tcPr>
          <w:p w14:paraId="30703D6D" w14:textId="740128C3" w:rsidR="004C105B" w:rsidRPr="004C105B" w:rsidRDefault="004C105B" w:rsidP="00563D49">
            <w:pPr>
              <w:spacing w:after="120"/>
              <w:jc w:val="right"/>
              <w:rPr>
                <w:rFonts w:ascii="Calibri" w:hAnsi="Calibri" w:cs="Calibri"/>
                <w:b/>
                <w:bCs/>
                <w:color w:val="000000"/>
                <w:sz w:val="14"/>
                <w:szCs w:val="14"/>
              </w:rPr>
            </w:pPr>
            <w:r>
              <w:rPr>
                <w:rFonts w:ascii="Calibri" w:hAnsi="Calibri" w:cs="Calibri"/>
                <w:b/>
                <w:bCs/>
                <w:color w:val="000000"/>
                <w:sz w:val="14"/>
                <w:szCs w:val="14"/>
              </w:rPr>
              <w:t>2.884.312</w:t>
            </w:r>
          </w:p>
        </w:tc>
        <w:tc>
          <w:tcPr>
            <w:tcW w:w="471" w:type="pct"/>
            <w:tcBorders>
              <w:top w:val="single" w:sz="12" w:space="0" w:color="auto"/>
              <w:left w:val="nil"/>
              <w:bottom w:val="single" w:sz="12" w:space="0" w:color="auto"/>
              <w:right w:val="nil"/>
            </w:tcBorders>
            <w:shd w:val="clear" w:color="auto" w:fill="auto"/>
            <w:noWrap/>
            <w:vAlign w:val="center"/>
          </w:tcPr>
          <w:p w14:paraId="5CF159A2" w14:textId="47BC600F" w:rsidR="004C105B" w:rsidRPr="004C105B" w:rsidRDefault="004C105B" w:rsidP="00563D49">
            <w:pPr>
              <w:spacing w:after="120"/>
              <w:jc w:val="right"/>
              <w:rPr>
                <w:rFonts w:ascii="Calibri" w:hAnsi="Calibri" w:cs="Calibri"/>
                <w:b/>
                <w:bCs/>
                <w:color w:val="000000"/>
                <w:sz w:val="14"/>
                <w:szCs w:val="14"/>
              </w:rPr>
            </w:pPr>
            <w:r>
              <w:rPr>
                <w:rFonts w:ascii="Calibri" w:hAnsi="Calibri" w:cs="Calibri"/>
                <w:b/>
                <w:bCs/>
                <w:color w:val="000000"/>
                <w:sz w:val="14"/>
                <w:szCs w:val="14"/>
              </w:rPr>
              <w:t>281.978</w:t>
            </w:r>
          </w:p>
        </w:tc>
        <w:tc>
          <w:tcPr>
            <w:tcW w:w="486" w:type="pct"/>
            <w:tcBorders>
              <w:top w:val="single" w:sz="12" w:space="0" w:color="auto"/>
              <w:left w:val="nil"/>
              <w:bottom w:val="single" w:sz="12" w:space="0" w:color="auto"/>
              <w:right w:val="nil"/>
            </w:tcBorders>
            <w:shd w:val="clear" w:color="auto" w:fill="auto"/>
            <w:noWrap/>
            <w:vAlign w:val="center"/>
          </w:tcPr>
          <w:p w14:paraId="3208904B" w14:textId="35DFFD39" w:rsidR="004C105B" w:rsidRPr="004C105B" w:rsidRDefault="004C105B" w:rsidP="00563D49">
            <w:pPr>
              <w:spacing w:after="120"/>
              <w:jc w:val="right"/>
              <w:rPr>
                <w:rFonts w:ascii="Calibri" w:hAnsi="Calibri" w:cs="Calibri"/>
                <w:b/>
                <w:bCs/>
                <w:color w:val="000000"/>
                <w:sz w:val="14"/>
                <w:szCs w:val="14"/>
              </w:rPr>
            </w:pPr>
            <w:r>
              <w:rPr>
                <w:rFonts w:ascii="Calibri" w:hAnsi="Calibri" w:cs="Calibri"/>
                <w:b/>
                <w:bCs/>
                <w:color w:val="000000"/>
                <w:sz w:val="14"/>
                <w:szCs w:val="14"/>
              </w:rPr>
              <w:t>-</w:t>
            </w:r>
          </w:p>
        </w:tc>
        <w:tc>
          <w:tcPr>
            <w:tcW w:w="409" w:type="pct"/>
            <w:tcBorders>
              <w:top w:val="single" w:sz="12" w:space="0" w:color="auto"/>
              <w:left w:val="nil"/>
              <w:bottom w:val="single" w:sz="12" w:space="0" w:color="auto"/>
              <w:right w:val="nil"/>
            </w:tcBorders>
            <w:shd w:val="clear" w:color="auto" w:fill="auto"/>
            <w:noWrap/>
            <w:vAlign w:val="center"/>
          </w:tcPr>
          <w:p w14:paraId="0D944B11" w14:textId="020BEC84" w:rsidR="004C105B" w:rsidRPr="004C105B" w:rsidRDefault="004C105B" w:rsidP="00563D49">
            <w:pPr>
              <w:spacing w:after="120"/>
              <w:jc w:val="right"/>
              <w:rPr>
                <w:rFonts w:ascii="Calibri" w:hAnsi="Calibri" w:cs="Calibri"/>
                <w:b/>
                <w:bCs/>
                <w:color w:val="000000"/>
                <w:sz w:val="14"/>
                <w:szCs w:val="14"/>
              </w:rPr>
            </w:pPr>
            <w:r>
              <w:rPr>
                <w:rFonts w:ascii="Calibri" w:hAnsi="Calibri" w:cs="Calibri"/>
                <w:b/>
                <w:bCs/>
                <w:color w:val="000000"/>
                <w:sz w:val="14"/>
                <w:szCs w:val="14"/>
              </w:rPr>
              <w:t>-</w:t>
            </w:r>
          </w:p>
        </w:tc>
        <w:tc>
          <w:tcPr>
            <w:tcW w:w="456" w:type="pct"/>
            <w:tcBorders>
              <w:top w:val="single" w:sz="12" w:space="0" w:color="auto"/>
              <w:left w:val="nil"/>
              <w:bottom w:val="single" w:sz="12" w:space="0" w:color="auto"/>
              <w:right w:val="nil"/>
            </w:tcBorders>
            <w:shd w:val="clear" w:color="auto" w:fill="auto"/>
            <w:noWrap/>
            <w:vAlign w:val="center"/>
          </w:tcPr>
          <w:p w14:paraId="0FBC9B53" w14:textId="77777777" w:rsidR="004C105B" w:rsidRDefault="004C105B" w:rsidP="00563D49">
            <w:pPr>
              <w:spacing w:after="120"/>
              <w:jc w:val="right"/>
              <w:rPr>
                <w:rFonts w:ascii="Calibri" w:hAnsi="Calibri" w:cs="Calibri"/>
                <w:b/>
                <w:bCs/>
                <w:color w:val="000000"/>
                <w:sz w:val="14"/>
                <w:szCs w:val="14"/>
              </w:rPr>
            </w:pPr>
            <w:r>
              <w:rPr>
                <w:rFonts w:ascii="Calibri" w:hAnsi="Calibri" w:cs="Calibri"/>
                <w:b/>
                <w:bCs/>
                <w:color w:val="000000"/>
                <w:sz w:val="14"/>
                <w:szCs w:val="14"/>
              </w:rPr>
              <w:t>3.166.291</w:t>
            </w:r>
          </w:p>
          <w:p w14:paraId="0D107909" w14:textId="3F2F2C20" w:rsidR="004C105B" w:rsidRPr="004C105B" w:rsidRDefault="004C105B" w:rsidP="00563D49">
            <w:pPr>
              <w:spacing w:after="120"/>
              <w:jc w:val="right"/>
              <w:rPr>
                <w:rFonts w:ascii="Calibri" w:hAnsi="Calibri" w:cs="Calibri"/>
                <w:b/>
                <w:bCs/>
                <w:color w:val="000000"/>
                <w:sz w:val="14"/>
                <w:szCs w:val="14"/>
              </w:rPr>
            </w:pPr>
          </w:p>
        </w:tc>
      </w:tr>
      <w:tr w:rsidR="00937EA9" w:rsidRPr="004C105B" w14:paraId="016CFAFF" w14:textId="77777777" w:rsidTr="00B83E3B">
        <w:trPr>
          <w:trHeight w:hRule="exact" w:val="227"/>
        </w:trPr>
        <w:tc>
          <w:tcPr>
            <w:tcW w:w="1741" w:type="pct"/>
            <w:tcBorders>
              <w:top w:val="single" w:sz="12" w:space="0" w:color="auto"/>
              <w:left w:val="nil"/>
              <w:bottom w:val="single" w:sz="12" w:space="0" w:color="auto"/>
              <w:right w:val="nil"/>
            </w:tcBorders>
            <w:shd w:val="clear" w:color="auto" w:fill="auto"/>
            <w:noWrap/>
            <w:vAlign w:val="center"/>
            <w:hideMark/>
          </w:tcPr>
          <w:p w14:paraId="50ED4C9E" w14:textId="77777777" w:rsidR="00937EA9" w:rsidRPr="004C105B" w:rsidRDefault="00937EA9" w:rsidP="00563D49">
            <w:pPr>
              <w:spacing w:after="120"/>
              <w:rPr>
                <w:rFonts w:ascii="Calibri" w:hAnsi="Calibri" w:cs="Calibri"/>
                <w:b/>
                <w:bCs/>
                <w:color w:val="000000"/>
                <w:sz w:val="14"/>
                <w:szCs w:val="14"/>
              </w:rPr>
            </w:pPr>
            <w:r w:rsidRPr="004C105B">
              <w:rPr>
                <w:rFonts w:ascii="Calibri" w:hAnsi="Calibri" w:cs="Calibri"/>
                <w:b/>
                <w:bCs/>
                <w:color w:val="000000"/>
                <w:sz w:val="14"/>
                <w:szCs w:val="14"/>
              </w:rPr>
              <w:t>Total Intangíveis</w:t>
            </w:r>
          </w:p>
        </w:tc>
        <w:tc>
          <w:tcPr>
            <w:tcW w:w="1030" w:type="pct"/>
            <w:tcBorders>
              <w:top w:val="single" w:sz="12" w:space="0" w:color="auto"/>
              <w:left w:val="nil"/>
              <w:bottom w:val="single" w:sz="12" w:space="0" w:color="auto"/>
              <w:right w:val="nil"/>
            </w:tcBorders>
            <w:shd w:val="clear" w:color="auto" w:fill="auto"/>
            <w:noWrap/>
            <w:vAlign w:val="center"/>
            <w:hideMark/>
          </w:tcPr>
          <w:p w14:paraId="3AA11C58" w14:textId="5E522049" w:rsidR="00937EA9" w:rsidRPr="004C105B" w:rsidRDefault="00937EA9" w:rsidP="001E20DD">
            <w:pPr>
              <w:spacing w:after="120"/>
              <w:rPr>
                <w:rFonts w:ascii="Calibri" w:hAnsi="Calibri" w:cs="Calibri"/>
                <w:b/>
                <w:bCs/>
                <w:color w:val="000000"/>
                <w:sz w:val="14"/>
                <w:szCs w:val="14"/>
              </w:rPr>
            </w:pPr>
          </w:p>
        </w:tc>
        <w:tc>
          <w:tcPr>
            <w:tcW w:w="407" w:type="pct"/>
            <w:tcBorders>
              <w:top w:val="single" w:sz="12" w:space="0" w:color="auto"/>
              <w:left w:val="nil"/>
              <w:bottom w:val="single" w:sz="12" w:space="0" w:color="auto"/>
              <w:right w:val="nil"/>
            </w:tcBorders>
            <w:shd w:val="clear" w:color="auto" w:fill="auto"/>
            <w:noWrap/>
            <w:vAlign w:val="center"/>
            <w:hideMark/>
          </w:tcPr>
          <w:p w14:paraId="51C938BB" w14:textId="32F47092" w:rsidR="00937EA9" w:rsidRPr="004C105B" w:rsidRDefault="004C105B" w:rsidP="00563D49">
            <w:pPr>
              <w:spacing w:after="120"/>
              <w:jc w:val="right"/>
              <w:rPr>
                <w:rFonts w:ascii="Calibri" w:hAnsi="Calibri" w:cs="Calibri"/>
                <w:b/>
                <w:bCs/>
                <w:color w:val="000000"/>
                <w:sz w:val="14"/>
                <w:szCs w:val="14"/>
              </w:rPr>
            </w:pPr>
            <w:r>
              <w:rPr>
                <w:rFonts w:ascii="Calibri" w:hAnsi="Calibri" w:cs="Calibri"/>
                <w:b/>
                <w:bCs/>
                <w:color w:val="000000"/>
                <w:sz w:val="14"/>
                <w:szCs w:val="14"/>
              </w:rPr>
              <w:t>2.884.312</w:t>
            </w:r>
          </w:p>
        </w:tc>
        <w:tc>
          <w:tcPr>
            <w:tcW w:w="471" w:type="pct"/>
            <w:tcBorders>
              <w:top w:val="single" w:sz="12" w:space="0" w:color="auto"/>
              <w:left w:val="nil"/>
              <w:bottom w:val="single" w:sz="12" w:space="0" w:color="auto"/>
              <w:right w:val="nil"/>
            </w:tcBorders>
            <w:shd w:val="clear" w:color="auto" w:fill="auto"/>
            <w:noWrap/>
            <w:vAlign w:val="center"/>
            <w:hideMark/>
          </w:tcPr>
          <w:p w14:paraId="2F9232D4" w14:textId="7CA471DB" w:rsidR="00937EA9" w:rsidRPr="004C105B" w:rsidRDefault="00D835A4" w:rsidP="00563D49">
            <w:pPr>
              <w:spacing w:after="120"/>
              <w:jc w:val="right"/>
              <w:rPr>
                <w:rFonts w:ascii="Calibri" w:hAnsi="Calibri" w:cs="Calibri"/>
                <w:b/>
                <w:bCs/>
                <w:color w:val="000000"/>
                <w:sz w:val="14"/>
                <w:szCs w:val="14"/>
              </w:rPr>
            </w:pPr>
            <w:r>
              <w:rPr>
                <w:rFonts w:ascii="Calibri" w:hAnsi="Calibri" w:cs="Calibri"/>
                <w:b/>
                <w:bCs/>
                <w:color w:val="000000"/>
                <w:sz w:val="14"/>
                <w:szCs w:val="14"/>
              </w:rPr>
              <w:t>108.970.115</w:t>
            </w:r>
          </w:p>
        </w:tc>
        <w:tc>
          <w:tcPr>
            <w:tcW w:w="486" w:type="pct"/>
            <w:tcBorders>
              <w:top w:val="single" w:sz="12" w:space="0" w:color="auto"/>
              <w:left w:val="nil"/>
              <w:bottom w:val="single" w:sz="12" w:space="0" w:color="auto"/>
              <w:right w:val="nil"/>
            </w:tcBorders>
            <w:shd w:val="clear" w:color="auto" w:fill="auto"/>
            <w:noWrap/>
            <w:vAlign w:val="center"/>
            <w:hideMark/>
          </w:tcPr>
          <w:p w14:paraId="16B4C124" w14:textId="0D293CBE" w:rsidR="00937EA9" w:rsidRPr="004C105B" w:rsidRDefault="004C105B" w:rsidP="00563D49">
            <w:pPr>
              <w:spacing w:after="120"/>
              <w:jc w:val="right"/>
              <w:rPr>
                <w:rFonts w:ascii="Calibri" w:hAnsi="Calibri" w:cs="Calibri"/>
                <w:b/>
                <w:bCs/>
                <w:color w:val="000000"/>
                <w:sz w:val="14"/>
                <w:szCs w:val="14"/>
              </w:rPr>
            </w:pPr>
            <w:r>
              <w:rPr>
                <w:rFonts w:ascii="Calibri" w:hAnsi="Calibri" w:cs="Calibri"/>
                <w:b/>
                <w:bCs/>
                <w:color w:val="000000"/>
                <w:sz w:val="14"/>
                <w:szCs w:val="14"/>
              </w:rPr>
              <w:t>-</w:t>
            </w:r>
          </w:p>
        </w:tc>
        <w:tc>
          <w:tcPr>
            <w:tcW w:w="409" w:type="pct"/>
            <w:tcBorders>
              <w:top w:val="single" w:sz="12" w:space="0" w:color="auto"/>
              <w:left w:val="nil"/>
              <w:bottom w:val="single" w:sz="12" w:space="0" w:color="auto"/>
              <w:right w:val="nil"/>
            </w:tcBorders>
            <w:shd w:val="clear" w:color="auto" w:fill="auto"/>
            <w:noWrap/>
            <w:vAlign w:val="center"/>
            <w:hideMark/>
          </w:tcPr>
          <w:p w14:paraId="2F62388D" w14:textId="432EFADF" w:rsidR="00937EA9" w:rsidRPr="004C105B" w:rsidRDefault="004C105B" w:rsidP="00563D49">
            <w:pPr>
              <w:spacing w:after="120"/>
              <w:jc w:val="right"/>
              <w:rPr>
                <w:rFonts w:ascii="Calibri" w:hAnsi="Calibri" w:cs="Calibri"/>
                <w:b/>
                <w:bCs/>
                <w:color w:val="000000"/>
                <w:sz w:val="14"/>
                <w:szCs w:val="14"/>
              </w:rPr>
            </w:pPr>
            <w:r>
              <w:rPr>
                <w:rFonts w:ascii="Calibri" w:hAnsi="Calibri" w:cs="Calibri"/>
                <w:b/>
                <w:bCs/>
                <w:color w:val="000000"/>
                <w:sz w:val="14"/>
                <w:szCs w:val="14"/>
              </w:rPr>
              <w:t>-</w:t>
            </w:r>
          </w:p>
        </w:tc>
        <w:tc>
          <w:tcPr>
            <w:tcW w:w="456" w:type="pct"/>
            <w:tcBorders>
              <w:top w:val="single" w:sz="12" w:space="0" w:color="auto"/>
              <w:left w:val="nil"/>
              <w:bottom w:val="single" w:sz="12" w:space="0" w:color="auto"/>
              <w:right w:val="nil"/>
            </w:tcBorders>
            <w:shd w:val="clear" w:color="auto" w:fill="auto"/>
            <w:noWrap/>
            <w:vAlign w:val="center"/>
            <w:hideMark/>
          </w:tcPr>
          <w:p w14:paraId="66205515" w14:textId="003290BA" w:rsidR="00937EA9" w:rsidRPr="004C105B" w:rsidRDefault="00937EA9" w:rsidP="00563D49">
            <w:pPr>
              <w:spacing w:after="120"/>
              <w:rPr>
                <w:rFonts w:ascii="Calibri" w:hAnsi="Calibri" w:cs="Calibri"/>
                <w:b/>
                <w:bCs/>
                <w:color w:val="000000"/>
                <w:sz w:val="14"/>
                <w:szCs w:val="14"/>
              </w:rPr>
            </w:pPr>
            <w:r w:rsidRPr="004C105B">
              <w:rPr>
                <w:rFonts w:ascii="Calibri" w:hAnsi="Calibri" w:cs="Calibri"/>
                <w:b/>
                <w:bCs/>
                <w:color w:val="000000"/>
                <w:sz w:val="14"/>
                <w:szCs w:val="14"/>
              </w:rPr>
              <w:t> </w:t>
            </w:r>
            <w:r w:rsidR="00D835A4">
              <w:rPr>
                <w:rFonts w:ascii="Calibri" w:hAnsi="Calibri" w:cs="Calibri"/>
                <w:b/>
                <w:bCs/>
                <w:color w:val="000000"/>
                <w:sz w:val="14"/>
                <w:szCs w:val="14"/>
              </w:rPr>
              <w:t>111.854.428</w:t>
            </w:r>
          </w:p>
        </w:tc>
      </w:tr>
    </w:tbl>
    <w:p w14:paraId="3B609811" w14:textId="2D6F560E" w:rsidR="00B83E3B" w:rsidRPr="00B83E3B" w:rsidRDefault="00B83E3B" w:rsidP="00B83E3B">
      <w:pPr>
        <w:pStyle w:val="Textoembloco"/>
        <w:spacing w:before="240" w:after="120" w:line="240" w:lineRule="auto"/>
        <w:ind w:left="0" w:right="57"/>
        <w:rPr>
          <w:rFonts w:ascii="Calibri" w:hAnsi="Calibri" w:cs="Calibri"/>
          <w:sz w:val="22"/>
          <w:szCs w:val="22"/>
          <w:shd w:val="clear" w:color="auto" w:fill="FFFFFF"/>
        </w:rPr>
      </w:pPr>
      <w:bookmarkStart w:id="8" w:name="_Hlk120176000"/>
      <w:r w:rsidRPr="00B83E3B">
        <w:rPr>
          <w:rFonts w:ascii="Calibri" w:hAnsi="Calibri" w:cs="Calibri"/>
          <w:sz w:val="22"/>
          <w:szCs w:val="22"/>
          <w:shd w:val="clear" w:color="auto" w:fill="FFFFFF"/>
        </w:rPr>
        <w:lastRenderedPageBreak/>
        <w:t xml:space="preserve">Os valores registrados no </w:t>
      </w:r>
      <w:r>
        <w:rPr>
          <w:rFonts w:ascii="Calibri" w:hAnsi="Calibri" w:cs="Calibri"/>
          <w:sz w:val="22"/>
          <w:szCs w:val="22"/>
          <w:shd w:val="clear" w:color="auto" w:fill="FFFFFF"/>
        </w:rPr>
        <w:t>I</w:t>
      </w:r>
      <w:r w:rsidRPr="00B83E3B">
        <w:rPr>
          <w:rFonts w:ascii="Calibri" w:hAnsi="Calibri" w:cs="Calibri"/>
          <w:sz w:val="22"/>
          <w:szCs w:val="22"/>
          <w:shd w:val="clear" w:color="auto" w:fill="FFFFFF"/>
        </w:rPr>
        <w:t>ntangível referem-se aos bens e direitos incorpóreos destinados às atividades da entidade.</w:t>
      </w:r>
    </w:p>
    <w:p w14:paraId="03B68B23" w14:textId="5A04CC41" w:rsidR="00B83E3B" w:rsidRPr="00B83E3B" w:rsidRDefault="00B83E3B" w:rsidP="00A3162E">
      <w:pPr>
        <w:autoSpaceDE w:val="0"/>
        <w:autoSpaceDN w:val="0"/>
        <w:adjustRightInd w:val="0"/>
        <w:jc w:val="both"/>
        <w:rPr>
          <w:rFonts w:ascii="Calibri" w:hAnsi="Calibri" w:cs="Calibri"/>
          <w:sz w:val="22"/>
          <w:szCs w:val="22"/>
          <w:shd w:val="clear" w:color="auto" w:fill="FFFFFF"/>
        </w:rPr>
      </w:pPr>
      <w:r w:rsidRPr="00B83E3B">
        <w:rPr>
          <w:rFonts w:ascii="Calibri" w:hAnsi="Calibri" w:cs="Calibri"/>
          <w:sz w:val="22"/>
          <w:szCs w:val="22"/>
          <w:shd w:val="clear" w:color="auto" w:fill="FFFFFF"/>
        </w:rPr>
        <w:t xml:space="preserve">O saldo do intangível aumentou expressivamente devido à incorporação (aproximadamente R$ 110,5 milhões), sendo a maior parte do saldo advindo </w:t>
      </w:r>
      <w:r w:rsidR="00A3162E">
        <w:rPr>
          <w:rFonts w:ascii="Calibri" w:hAnsi="Calibri" w:cs="Calibri"/>
          <w:sz w:val="22"/>
          <w:szCs w:val="22"/>
          <w:shd w:val="clear" w:color="auto" w:fill="FFFFFF"/>
        </w:rPr>
        <w:t>dos saldos</w:t>
      </w:r>
      <w:r w:rsidRPr="00B83E3B">
        <w:rPr>
          <w:rFonts w:ascii="Calibri" w:hAnsi="Calibri" w:cs="Calibri"/>
          <w:sz w:val="22"/>
          <w:szCs w:val="22"/>
          <w:shd w:val="clear" w:color="auto" w:fill="FFFFFF"/>
        </w:rPr>
        <w:t xml:space="preserve"> da EPL. </w:t>
      </w:r>
      <w:r w:rsidR="00A3162E">
        <w:rPr>
          <w:rFonts w:ascii="Calibri" w:hAnsi="Calibri" w:cs="Calibri"/>
          <w:sz w:val="22"/>
          <w:szCs w:val="22"/>
          <w:shd w:val="clear" w:color="auto" w:fill="FFFFFF"/>
        </w:rPr>
        <w:t>Os</w:t>
      </w:r>
      <w:r w:rsidR="00A3162E" w:rsidRPr="00A3162E">
        <w:rPr>
          <w:rFonts w:ascii="Calibri" w:hAnsi="Calibri" w:cs="Calibri"/>
          <w:sz w:val="22"/>
          <w:szCs w:val="22"/>
          <w:shd w:val="clear" w:color="auto" w:fill="FFFFFF"/>
        </w:rPr>
        <w:t xml:space="preserve"> estudos e projetos, bem como </w:t>
      </w:r>
      <w:r w:rsidR="00A3162E">
        <w:rPr>
          <w:rFonts w:ascii="Calibri" w:hAnsi="Calibri" w:cs="Calibri"/>
          <w:sz w:val="22"/>
          <w:szCs w:val="22"/>
          <w:shd w:val="clear" w:color="auto" w:fill="FFFFFF"/>
        </w:rPr>
        <w:t>a</w:t>
      </w:r>
      <w:r w:rsidR="00A3162E" w:rsidRPr="00A3162E">
        <w:rPr>
          <w:rFonts w:ascii="Calibri" w:hAnsi="Calibri" w:cs="Calibri"/>
          <w:sz w:val="22"/>
          <w:szCs w:val="22"/>
          <w:shd w:val="clear" w:color="auto" w:fill="FFFFFF"/>
        </w:rPr>
        <w:t>s licenças ambientais disponíveis para cessão, são registrados em conformidade com o CPC 04 (R1) - Ativo Intangível, o qual preceitua que a amortização deve iniciar a partir do momento em que o ativo estiver disponível para uso, e cessar na data em que o ativo é classificado como mantido para venda.</w:t>
      </w:r>
      <w:r w:rsidR="00A3162E">
        <w:rPr>
          <w:rFonts w:ascii="SegoeUI" w:hAnsi="SegoeUI" w:cs="SegoeUI"/>
        </w:rPr>
        <w:t xml:space="preserve"> </w:t>
      </w:r>
      <w:r w:rsidRPr="00B83E3B">
        <w:rPr>
          <w:rFonts w:ascii="Calibri" w:hAnsi="Calibri" w:cs="Calibri"/>
          <w:sz w:val="22"/>
          <w:szCs w:val="22"/>
          <w:shd w:val="clear" w:color="auto" w:fill="FFFFFF"/>
        </w:rPr>
        <w:t xml:space="preserve">A Infra S.A. está avaliando a possibilidade de aplicação de outros pronunciamentos técnicos contábeis em relação ao registro dos referidos estudos e projetos. </w:t>
      </w:r>
    </w:p>
    <w:p w14:paraId="0D0471B8" w14:textId="77777777" w:rsidR="00B83E3B" w:rsidRPr="00B83E3B" w:rsidRDefault="00B83E3B" w:rsidP="00B83E3B">
      <w:pPr>
        <w:pStyle w:val="Textoembloco"/>
        <w:spacing w:after="120" w:line="240" w:lineRule="auto"/>
        <w:ind w:left="0" w:right="57"/>
        <w:rPr>
          <w:rFonts w:ascii="Calibri" w:hAnsi="Calibri" w:cs="Calibri"/>
          <w:sz w:val="22"/>
          <w:szCs w:val="22"/>
          <w:shd w:val="clear" w:color="auto" w:fill="FFFFFF"/>
        </w:rPr>
      </w:pPr>
      <w:r w:rsidRPr="00B83E3B">
        <w:rPr>
          <w:rFonts w:ascii="Calibri" w:hAnsi="Calibri" w:cs="Calibri"/>
          <w:sz w:val="22"/>
          <w:szCs w:val="22"/>
          <w:shd w:val="clear" w:color="auto" w:fill="FFFFFF"/>
        </w:rPr>
        <w:t xml:space="preserve">Dentre os estudos, e buscando a melhoria da infraestrutura e do acesso aos serviços básicos à população, destaca-se o valor de R$ 39,6 milhões do Acordo de Parceria nº 01/2019, celebrado entre a Infra S.A. e a </w:t>
      </w:r>
      <w:r w:rsidRPr="00A3162E">
        <w:rPr>
          <w:rFonts w:ascii="Calibri" w:hAnsi="Calibri" w:cs="Calibri"/>
          <w:i/>
          <w:iCs/>
          <w:sz w:val="22"/>
          <w:szCs w:val="22"/>
          <w:shd w:val="clear" w:color="auto" w:fill="FFFFFF"/>
        </w:rPr>
        <w:t>International Finance Corporation</w:t>
      </w:r>
      <w:r w:rsidRPr="00B83E3B">
        <w:rPr>
          <w:rFonts w:ascii="Calibri" w:hAnsi="Calibri" w:cs="Calibri"/>
          <w:sz w:val="22"/>
          <w:szCs w:val="22"/>
          <w:shd w:val="clear" w:color="auto" w:fill="FFFFFF"/>
        </w:rPr>
        <w:t xml:space="preserve"> – IFC. A IFC, membro do Grupo do Banco Mundial (</w:t>
      </w:r>
      <w:r w:rsidRPr="00A3162E">
        <w:rPr>
          <w:rFonts w:ascii="Calibri" w:hAnsi="Calibri" w:cs="Calibri"/>
          <w:i/>
          <w:iCs/>
          <w:sz w:val="22"/>
          <w:szCs w:val="22"/>
          <w:shd w:val="clear" w:color="auto" w:fill="FFFFFF"/>
        </w:rPr>
        <w:t>World Bank Group</w:t>
      </w:r>
      <w:r w:rsidRPr="00B83E3B">
        <w:rPr>
          <w:rFonts w:ascii="Calibri" w:hAnsi="Calibri" w:cs="Calibri"/>
          <w:sz w:val="22"/>
          <w:szCs w:val="22"/>
          <w:shd w:val="clear" w:color="auto" w:fill="FFFFFF"/>
        </w:rPr>
        <w:t>), é uma instituição financeira internacional com a qual o Brasil mantém parcerias e possui experiência comprovada nas áreas de concessão, privatização e reestruturação de sociedades e serviços públicos em vários setores, incluindo o setor de rodovias federais.</w:t>
      </w:r>
    </w:p>
    <w:p w14:paraId="7E8B5590" w14:textId="77777777" w:rsidR="00B83E3B" w:rsidRPr="00B83E3B" w:rsidRDefault="00B83E3B" w:rsidP="00B83E3B">
      <w:pPr>
        <w:pStyle w:val="Textoembloco"/>
        <w:spacing w:after="120" w:line="240" w:lineRule="auto"/>
        <w:ind w:left="0" w:right="57"/>
        <w:rPr>
          <w:rFonts w:ascii="Calibri" w:hAnsi="Calibri" w:cs="Calibri"/>
          <w:sz w:val="22"/>
          <w:szCs w:val="22"/>
          <w:shd w:val="clear" w:color="auto" w:fill="FFFFFF"/>
        </w:rPr>
      </w:pPr>
      <w:r w:rsidRPr="00B83E3B">
        <w:rPr>
          <w:rFonts w:ascii="Calibri" w:hAnsi="Calibri" w:cs="Calibri"/>
          <w:sz w:val="22"/>
          <w:szCs w:val="22"/>
          <w:shd w:val="clear" w:color="auto" w:fill="FFFFFF"/>
        </w:rPr>
        <w:t>O presente Acordo, cujo montante acordado é de R$ 62,6 milhões, tem por objeto a celebração de parceria para o planejamento e a estruturação de projetos de desestatização, os quais consistem em um programa de concessões comuns no setor rodoviário de titularidade da União Federal e do Estado do Paraná que serão delegadas à União. São aproximadamente 4 (quatro) mil quilômetros de rodovias, localizadas no âmbito do chamado "Anel de Integração", bem como outras rodovias adjacentes, que serão delegadas à iniciativa privada pela União ("Poder Concedente") por intermédio da Agência Nacional de Transportes Terrestres (ANTT).</w:t>
      </w:r>
    </w:p>
    <w:p w14:paraId="425E7E95" w14:textId="77777777" w:rsidR="00B83E3B" w:rsidRPr="00B83E3B" w:rsidRDefault="00B83E3B" w:rsidP="00B83E3B">
      <w:pPr>
        <w:pStyle w:val="Textoembloco"/>
        <w:spacing w:after="120" w:line="240" w:lineRule="auto"/>
        <w:ind w:left="0" w:right="57"/>
        <w:rPr>
          <w:rFonts w:ascii="Calibri" w:hAnsi="Calibri" w:cs="Calibri"/>
          <w:sz w:val="22"/>
          <w:szCs w:val="22"/>
          <w:shd w:val="clear" w:color="auto" w:fill="FFFFFF"/>
        </w:rPr>
      </w:pPr>
      <w:r w:rsidRPr="00B83E3B">
        <w:rPr>
          <w:rFonts w:ascii="Calibri" w:hAnsi="Calibri" w:cs="Calibri"/>
          <w:sz w:val="22"/>
          <w:szCs w:val="22"/>
          <w:shd w:val="clear" w:color="auto" w:fill="FFFFFF"/>
        </w:rPr>
        <w:t>O referido Acordo também visa o ressarcimento dos valores dispendidos pelos licitantes adjudicatários. Tal previsão consta na cláusula primeira, subitem 1.2, do mencionado Acordo: “os recursos necessários para implementação do Projeto serão suportados pelas Partes [...], sendo ressarcidos pelos licitantes adjudicatários”.</w:t>
      </w:r>
    </w:p>
    <w:p w14:paraId="3E2AEAFA" w14:textId="457ADDA1" w:rsidR="00B83E3B" w:rsidRPr="00B83E3B" w:rsidRDefault="00B83E3B" w:rsidP="00B83E3B">
      <w:pPr>
        <w:pStyle w:val="Textoembloco"/>
        <w:spacing w:after="120" w:line="240" w:lineRule="auto"/>
        <w:ind w:left="0" w:right="57"/>
        <w:rPr>
          <w:rFonts w:ascii="Calibri" w:hAnsi="Calibri" w:cs="Calibri"/>
          <w:sz w:val="22"/>
          <w:szCs w:val="22"/>
          <w:shd w:val="clear" w:color="auto" w:fill="FFFFFF"/>
        </w:rPr>
      </w:pPr>
      <w:r w:rsidRPr="00B83E3B">
        <w:rPr>
          <w:rFonts w:ascii="Calibri" w:hAnsi="Calibri" w:cs="Calibri"/>
          <w:sz w:val="22"/>
          <w:szCs w:val="22"/>
          <w:shd w:val="clear" w:color="auto" w:fill="FFFFFF"/>
        </w:rPr>
        <w:t xml:space="preserve">Em relação à taxa de amortização dos softwares, foi utilizado as estabelecidas pela RFB. Há também uma licença perpétua, a qual não sofre amortização nos termos do CPC 04 (R1) - Ativo Intangível. </w:t>
      </w:r>
    </w:p>
    <w:p w14:paraId="0F85524A" w14:textId="77777777" w:rsidR="00B83E3B" w:rsidRPr="00B83E3B" w:rsidRDefault="00B83E3B" w:rsidP="00B83E3B">
      <w:pPr>
        <w:pStyle w:val="Textoembloco"/>
        <w:spacing w:after="120" w:line="240" w:lineRule="auto"/>
        <w:ind w:left="0" w:right="57"/>
        <w:rPr>
          <w:rFonts w:ascii="Calibri" w:hAnsi="Calibri" w:cs="Calibri"/>
          <w:sz w:val="22"/>
          <w:szCs w:val="22"/>
          <w:shd w:val="clear" w:color="auto" w:fill="FFFFFF"/>
        </w:rPr>
      </w:pPr>
      <w:r w:rsidRPr="00B83E3B">
        <w:rPr>
          <w:rFonts w:ascii="Calibri" w:hAnsi="Calibri" w:cs="Calibri"/>
          <w:sz w:val="22"/>
          <w:szCs w:val="22"/>
          <w:shd w:val="clear" w:color="auto" w:fill="FFFFFF"/>
        </w:rPr>
        <w:t>Os Direitos de uso de Comunicação são direitos junto às empresas de telefonia que estão sendo reclamados pela Infra S.A.</w:t>
      </w:r>
    </w:p>
    <w:p w14:paraId="08B28FB7" w14:textId="77777777" w:rsidR="00B83E3B" w:rsidRPr="00B83E3B" w:rsidRDefault="00B83E3B" w:rsidP="00B83E3B">
      <w:pPr>
        <w:pStyle w:val="Textoembloco"/>
        <w:spacing w:after="120" w:line="240" w:lineRule="auto"/>
        <w:ind w:left="0" w:right="57"/>
        <w:rPr>
          <w:rFonts w:ascii="Calibri" w:hAnsi="Calibri" w:cs="Calibri"/>
          <w:sz w:val="22"/>
          <w:szCs w:val="22"/>
          <w:shd w:val="clear" w:color="auto" w:fill="FFFFFF"/>
        </w:rPr>
      </w:pPr>
      <w:r w:rsidRPr="00B83E3B">
        <w:rPr>
          <w:rFonts w:ascii="Calibri" w:hAnsi="Calibri" w:cs="Calibri"/>
          <w:sz w:val="22"/>
          <w:szCs w:val="22"/>
          <w:shd w:val="clear" w:color="auto" w:fill="FFFFFF"/>
        </w:rPr>
        <w:t xml:space="preserve">Anualmente, é realizado o inventário dos intangíveis da Infra S.A. e testado sua servibilidade. Os intangíveis que se apresentarem como inservíveis são doados ou baixados do sistema patrimonial bem como da contabilidade. </w:t>
      </w:r>
    </w:p>
    <w:bookmarkEnd w:id="8"/>
    <w:p w14:paraId="3834F103" w14:textId="38A98AE2" w:rsidR="009E7936" w:rsidRDefault="00D22F5E" w:rsidP="00937ED9">
      <w:pPr>
        <w:pStyle w:val="Ttulo4"/>
        <w:tabs>
          <w:tab w:val="left" w:pos="0"/>
        </w:tabs>
        <w:spacing w:after="120" w:line="240" w:lineRule="auto"/>
        <w:rPr>
          <w:rFonts w:ascii="Calibri" w:hAnsi="Calibri" w:cs="Calibri"/>
          <w:bCs w:val="0"/>
          <w:sz w:val="22"/>
          <w:szCs w:val="22"/>
        </w:rPr>
      </w:pPr>
      <w:r w:rsidRPr="002E2B5B">
        <w:rPr>
          <w:rFonts w:ascii="Calibri" w:hAnsi="Calibri" w:cs="Calibri"/>
          <w:bCs w:val="0"/>
          <w:sz w:val="22"/>
          <w:szCs w:val="22"/>
        </w:rPr>
        <w:t>NOTA 1</w:t>
      </w:r>
      <w:r w:rsidR="00882740">
        <w:rPr>
          <w:rFonts w:ascii="Calibri" w:hAnsi="Calibri" w:cs="Calibri"/>
          <w:bCs w:val="0"/>
          <w:sz w:val="22"/>
          <w:szCs w:val="22"/>
        </w:rPr>
        <w:t>1</w:t>
      </w:r>
      <w:r w:rsidR="00462791" w:rsidRPr="002E2B5B">
        <w:rPr>
          <w:rFonts w:ascii="Calibri" w:hAnsi="Calibri" w:cs="Calibri"/>
          <w:bCs w:val="0"/>
          <w:sz w:val="22"/>
          <w:szCs w:val="22"/>
        </w:rPr>
        <w:t xml:space="preserve"> - </w:t>
      </w:r>
      <w:r w:rsidR="0052342E" w:rsidRPr="002E2B5B">
        <w:rPr>
          <w:rFonts w:ascii="Calibri" w:hAnsi="Calibri" w:cs="Calibri"/>
          <w:bCs w:val="0"/>
          <w:sz w:val="22"/>
          <w:szCs w:val="22"/>
        </w:rPr>
        <w:t xml:space="preserve">COMPROMISSOS A </w:t>
      </w:r>
      <w:r w:rsidR="00C82443" w:rsidRPr="002E2B5B">
        <w:rPr>
          <w:rFonts w:ascii="Calibri" w:hAnsi="Calibri" w:cs="Calibri"/>
          <w:bCs w:val="0"/>
          <w:sz w:val="22"/>
          <w:szCs w:val="22"/>
        </w:rPr>
        <w:t>CURTO</w:t>
      </w:r>
      <w:r w:rsidR="0052342E" w:rsidRPr="002E2B5B">
        <w:rPr>
          <w:rFonts w:ascii="Calibri" w:hAnsi="Calibri" w:cs="Calibri"/>
          <w:bCs w:val="0"/>
          <w:sz w:val="22"/>
          <w:szCs w:val="22"/>
        </w:rPr>
        <w:t xml:space="preserve"> PRAZO </w:t>
      </w:r>
    </w:p>
    <w:p w14:paraId="620EC732" w14:textId="2044A9D0" w:rsidR="00CE2B17" w:rsidRDefault="003F2E5C" w:rsidP="00937ED9">
      <w:pPr>
        <w:numPr>
          <w:ilvl w:val="0"/>
          <w:numId w:val="2"/>
        </w:numPr>
        <w:spacing w:after="120"/>
        <w:ind w:left="284" w:hanging="284"/>
        <w:rPr>
          <w:rFonts w:ascii="Calibri" w:hAnsi="Calibri" w:cs="Calibri"/>
          <w:b/>
          <w:sz w:val="22"/>
          <w:szCs w:val="22"/>
        </w:rPr>
      </w:pPr>
      <w:r w:rsidRPr="002E2B5B">
        <w:rPr>
          <w:rFonts w:ascii="Calibri" w:hAnsi="Calibri" w:cs="Calibri"/>
          <w:b/>
          <w:sz w:val="22"/>
          <w:szCs w:val="22"/>
        </w:rPr>
        <w:t>Fornecedores</w:t>
      </w:r>
    </w:p>
    <w:tbl>
      <w:tblPr>
        <w:tblW w:w="5000" w:type="pct"/>
        <w:tblCellMar>
          <w:left w:w="70" w:type="dxa"/>
          <w:right w:w="70" w:type="dxa"/>
        </w:tblCellMar>
        <w:tblLook w:val="04A0" w:firstRow="1" w:lastRow="0" w:firstColumn="1" w:lastColumn="0" w:noHBand="0" w:noVBand="1"/>
      </w:tblPr>
      <w:tblGrid>
        <w:gridCol w:w="4257"/>
        <w:gridCol w:w="611"/>
        <w:gridCol w:w="611"/>
        <w:gridCol w:w="1666"/>
        <w:gridCol w:w="1666"/>
        <w:gridCol w:w="1656"/>
      </w:tblGrid>
      <w:tr w:rsidR="009D23D9" w:rsidRPr="002E2B5B" w14:paraId="02065A15" w14:textId="77777777" w:rsidTr="00282F12">
        <w:trPr>
          <w:trHeight w:hRule="exact" w:val="227"/>
        </w:trPr>
        <w:tc>
          <w:tcPr>
            <w:tcW w:w="2616" w:type="pct"/>
            <w:gridSpan w:val="3"/>
            <w:tcBorders>
              <w:top w:val="nil"/>
              <w:left w:val="nil"/>
              <w:bottom w:val="single" w:sz="8" w:space="0" w:color="auto"/>
              <w:right w:val="nil"/>
            </w:tcBorders>
            <w:shd w:val="clear" w:color="auto" w:fill="auto"/>
            <w:noWrap/>
            <w:vAlign w:val="center"/>
            <w:hideMark/>
          </w:tcPr>
          <w:p w14:paraId="5830F613" w14:textId="77777777" w:rsidR="009D23D9" w:rsidRPr="002E2B5B" w:rsidRDefault="009D23D9"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FORNECEDORES </w:t>
            </w:r>
          </w:p>
        </w:tc>
        <w:tc>
          <w:tcPr>
            <w:tcW w:w="796" w:type="pct"/>
            <w:tcBorders>
              <w:top w:val="nil"/>
              <w:left w:val="nil"/>
              <w:bottom w:val="single" w:sz="8" w:space="0" w:color="auto"/>
              <w:right w:val="nil"/>
            </w:tcBorders>
            <w:shd w:val="clear" w:color="auto" w:fill="auto"/>
            <w:noWrap/>
            <w:vAlign w:val="center"/>
          </w:tcPr>
          <w:p w14:paraId="695D1AA1" w14:textId="77777777" w:rsidR="009D23D9" w:rsidRPr="002E2B5B" w:rsidRDefault="009D23D9" w:rsidP="00937ED9">
            <w:pPr>
              <w:spacing w:after="120"/>
              <w:jc w:val="right"/>
              <w:rPr>
                <w:rFonts w:ascii="Calibri" w:hAnsi="Calibri" w:cs="Calibri"/>
                <w:b/>
                <w:bCs/>
                <w:color w:val="000000"/>
                <w:sz w:val="16"/>
                <w:szCs w:val="16"/>
              </w:rPr>
            </w:pPr>
          </w:p>
        </w:tc>
        <w:tc>
          <w:tcPr>
            <w:tcW w:w="796" w:type="pct"/>
            <w:tcBorders>
              <w:top w:val="nil"/>
              <w:left w:val="nil"/>
              <w:bottom w:val="single" w:sz="8" w:space="0" w:color="auto"/>
              <w:right w:val="nil"/>
            </w:tcBorders>
            <w:shd w:val="clear" w:color="auto" w:fill="auto"/>
            <w:noWrap/>
            <w:vAlign w:val="center"/>
            <w:hideMark/>
          </w:tcPr>
          <w:p w14:paraId="33D389A0" w14:textId="77F524F7" w:rsidR="009D23D9" w:rsidRPr="002E2B5B" w:rsidRDefault="003B60A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2B4EE5">
              <w:rPr>
                <w:rFonts w:ascii="Calibri" w:hAnsi="Calibri" w:cs="Calibri"/>
                <w:b/>
                <w:bCs/>
                <w:color w:val="000000"/>
                <w:sz w:val="16"/>
                <w:szCs w:val="16"/>
              </w:rPr>
              <w:t>0</w:t>
            </w:r>
            <w:r>
              <w:rPr>
                <w:rFonts w:ascii="Calibri" w:hAnsi="Calibri" w:cs="Calibri"/>
                <w:b/>
                <w:bCs/>
                <w:color w:val="000000"/>
                <w:sz w:val="16"/>
                <w:szCs w:val="16"/>
              </w:rPr>
              <w:t>/</w:t>
            </w:r>
            <w:r w:rsidR="00282F12">
              <w:rPr>
                <w:rFonts w:ascii="Calibri" w:hAnsi="Calibri" w:cs="Calibri"/>
                <w:b/>
                <w:bCs/>
                <w:color w:val="000000"/>
                <w:sz w:val="16"/>
                <w:szCs w:val="16"/>
              </w:rPr>
              <w:t>0</w:t>
            </w:r>
            <w:r w:rsidR="00882740">
              <w:rPr>
                <w:rFonts w:ascii="Calibri" w:hAnsi="Calibri" w:cs="Calibri"/>
                <w:b/>
                <w:bCs/>
                <w:color w:val="000000"/>
                <w:sz w:val="16"/>
                <w:szCs w:val="16"/>
              </w:rPr>
              <w:t>9</w:t>
            </w:r>
            <w:r>
              <w:rPr>
                <w:rFonts w:ascii="Calibri" w:hAnsi="Calibri" w:cs="Calibri"/>
                <w:b/>
                <w:bCs/>
                <w:color w:val="000000"/>
                <w:sz w:val="16"/>
                <w:szCs w:val="16"/>
              </w:rPr>
              <w:t>/202</w:t>
            </w:r>
            <w:r w:rsidR="00282F12">
              <w:rPr>
                <w:rFonts w:ascii="Calibri" w:hAnsi="Calibri" w:cs="Calibri"/>
                <w:b/>
                <w:bCs/>
                <w:color w:val="000000"/>
                <w:sz w:val="16"/>
                <w:szCs w:val="16"/>
              </w:rPr>
              <w:t>2</w:t>
            </w:r>
          </w:p>
        </w:tc>
        <w:tc>
          <w:tcPr>
            <w:tcW w:w="792" w:type="pct"/>
            <w:tcBorders>
              <w:top w:val="nil"/>
              <w:left w:val="nil"/>
              <w:bottom w:val="single" w:sz="8" w:space="0" w:color="auto"/>
              <w:right w:val="nil"/>
            </w:tcBorders>
            <w:shd w:val="clear" w:color="auto" w:fill="auto"/>
            <w:noWrap/>
            <w:vAlign w:val="center"/>
            <w:hideMark/>
          </w:tcPr>
          <w:p w14:paraId="5553919F" w14:textId="2837E2D5" w:rsidR="009D23D9" w:rsidRPr="002E2B5B" w:rsidRDefault="009D23D9"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B63CA3">
              <w:rPr>
                <w:rFonts w:ascii="Calibri" w:hAnsi="Calibri" w:cs="Calibri"/>
                <w:b/>
                <w:bCs/>
                <w:color w:val="000000"/>
                <w:sz w:val="16"/>
                <w:szCs w:val="16"/>
              </w:rPr>
              <w:t>2</w:t>
            </w:r>
            <w:r w:rsidR="00282F12">
              <w:rPr>
                <w:rFonts w:ascii="Calibri" w:hAnsi="Calibri" w:cs="Calibri"/>
                <w:b/>
                <w:bCs/>
                <w:color w:val="000000"/>
                <w:sz w:val="16"/>
                <w:szCs w:val="16"/>
              </w:rPr>
              <w:t>1</w:t>
            </w:r>
          </w:p>
        </w:tc>
      </w:tr>
      <w:tr w:rsidR="00282F12" w:rsidRPr="002E2B5B" w14:paraId="5A1815AA" w14:textId="77777777" w:rsidTr="00282F12">
        <w:trPr>
          <w:trHeight w:hRule="exact" w:val="227"/>
        </w:trPr>
        <w:tc>
          <w:tcPr>
            <w:tcW w:w="2616" w:type="pct"/>
            <w:gridSpan w:val="3"/>
            <w:tcBorders>
              <w:top w:val="single" w:sz="8" w:space="0" w:color="auto"/>
              <w:left w:val="nil"/>
              <w:bottom w:val="nil"/>
              <w:right w:val="nil"/>
            </w:tcBorders>
            <w:shd w:val="clear" w:color="auto" w:fill="auto"/>
            <w:noWrap/>
            <w:vAlign w:val="center"/>
            <w:hideMark/>
          </w:tcPr>
          <w:p w14:paraId="48BA7886"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xml:space="preserve"> Saldo anterior</w:t>
            </w:r>
          </w:p>
        </w:tc>
        <w:tc>
          <w:tcPr>
            <w:tcW w:w="796" w:type="pct"/>
            <w:tcBorders>
              <w:top w:val="nil"/>
              <w:left w:val="nil"/>
              <w:bottom w:val="nil"/>
              <w:right w:val="nil"/>
            </w:tcBorders>
            <w:shd w:val="clear" w:color="auto" w:fill="auto"/>
            <w:noWrap/>
            <w:vAlign w:val="center"/>
          </w:tcPr>
          <w:p w14:paraId="34AE7C8E" w14:textId="77777777" w:rsidR="00282F12" w:rsidRPr="002E2B5B" w:rsidRDefault="00282F12" w:rsidP="00282F12">
            <w:pPr>
              <w:spacing w:after="120"/>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24ED3632" w14:textId="064F4A3D" w:rsidR="00282F12" w:rsidRPr="002E2B5B" w:rsidRDefault="00282F12" w:rsidP="00282F12">
            <w:pPr>
              <w:spacing w:after="120"/>
              <w:jc w:val="right"/>
              <w:rPr>
                <w:rFonts w:ascii="Calibri" w:hAnsi="Calibri" w:cs="Calibri"/>
                <w:color w:val="000000"/>
                <w:sz w:val="16"/>
                <w:szCs w:val="16"/>
              </w:rPr>
            </w:pPr>
            <w:r w:rsidRPr="00282F12">
              <w:rPr>
                <w:rFonts w:ascii="Calibri" w:hAnsi="Calibri" w:cs="Calibri"/>
                <w:color w:val="000000"/>
                <w:sz w:val="16"/>
                <w:szCs w:val="16"/>
              </w:rPr>
              <w:t>35.830</w:t>
            </w:r>
          </w:p>
        </w:tc>
        <w:tc>
          <w:tcPr>
            <w:tcW w:w="792" w:type="pct"/>
            <w:tcBorders>
              <w:top w:val="nil"/>
              <w:left w:val="nil"/>
              <w:bottom w:val="nil"/>
              <w:right w:val="nil"/>
            </w:tcBorders>
            <w:shd w:val="clear" w:color="auto" w:fill="auto"/>
            <w:noWrap/>
            <w:vAlign w:val="center"/>
            <w:hideMark/>
          </w:tcPr>
          <w:p w14:paraId="3B44D124" w14:textId="4ACC28D0" w:rsidR="00282F12" w:rsidRPr="002E2B5B" w:rsidRDefault="00282F12" w:rsidP="00282F12">
            <w:pPr>
              <w:spacing w:after="120"/>
              <w:jc w:val="right"/>
              <w:rPr>
                <w:rFonts w:ascii="Calibri" w:hAnsi="Calibri" w:cs="Calibri"/>
                <w:color w:val="000000"/>
                <w:sz w:val="16"/>
                <w:szCs w:val="16"/>
              </w:rPr>
            </w:pPr>
            <w:r>
              <w:rPr>
                <w:rFonts w:ascii="Calibri" w:hAnsi="Calibri" w:cs="Calibri"/>
                <w:color w:val="000000"/>
                <w:sz w:val="16"/>
                <w:szCs w:val="16"/>
              </w:rPr>
              <w:t>0</w:t>
            </w:r>
          </w:p>
        </w:tc>
      </w:tr>
      <w:tr w:rsidR="00282F12" w:rsidRPr="002E2B5B" w14:paraId="0C13925B" w14:textId="77777777" w:rsidTr="00282F12">
        <w:trPr>
          <w:trHeight w:hRule="exact" w:val="227"/>
        </w:trPr>
        <w:tc>
          <w:tcPr>
            <w:tcW w:w="2616" w:type="pct"/>
            <w:gridSpan w:val="3"/>
            <w:tcBorders>
              <w:top w:val="nil"/>
              <w:left w:val="nil"/>
              <w:bottom w:val="nil"/>
              <w:right w:val="nil"/>
            </w:tcBorders>
            <w:shd w:val="clear" w:color="auto" w:fill="auto"/>
            <w:noWrap/>
            <w:vAlign w:val="center"/>
            <w:hideMark/>
          </w:tcPr>
          <w:p w14:paraId="6903EE73"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xml:space="preserve"> Reconhecimento de obrigações</w:t>
            </w:r>
          </w:p>
        </w:tc>
        <w:tc>
          <w:tcPr>
            <w:tcW w:w="796" w:type="pct"/>
            <w:tcBorders>
              <w:top w:val="nil"/>
              <w:left w:val="nil"/>
              <w:bottom w:val="nil"/>
              <w:right w:val="nil"/>
            </w:tcBorders>
            <w:shd w:val="clear" w:color="auto" w:fill="auto"/>
            <w:noWrap/>
            <w:vAlign w:val="center"/>
          </w:tcPr>
          <w:p w14:paraId="56DFADDC" w14:textId="77777777" w:rsidR="00282F12" w:rsidRPr="002E2B5B" w:rsidRDefault="00282F12" w:rsidP="00282F12">
            <w:pPr>
              <w:spacing w:after="120"/>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hideMark/>
          </w:tcPr>
          <w:p w14:paraId="5E1DA2F8" w14:textId="69CEFEB7" w:rsidR="00282F12" w:rsidRPr="002E2B5B" w:rsidRDefault="00882740" w:rsidP="00282F12">
            <w:pPr>
              <w:spacing w:after="120"/>
              <w:jc w:val="right"/>
              <w:rPr>
                <w:rFonts w:ascii="Calibri" w:hAnsi="Calibri" w:cs="Calibri"/>
                <w:color w:val="000000"/>
                <w:sz w:val="16"/>
                <w:szCs w:val="16"/>
              </w:rPr>
            </w:pPr>
            <w:r>
              <w:rPr>
                <w:rFonts w:ascii="Calibri" w:hAnsi="Calibri" w:cs="Calibri"/>
                <w:color w:val="000000"/>
                <w:sz w:val="16"/>
                <w:szCs w:val="16"/>
              </w:rPr>
              <w:t>240.179.300</w:t>
            </w:r>
          </w:p>
        </w:tc>
        <w:tc>
          <w:tcPr>
            <w:tcW w:w="792" w:type="pct"/>
            <w:tcBorders>
              <w:top w:val="nil"/>
              <w:left w:val="nil"/>
              <w:bottom w:val="nil"/>
              <w:right w:val="nil"/>
            </w:tcBorders>
            <w:shd w:val="clear" w:color="auto" w:fill="auto"/>
            <w:noWrap/>
            <w:vAlign w:val="center"/>
            <w:hideMark/>
          </w:tcPr>
          <w:p w14:paraId="3201D9F6" w14:textId="4E21804C" w:rsidR="00282F12" w:rsidRPr="002E2B5B" w:rsidRDefault="00282F12" w:rsidP="00282F12">
            <w:pPr>
              <w:spacing w:after="120"/>
              <w:jc w:val="right"/>
              <w:rPr>
                <w:rFonts w:ascii="Calibri" w:hAnsi="Calibri" w:cs="Calibri"/>
                <w:color w:val="000000"/>
                <w:sz w:val="16"/>
                <w:szCs w:val="16"/>
              </w:rPr>
            </w:pPr>
            <w:r>
              <w:rPr>
                <w:rFonts w:ascii="Calibri" w:hAnsi="Calibri" w:cs="Calibri"/>
                <w:color w:val="000000"/>
                <w:sz w:val="16"/>
                <w:szCs w:val="16"/>
              </w:rPr>
              <w:t>413.795.941</w:t>
            </w:r>
          </w:p>
        </w:tc>
      </w:tr>
      <w:tr w:rsidR="00882740" w:rsidRPr="002E2B5B" w14:paraId="79B97B57" w14:textId="77777777" w:rsidTr="00282F12">
        <w:trPr>
          <w:trHeight w:hRule="exact" w:val="227"/>
        </w:trPr>
        <w:tc>
          <w:tcPr>
            <w:tcW w:w="2616" w:type="pct"/>
            <w:gridSpan w:val="3"/>
            <w:tcBorders>
              <w:top w:val="nil"/>
              <w:left w:val="nil"/>
              <w:bottom w:val="nil"/>
              <w:right w:val="nil"/>
            </w:tcBorders>
            <w:shd w:val="clear" w:color="auto" w:fill="auto"/>
            <w:noWrap/>
            <w:vAlign w:val="center"/>
          </w:tcPr>
          <w:p w14:paraId="6463C658" w14:textId="6BD8E7D8" w:rsidR="00882740" w:rsidRPr="002E2B5B" w:rsidRDefault="00882740" w:rsidP="00282F12">
            <w:pPr>
              <w:spacing w:after="120"/>
              <w:rPr>
                <w:rFonts w:ascii="Calibri" w:hAnsi="Calibri" w:cs="Calibri"/>
                <w:color w:val="000000"/>
                <w:sz w:val="16"/>
                <w:szCs w:val="16"/>
              </w:rPr>
            </w:pPr>
            <w:r>
              <w:rPr>
                <w:rFonts w:ascii="Calibri" w:hAnsi="Calibri" w:cs="Calibri"/>
                <w:color w:val="000000"/>
                <w:sz w:val="16"/>
                <w:szCs w:val="16"/>
              </w:rPr>
              <w:t xml:space="preserve"> Obrigações advindas da incorporação da EPL</w:t>
            </w:r>
          </w:p>
        </w:tc>
        <w:tc>
          <w:tcPr>
            <w:tcW w:w="796" w:type="pct"/>
            <w:tcBorders>
              <w:top w:val="nil"/>
              <w:left w:val="nil"/>
              <w:bottom w:val="nil"/>
              <w:right w:val="nil"/>
            </w:tcBorders>
            <w:shd w:val="clear" w:color="auto" w:fill="auto"/>
            <w:noWrap/>
            <w:vAlign w:val="center"/>
          </w:tcPr>
          <w:p w14:paraId="62BD15A1" w14:textId="77777777" w:rsidR="00882740" w:rsidRPr="002E2B5B" w:rsidRDefault="00882740" w:rsidP="00282F12">
            <w:pPr>
              <w:spacing w:after="120"/>
              <w:jc w:val="right"/>
              <w:rPr>
                <w:rFonts w:ascii="Calibri" w:hAnsi="Calibri" w:cs="Calibri"/>
                <w:color w:val="000000"/>
                <w:sz w:val="16"/>
                <w:szCs w:val="16"/>
              </w:rPr>
            </w:pPr>
          </w:p>
        </w:tc>
        <w:tc>
          <w:tcPr>
            <w:tcW w:w="796" w:type="pct"/>
            <w:tcBorders>
              <w:top w:val="nil"/>
              <w:left w:val="nil"/>
              <w:bottom w:val="nil"/>
              <w:right w:val="nil"/>
            </w:tcBorders>
            <w:shd w:val="clear" w:color="auto" w:fill="auto"/>
            <w:noWrap/>
            <w:vAlign w:val="center"/>
          </w:tcPr>
          <w:p w14:paraId="0AF39E67" w14:textId="1B8DADD9" w:rsidR="00882740" w:rsidRDefault="00882740" w:rsidP="00282F12">
            <w:pPr>
              <w:spacing w:after="120"/>
              <w:jc w:val="right"/>
              <w:rPr>
                <w:rFonts w:ascii="Calibri" w:hAnsi="Calibri" w:cs="Calibri"/>
                <w:color w:val="000000"/>
                <w:sz w:val="16"/>
                <w:szCs w:val="16"/>
              </w:rPr>
            </w:pPr>
            <w:r>
              <w:rPr>
                <w:rFonts w:ascii="Calibri" w:hAnsi="Calibri" w:cs="Calibri"/>
                <w:color w:val="000000"/>
                <w:sz w:val="16"/>
                <w:szCs w:val="16"/>
              </w:rPr>
              <w:t>10.468</w:t>
            </w:r>
          </w:p>
        </w:tc>
        <w:tc>
          <w:tcPr>
            <w:tcW w:w="792" w:type="pct"/>
            <w:tcBorders>
              <w:top w:val="nil"/>
              <w:left w:val="nil"/>
              <w:bottom w:val="nil"/>
              <w:right w:val="nil"/>
            </w:tcBorders>
            <w:shd w:val="clear" w:color="auto" w:fill="auto"/>
            <w:noWrap/>
            <w:vAlign w:val="center"/>
          </w:tcPr>
          <w:p w14:paraId="3F1091E3" w14:textId="77777777" w:rsidR="00882740" w:rsidRDefault="00882740" w:rsidP="00282F12">
            <w:pPr>
              <w:spacing w:after="120"/>
              <w:jc w:val="right"/>
              <w:rPr>
                <w:rFonts w:ascii="Calibri" w:hAnsi="Calibri" w:cs="Calibri"/>
                <w:color w:val="000000"/>
                <w:sz w:val="16"/>
                <w:szCs w:val="16"/>
              </w:rPr>
            </w:pPr>
          </w:p>
        </w:tc>
      </w:tr>
      <w:tr w:rsidR="00282F12" w:rsidRPr="002E2B5B" w14:paraId="58331C79" w14:textId="77777777" w:rsidTr="00282F12">
        <w:trPr>
          <w:trHeight w:hRule="exact" w:val="227"/>
        </w:trPr>
        <w:tc>
          <w:tcPr>
            <w:tcW w:w="2616" w:type="pct"/>
            <w:gridSpan w:val="3"/>
            <w:tcBorders>
              <w:top w:val="nil"/>
              <w:left w:val="nil"/>
              <w:bottom w:val="single" w:sz="4" w:space="0" w:color="auto"/>
              <w:right w:val="nil"/>
            </w:tcBorders>
            <w:shd w:val="clear" w:color="auto" w:fill="auto"/>
            <w:noWrap/>
            <w:vAlign w:val="center"/>
            <w:hideMark/>
          </w:tcPr>
          <w:p w14:paraId="65E25452"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xml:space="preserve"> Pagamento de fornecedores</w:t>
            </w:r>
          </w:p>
        </w:tc>
        <w:tc>
          <w:tcPr>
            <w:tcW w:w="796" w:type="pct"/>
            <w:tcBorders>
              <w:top w:val="nil"/>
              <w:left w:val="nil"/>
              <w:bottom w:val="single" w:sz="4" w:space="0" w:color="auto"/>
              <w:right w:val="nil"/>
            </w:tcBorders>
            <w:shd w:val="clear" w:color="auto" w:fill="auto"/>
            <w:noWrap/>
            <w:vAlign w:val="center"/>
          </w:tcPr>
          <w:p w14:paraId="36C9AE86" w14:textId="77777777" w:rsidR="00282F12" w:rsidRPr="002E2B5B" w:rsidRDefault="00282F12" w:rsidP="00282F12">
            <w:pPr>
              <w:spacing w:after="120"/>
              <w:jc w:val="right"/>
              <w:rPr>
                <w:rFonts w:ascii="Calibri" w:hAnsi="Calibri" w:cs="Calibri"/>
                <w:color w:val="000000"/>
                <w:sz w:val="16"/>
                <w:szCs w:val="16"/>
              </w:rPr>
            </w:pPr>
          </w:p>
        </w:tc>
        <w:tc>
          <w:tcPr>
            <w:tcW w:w="796" w:type="pct"/>
            <w:tcBorders>
              <w:top w:val="nil"/>
              <w:left w:val="nil"/>
              <w:bottom w:val="single" w:sz="4" w:space="0" w:color="auto"/>
              <w:right w:val="nil"/>
            </w:tcBorders>
            <w:shd w:val="clear" w:color="auto" w:fill="auto"/>
            <w:noWrap/>
            <w:vAlign w:val="center"/>
            <w:hideMark/>
          </w:tcPr>
          <w:p w14:paraId="72391142" w14:textId="5F8C1AF5" w:rsidR="00282F12" w:rsidRPr="002E2B5B" w:rsidRDefault="00282F12" w:rsidP="00282F12">
            <w:pPr>
              <w:spacing w:after="120"/>
              <w:jc w:val="right"/>
              <w:rPr>
                <w:rFonts w:ascii="Calibri" w:hAnsi="Calibri" w:cs="Calibri"/>
                <w:color w:val="000000"/>
                <w:sz w:val="16"/>
                <w:szCs w:val="16"/>
              </w:rPr>
            </w:pPr>
            <w:r w:rsidRPr="002E2B5B">
              <w:rPr>
                <w:rFonts w:ascii="Calibri" w:hAnsi="Calibri" w:cs="Calibri"/>
                <w:color w:val="000000"/>
                <w:sz w:val="16"/>
                <w:szCs w:val="16"/>
              </w:rPr>
              <w:t>(</w:t>
            </w:r>
            <w:r w:rsidR="00882740">
              <w:rPr>
                <w:rFonts w:ascii="Calibri" w:hAnsi="Calibri" w:cs="Calibri"/>
                <w:color w:val="000000"/>
                <w:sz w:val="16"/>
                <w:szCs w:val="16"/>
              </w:rPr>
              <w:t>240.165.006</w:t>
            </w:r>
            <w:r w:rsidRPr="002E2B5B">
              <w:rPr>
                <w:rFonts w:ascii="Calibri" w:hAnsi="Calibri" w:cs="Calibri"/>
                <w:color w:val="000000"/>
                <w:sz w:val="16"/>
                <w:szCs w:val="16"/>
              </w:rPr>
              <w:t>)</w:t>
            </w:r>
          </w:p>
        </w:tc>
        <w:tc>
          <w:tcPr>
            <w:tcW w:w="792" w:type="pct"/>
            <w:tcBorders>
              <w:top w:val="nil"/>
              <w:left w:val="nil"/>
              <w:bottom w:val="single" w:sz="4" w:space="0" w:color="auto"/>
              <w:right w:val="nil"/>
            </w:tcBorders>
            <w:shd w:val="clear" w:color="auto" w:fill="auto"/>
            <w:noWrap/>
            <w:vAlign w:val="center"/>
            <w:hideMark/>
          </w:tcPr>
          <w:p w14:paraId="1258153A" w14:textId="209C6CE2" w:rsidR="00282F12" w:rsidRPr="002E2B5B" w:rsidRDefault="00282F12" w:rsidP="00282F12">
            <w:pPr>
              <w:spacing w:after="120"/>
              <w:jc w:val="right"/>
              <w:rPr>
                <w:rFonts w:ascii="Calibri" w:hAnsi="Calibri" w:cs="Calibri"/>
                <w:color w:val="000000"/>
                <w:sz w:val="16"/>
                <w:szCs w:val="16"/>
              </w:rPr>
            </w:pPr>
            <w:r w:rsidRPr="002E2B5B">
              <w:rPr>
                <w:rFonts w:ascii="Calibri" w:hAnsi="Calibri" w:cs="Calibri"/>
                <w:color w:val="000000"/>
                <w:sz w:val="16"/>
                <w:szCs w:val="16"/>
              </w:rPr>
              <w:t>(</w:t>
            </w:r>
            <w:r>
              <w:rPr>
                <w:rFonts w:ascii="Calibri" w:hAnsi="Calibri" w:cs="Calibri"/>
                <w:color w:val="000000"/>
                <w:sz w:val="16"/>
                <w:szCs w:val="16"/>
              </w:rPr>
              <w:t>413.760.111</w:t>
            </w:r>
            <w:r w:rsidRPr="002E2B5B">
              <w:rPr>
                <w:rFonts w:ascii="Calibri" w:hAnsi="Calibri" w:cs="Calibri"/>
                <w:color w:val="000000"/>
                <w:sz w:val="16"/>
                <w:szCs w:val="16"/>
              </w:rPr>
              <w:t>)</w:t>
            </w:r>
          </w:p>
        </w:tc>
      </w:tr>
      <w:tr w:rsidR="00282F12" w:rsidRPr="002E2B5B" w14:paraId="2D65B965" w14:textId="77777777" w:rsidTr="00282F12">
        <w:trPr>
          <w:trHeight w:hRule="exact" w:val="227"/>
        </w:trPr>
        <w:tc>
          <w:tcPr>
            <w:tcW w:w="2033" w:type="pct"/>
            <w:tcBorders>
              <w:top w:val="single" w:sz="4" w:space="0" w:color="auto"/>
              <w:left w:val="nil"/>
              <w:bottom w:val="single" w:sz="8" w:space="0" w:color="auto"/>
              <w:right w:val="nil"/>
            </w:tcBorders>
            <w:shd w:val="clear" w:color="auto" w:fill="auto"/>
            <w:noWrap/>
            <w:vAlign w:val="center"/>
            <w:hideMark/>
          </w:tcPr>
          <w:p w14:paraId="2A69B5D6" w14:textId="77777777" w:rsidR="00282F12" w:rsidRPr="002E2B5B" w:rsidRDefault="00282F12" w:rsidP="00282F12">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 TOTAL </w:t>
            </w:r>
          </w:p>
        </w:tc>
        <w:tc>
          <w:tcPr>
            <w:tcW w:w="292" w:type="pct"/>
            <w:tcBorders>
              <w:top w:val="single" w:sz="4" w:space="0" w:color="auto"/>
              <w:left w:val="nil"/>
              <w:bottom w:val="single" w:sz="8" w:space="0" w:color="auto"/>
              <w:right w:val="nil"/>
            </w:tcBorders>
            <w:shd w:val="clear" w:color="auto" w:fill="auto"/>
            <w:noWrap/>
            <w:vAlign w:val="center"/>
            <w:hideMark/>
          </w:tcPr>
          <w:p w14:paraId="347192A8"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92" w:type="pct"/>
            <w:tcBorders>
              <w:top w:val="single" w:sz="4" w:space="0" w:color="auto"/>
              <w:left w:val="nil"/>
              <w:bottom w:val="single" w:sz="8" w:space="0" w:color="auto"/>
              <w:right w:val="nil"/>
            </w:tcBorders>
            <w:shd w:val="clear" w:color="auto" w:fill="auto"/>
            <w:noWrap/>
            <w:vAlign w:val="center"/>
            <w:hideMark/>
          </w:tcPr>
          <w:p w14:paraId="04140E8D" w14:textId="77777777" w:rsidR="00282F12" w:rsidRPr="002E2B5B" w:rsidRDefault="00282F12" w:rsidP="00282F12">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796" w:type="pct"/>
            <w:tcBorders>
              <w:top w:val="single" w:sz="4" w:space="0" w:color="auto"/>
              <w:left w:val="nil"/>
              <w:bottom w:val="single" w:sz="8" w:space="0" w:color="auto"/>
              <w:right w:val="nil"/>
            </w:tcBorders>
            <w:shd w:val="clear" w:color="auto" w:fill="auto"/>
            <w:noWrap/>
            <w:vAlign w:val="center"/>
          </w:tcPr>
          <w:p w14:paraId="107EF0B2" w14:textId="77777777" w:rsidR="00282F12" w:rsidRPr="002E2B5B" w:rsidRDefault="00282F12" w:rsidP="00282F12">
            <w:pPr>
              <w:spacing w:after="120"/>
              <w:jc w:val="right"/>
              <w:rPr>
                <w:rFonts w:ascii="Calibri" w:hAnsi="Calibri" w:cs="Calibri"/>
                <w:b/>
                <w:bCs/>
                <w:color w:val="000000"/>
                <w:sz w:val="16"/>
                <w:szCs w:val="16"/>
              </w:rPr>
            </w:pPr>
          </w:p>
        </w:tc>
        <w:tc>
          <w:tcPr>
            <w:tcW w:w="796" w:type="pct"/>
            <w:tcBorders>
              <w:top w:val="single" w:sz="4" w:space="0" w:color="auto"/>
              <w:left w:val="nil"/>
              <w:bottom w:val="single" w:sz="8" w:space="0" w:color="auto"/>
              <w:right w:val="nil"/>
            </w:tcBorders>
            <w:shd w:val="clear" w:color="auto" w:fill="auto"/>
            <w:noWrap/>
            <w:vAlign w:val="center"/>
            <w:hideMark/>
          </w:tcPr>
          <w:p w14:paraId="70E49C5A" w14:textId="45D88DEB" w:rsidR="00282F12" w:rsidRPr="002E2B5B" w:rsidRDefault="003E3786" w:rsidP="00282F12">
            <w:pPr>
              <w:spacing w:after="120"/>
              <w:jc w:val="right"/>
              <w:rPr>
                <w:rFonts w:ascii="Calibri" w:hAnsi="Calibri" w:cs="Calibri"/>
                <w:b/>
                <w:bCs/>
                <w:color w:val="000000"/>
                <w:sz w:val="16"/>
                <w:szCs w:val="16"/>
              </w:rPr>
            </w:pPr>
            <w:r>
              <w:rPr>
                <w:rFonts w:ascii="Calibri" w:hAnsi="Calibri" w:cs="Calibri"/>
                <w:b/>
                <w:bCs/>
                <w:color w:val="000000"/>
                <w:sz w:val="16"/>
                <w:szCs w:val="16"/>
              </w:rPr>
              <w:t>6</w:t>
            </w:r>
            <w:r w:rsidR="00882740">
              <w:rPr>
                <w:rFonts w:ascii="Calibri" w:hAnsi="Calibri" w:cs="Calibri"/>
                <w:b/>
                <w:bCs/>
                <w:color w:val="000000"/>
                <w:sz w:val="16"/>
                <w:szCs w:val="16"/>
              </w:rPr>
              <w:t>0</w:t>
            </w:r>
            <w:r>
              <w:rPr>
                <w:rFonts w:ascii="Calibri" w:hAnsi="Calibri" w:cs="Calibri"/>
                <w:b/>
                <w:bCs/>
                <w:color w:val="000000"/>
                <w:sz w:val="16"/>
                <w:szCs w:val="16"/>
              </w:rPr>
              <w:t>.</w:t>
            </w:r>
            <w:r w:rsidR="00882740">
              <w:rPr>
                <w:rFonts w:ascii="Calibri" w:hAnsi="Calibri" w:cs="Calibri"/>
                <w:b/>
                <w:bCs/>
                <w:color w:val="000000"/>
                <w:sz w:val="16"/>
                <w:szCs w:val="16"/>
              </w:rPr>
              <w:t>592</w:t>
            </w:r>
          </w:p>
        </w:tc>
        <w:tc>
          <w:tcPr>
            <w:tcW w:w="792" w:type="pct"/>
            <w:tcBorders>
              <w:top w:val="single" w:sz="4" w:space="0" w:color="auto"/>
              <w:left w:val="nil"/>
              <w:bottom w:val="single" w:sz="8" w:space="0" w:color="auto"/>
              <w:right w:val="nil"/>
            </w:tcBorders>
            <w:shd w:val="clear" w:color="auto" w:fill="auto"/>
            <w:noWrap/>
            <w:vAlign w:val="center"/>
            <w:hideMark/>
          </w:tcPr>
          <w:p w14:paraId="0D4F11AC" w14:textId="2A5B351F" w:rsidR="00282F12" w:rsidRPr="002E2B5B" w:rsidRDefault="00282F12" w:rsidP="00282F12">
            <w:pPr>
              <w:spacing w:after="120"/>
              <w:jc w:val="right"/>
              <w:rPr>
                <w:rFonts w:ascii="Calibri" w:hAnsi="Calibri" w:cs="Calibri"/>
                <w:b/>
                <w:bCs/>
                <w:color w:val="000000"/>
                <w:sz w:val="16"/>
                <w:szCs w:val="16"/>
              </w:rPr>
            </w:pPr>
            <w:r>
              <w:rPr>
                <w:rFonts w:ascii="Calibri" w:hAnsi="Calibri" w:cs="Calibri"/>
                <w:b/>
                <w:bCs/>
                <w:color w:val="000000"/>
                <w:sz w:val="16"/>
                <w:szCs w:val="16"/>
              </w:rPr>
              <w:t>35.830</w:t>
            </w:r>
          </w:p>
        </w:tc>
      </w:tr>
    </w:tbl>
    <w:p w14:paraId="5E1C0320" w14:textId="41980952" w:rsidR="00E54177" w:rsidRPr="002E2B5B" w:rsidRDefault="00CE2B17"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O saldo da conta de “Fornecedores” compreende as obrigações com prestadores de serviços e fornecedores de materiais à </w:t>
      </w:r>
      <w:r w:rsidR="00E11BEF">
        <w:rPr>
          <w:rFonts w:ascii="Calibri" w:hAnsi="Calibri" w:cs="Calibri"/>
          <w:sz w:val="22"/>
          <w:szCs w:val="22"/>
          <w:shd w:val="clear" w:color="auto" w:fill="FFFFFF"/>
        </w:rPr>
        <w:t>Infra</w:t>
      </w:r>
      <w:r w:rsidR="00882740">
        <w:rPr>
          <w:rFonts w:ascii="Calibri" w:hAnsi="Calibri" w:cs="Calibri"/>
          <w:sz w:val="22"/>
          <w:szCs w:val="22"/>
          <w:shd w:val="clear" w:color="auto" w:fill="FFFFFF"/>
        </w:rPr>
        <w:t xml:space="preserve"> S.A.</w:t>
      </w:r>
    </w:p>
    <w:p w14:paraId="081E95A7" w14:textId="113736E7" w:rsidR="00B02B62" w:rsidRPr="00AE620A" w:rsidRDefault="00887773" w:rsidP="00937ED9">
      <w:pPr>
        <w:numPr>
          <w:ilvl w:val="0"/>
          <w:numId w:val="2"/>
        </w:numPr>
        <w:spacing w:after="120"/>
        <w:ind w:left="284" w:hanging="284"/>
        <w:jc w:val="both"/>
        <w:rPr>
          <w:rFonts w:ascii="Calibri" w:hAnsi="Calibri" w:cs="Calibri"/>
          <w:b/>
          <w:sz w:val="22"/>
          <w:szCs w:val="22"/>
        </w:rPr>
      </w:pPr>
      <w:bookmarkStart w:id="9" w:name="_Hlk119683631"/>
      <w:r>
        <w:rPr>
          <w:rFonts w:ascii="Calibri" w:hAnsi="Calibri" w:cs="Calibri"/>
          <w:b/>
          <w:sz w:val="22"/>
          <w:szCs w:val="22"/>
        </w:rPr>
        <w:t>Obrigações com pessoal</w:t>
      </w:r>
    </w:p>
    <w:tbl>
      <w:tblPr>
        <w:tblW w:w="5000" w:type="pct"/>
        <w:tblCellMar>
          <w:left w:w="70" w:type="dxa"/>
          <w:right w:w="70" w:type="dxa"/>
        </w:tblCellMar>
        <w:tblLook w:val="04A0" w:firstRow="1" w:lastRow="0" w:firstColumn="1" w:lastColumn="0" w:noHBand="0" w:noVBand="1"/>
      </w:tblPr>
      <w:tblGrid>
        <w:gridCol w:w="3837"/>
        <w:gridCol w:w="473"/>
        <w:gridCol w:w="473"/>
        <w:gridCol w:w="1365"/>
        <w:gridCol w:w="1457"/>
        <w:gridCol w:w="1457"/>
        <w:gridCol w:w="1405"/>
      </w:tblGrid>
      <w:tr w:rsidR="00B628E5" w:rsidRPr="002E2B5B" w14:paraId="734D82D7" w14:textId="77777777" w:rsidTr="00C34E8D">
        <w:trPr>
          <w:trHeight w:hRule="exact" w:val="227"/>
        </w:trPr>
        <w:tc>
          <w:tcPr>
            <w:tcW w:w="2285" w:type="pct"/>
            <w:gridSpan w:val="3"/>
            <w:tcBorders>
              <w:top w:val="single" w:sz="8" w:space="0" w:color="auto"/>
              <w:left w:val="nil"/>
              <w:bottom w:val="single" w:sz="8" w:space="0" w:color="auto"/>
              <w:right w:val="nil"/>
            </w:tcBorders>
            <w:shd w:val="clear" w:color="auto" w:fill="auto"/>
            <w:noWrap/>
            <w:vAlign w:val="center"/>
            <w:hideMark/>
          </w:tcPr>
          <w:p w14:paraId="185FCAAA" w14:textId="3541D13E" w:rsidR="00B628E5" w:rsidRPr="002E2B5B" w:rsidRDefault="00887773" w:rsidP="00937ED9">
            <w:pPr>
              <w:spacing w:after="120"/>
              <w:rPr>
                <w:rFonts w:ascii="Calibri" w:hAnsi="Calibri" w:cs="Calibri"/>
                <w:b/>
                <w:bCs/>
                <w:color w:val="000000"/>
                <w:sz w:val="16"/>
                <w:szCs w:val="16"/>
              </w:rPr>
            </w:pPr>
            <w:r>
              <w:rPr>
                <w:rFonts w:ascii="Calibri" w:hAnsi="Calibri" w:cs="Calibri"/>
                <w:b/>
                <w:bCs/>
                <w:color w:val="000000"/>
                <w:sz w:val="16"/>
                <w:szCs w:val="16"/>
              </w:rPr>
              <w:t>Obrigações com pessoal</w:t>
            </w:r>
          </w:p>
        </w:tc>
        <w:tc>
          <w:tcPr>
            <w:tcW w:w="652" w:type="pct"/>
            <w:tcBorders>
              <w:top w:val="single" w:sz="8" w:space="0" w:color="auto"/>
              <w:left w:val="nil"/>
              <w:bottom w:val="single" w:sz="8" w:space="0" w:color="auto"/>
              <w:right w:val="nil"/>
            </w:tcBorders>
            <w:shd w:val="clear" w:color="auto" w:fill="auto"/>
            <w:vAlign w:val="center"/>
            <w:hideMark/>
          </w:tcPr>
          <w:p w14:paraId="2DEE8891" w14:textId="77777777" w:rsidR="00B628E5" w:rsidRPr="002E2B5B" w:rsidRDefault="00B628E5"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single" w:sz="8" w:space="0" w:color="auto"/>
              <w:left w:val="nil"/>
              <w:bottom w:val="single" w:sz="8" w:space="0" w:color="auto"/>
              <w:right w:val="nil"/>
            </w:tcBorders>
            <w:shd w:val="clear" w:color="auto" w:fill="auto"/>
            <w:noWrap/>
            <w:vAlign w:val="center"/>
          </w:tcPr>
          <w:p w14:paraId="32F9EDFB" w14:textId="77777777" w:rsidR="00B628E5" w:rsidRPr="002E2B5B" w:rsidRDefault="00B628E5" w:rsidP="00937ED9">
            <w:pPr>
              <w:spacing w:after="120"/>
              <w:jc w:val="right"/>
              <w:rPr>
                <w:rFonts w:ascii="Calibri" w:hAnsi="Calibri" w:cs="Calibri"/>
                <w:b/>
                <w:bCs/>
                <w:color w:val="000000"/>
                <w:sz w:val="16"/>
                <w:szCs w:val="16"/>
              </w:rPr>
            </w:pPr>
          </w:p>
        </w:tc>
        <w:tc>
          <w:tcPr>
            <w:tcW w:w="696" w:type="pct"/>
            <w:tcBorders>
              <w:top w:val="single" w:sz="8" w:space="0" w:color="auto"/>
              <w:left w:val="nil"/>
              <w:bottom w:val="single" w:sz="8" w:space="0" w:color="auto"/>
              <w:right w:val="nil"/>
            </w:tcBorders>
            <w:shd w:val="clear" w:color="auto" w:fill="auto"/>
            <w:noWrap/>
            <w:vAlign w:val="center"/>
            <w:hideMark/>
          </w:tcPr>
          <w:p w14:paraId="392B7EB7" w14:textId="13806290" w:rsidR="00B628E5" w:rsidRPr="002E2B5B" w:rsidRDefault="003B60A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3E3786">
              <w:rPr>
                <w:rFonts w:ascii="Calibri" w:hAnsi="Calibri" w:cs="Calibri"/>
                <w:b/>
                <w:bCs/>
                <w:color w:val="000000"/>
                <w:sz w:val="16"/>
                <w:szCs w:val="16"/>
              </w:rPr>
              <w:t>0</w:t>
            </w:r>
            <w:r>
              <w:rPr>
                <w:rFonts w:ascii="Calibri" w:hAnsi="Calibri" w:cs="Calibri"/>
                <w:b/>
                <w:bCs/>
                <w:color w:val="000000"/>
                <w:sz w:val="16"/>
                <w:szCs w:val="16"/>
              </w:rPr>
              <w:t>/</w:t>
            </w:r>
            <w:r w:rsidR="00282F12">
              <w:rPr>
                <w:rFonts w:ascii="Calibri" w:hAnsi="Calibri" w:cs="Calibri"/>
                <w:b/>
                <w:bCs/>
                <w:color w:val="000000"/>
                <w:sz w:val="16"/>
                <w:szCs w:val="16"/>
              </w:rPr>
              <w:t>0</w:t>
            </w:r>
            <w:r w:rsidR="00887773">
              <w:rPr>
                <w:rFonts w:ascii="Calibri" w:hAnsi="Calibri" w:cs="Calibri"/>
                <w:b/>
                <w:bCs/>
                <w:color w:val="000000"/>
                <w:sz w:val="16"/>
                <w:szCs w:val="16"/>
              </w:rPr>
              <w:t>9</w:t>
            </w:r>
            <w:r>
              <w:rPr>
                <w:rFonts w:ascii="Calibri" w:hAnsi="Calibri" w:cs="Calibri"/>
                <w:b/>
                <w:bCs/>
                <w:color w:val="000000"/>
                <w:sz w:val="16"/>
                <w:szCs w:val="16"/>
              </w:rPr>
              <w:t>/202</w:t>
            </w:r>
            <w:r w:rsidR="00282F12">
              <w:rPr>
                <w:rFonts w:ascii="Calibri" w:hAnsi="Calibri" w:cs="Calibri"/>
                <w:b/>
                <w:bCs/>
                <w:color w:val="000000"/>
                <w:sz w:val="16"/>
                <w:szCs w:val="16"/>
              </w:rPr>
              <w:t>2</w:t>
            </w:r>
          </w:p>
        </w:tc>
        <w:tc>
          <w:tcPr>
            <w:tcW w:w="671" w:type="pct"/>
            <w:tcBorders>
              <w:top w:val="single" w:sz="8" w:space="0" w:color="auto"/>
              <w:left w:val="nil"/>
              <w:bottom w:val="single" w:sz="8" w:space="0" w:color="auto"/>
              <w:right w:val="nil"/>
            </w:tcBorders>
            <w:shd w:val="clear" w:color="auto" w:fill="auto"/>
            <w:noWrap/>
            <w:vAlign w:val="center"/>
            <w:hideMark/>
          </w:tcPr>
          <w:p w14:paraId="54A905BA" w14:textId="46D3D1A4" w:rsidR="00B628E5" w:rsidRPr="002E2B5B" w:rsidRDefault="00B628E5"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31/12/20</w:t>
            </w:r>
            <w:r w:rsidR="009750C8">
              <w:rPr>
                <w:rFonts w:ascii="Calibri" w:hAnsi="Calibri" w:cs="Calibri"/>
                <w:b/>
                <w:bCs/>
                <w:color w:val="000000"/>
                <w:sz w:val="16"/>
                <w:szCs w:val="16"/>
              </w:rPr>
              <w:t>2</w:t>
            </w:r>
            <w:r w:rsidR="00282F12">
              <w:rPr>
                <w:rFonts w:ascii="Calibri" w:hAnsi="Calibri" w:cs="Calibri"/>
                <w:b/>
                <w:bCs/>
                <w:color w:val="000000"/>
                <w:sz w:val="16"/>
                <w:szCs w:val="16"/>
              </w:rPr>
              <w:t>1</w:t>
            </w:r>
          </w:p>
        </w:tc>
      </w:tr>
      <w:tr w:rsidR="00887773" w:rsidRPr="002E2B5B" w14:paraId="618D9975" w14:textId="77777777" w:rsidTr="007D40EC">
        <w:trPr>
          <w:trHeight w:hRule="exact" w:val="227"/>
        </w:trPr>
        <w:tc>
          <w:tcPr>
            <w:tcW w:w="1833" w:type="pct"/>
            <w:tcBorders>
              <w:top w:val="nil"/>
              <w:left w:val="nil"/>
              <w:bottom w:val="nil"/>
              <w:right w:val="nil"/>
            </w:tcBorders>
            <w:shd w:val="clear" w:color="auto" w:fill="auto"/>
            <w:noWrap/>
            <w:vAlign w:val="center"/>
            <w:hideMark/>
          </w:tcPr>
          <w:p w14:paraId="7FA15CE0" w14:textId="2CF8B9F5" w:rsidR="00887773" w:rsidRPr="002E2B5B" w:rsidRDefault="00887773" w:rsidP="00887773">
            <w:pPr>
              <w:spacing w:after="120"/>
              <w:rPr>
                <w:rFonts w:ascii="Calibri" w:hAnsi="Calibri" w:cs="Calibri"/>
                <w:color w:val="000000"/>
                <w:sz w:val="16"/>
                <w:szCs w:val="16"/>
              </w:rPr>
            </w:pPr>
            <w:r>
              <w:rPr>
                <w:rFonts w:ascii="Calibri" w:hAnsi="Calibri" w:cs="Calibri"/>
                <w:color w:val="000000"/>
                <w:sz w:val="16"/>
                <w:szCs w:val="16"/>
                <w:lang w:eastAsia="en-US"/>
              </w:rPr>
              <w:t xml:space="preserve">13º salários e férias c/encargos a pagar </w:t>
            </w:r>
          </w:p>
        </w:tc>
        <w:tc>
          <w:tcPr>
            <w:tcW w:w="226" w:type="pct"/>
            <w:tcBorders>
              <w:top w:val="nil"/>
              <w:left w:val="nil"/>
              <w:bottom w:val="nil"/>
              <w:right w:val="nil"/>
            </w:tcBorders>
            <w:shd w:val="clear" w:color="auto" w:fill="auto"/>
            <w:noWrap/>
            <w:vAlign w:val="center"/>
            <w:hideMark/>
          </w:tcPr>
          <w:p w14:paraId="6C74F76E" w14:textId="77777777" w:rsidR="00887773" w:rsidRPr="002E2B5B" w:rsidRDefault="00887773" w:rsidP="00887773">
            <w:pPr>
              <w:spacing w:after="120"/>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5E45331E" w14:textId="77777777" w:rsidR="00887773" w:rsidRPr="002E2B5B" w:rsidRDefault="00887773" w:rsidP="00887773">
            <w:pPr>
              <w:spacing w:after="120"/>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1FC6DEFE" w14:textId="77777777" w:rsidR="00887773" w:rsidRPr="002E2B5B" w:rsidRDefault="00887773" w:rsidP="00887773">
            <w:pPr>
              <w:spacing w:after="120"/>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2B6568A0" w14:textId="77777777" w:rsidR="00887773" w:rsidRPr="002E2B5B" w:rsidRDefault="00887773" w:rsidP="00887773">
            <w:pPr>
              <w:spacing w:after="120"/>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hideMark/>
          </w:tcPr>
          <w:p w14:paraId="6C6B9E5C" w14:textId="7087FBE4" w:rsidR="00887773" w:rsidRPr="002E2B5B" w:rsidRDefault="00887773" w:rsidP="00887773">
            <w:pPr>
              <w:spacing w:after="120"/>
              <w:jc w:val="right"/>
              <w:rPr>
                <w:rFonts w:ascii="Calibri" w:hAnsi="Calibri" w:cs="Calibri"/>
                <w:color w:val="000000"/>
                <w:sz w:val="16"/>
                <w:szCs w:val="16"/>
              </w:rPr>
            </w:pPr>
            <w:r>
              <w:rPr>
                <w:rFonts w:ascii="Calibri" w:hAnsi="Calibri" w:cs="Calibri"/>
                <w:color w:val="000000"/>
                <w:sz w:val="16"/>
                <w:szCs w:val="16"/>
                <w:lang w:eastAsia="en-US"/>
              </w:rPr>
              <w:t xml:space="preserve"> 20.707.961 </w:t>
            </w:r>
          </w:p>
        </w:tc>
        <w:tc>
          <w:tcPr>
            <w:tcW w:w="671" w:type="pct"/>
            <w:tcBorders>
              <w:top w:val="nil"/>
              <w:left w:val="nil"/>
              <w:bottom w:val="nil"/>
              <w:right w:val="nil"/>
            </w:tcBorders>
            <w:shd w:val="clear" w:color="auto" w:fill="auto"/>
            <w:noWrap/>
            <w:hideMark/>
          </w:tcPr>
          <w:p w14:paraId="77A72043" w14:textId="198606ED" w:rsidR="00887773" w:rsidRPr="002E2B5B" w:rsidRDefault="00887773" w:rsidP="00887773">
            <w:pPr>
              <w:spacing w:after="120"/>
              <w:jc w:val="right"/>
              <w:rPr>
                <w:rFonts w:ascii="Calibri" w:hAnsi="Calibri" w:cs="Calibri"/>
                <w:color w:val="000000"/>
                <w:sz w:val="16"/>
                <w:szCs w:val="16"/>
              </w:rPr>
            </w:pPr>
            <w:r>
              <w:rPr>
                <w:rFonts w:ascii="Calibri" w:hAnsi="Calibri" w:cs="Calibri"/>
                <w:color w:val="000000"/>
                <w:sz w:val="16"/>
                <w:szCs w:val="16"/>
                <w:lang w:eastAsia="en-US"/>
              </w:rPr>
              <w:t xml:space="preserve"> 11.475.065 </w:t>
            </w:r>
          </w:p>
        </w:tc>
      </w:tr>
      <w:tr w:rsidR="00887773" w:rsidRPr="002E2B5B" w14:paraId="75F79A9E" w14:textId="77777777" w:rsidTr="007D40EC">
        <w:trPr>
          <w:trHeight w:hRule="exact" w:val="227"/>
        </w:trPr>
        <w:tc>
          <w:tcPr>
            <w:tcW w:w="1833" w:type="pct"/>
            <w:tcBorders>
              <w:top w:val="nil"/>
              <w:left w:val="nil"/>
              <w:bottom w:val="nil"/>
              <w:right w:val="nil"/>
            </w:tcBorders>
            <w:shd w:val="clear" w:color="auto" w:fill="auto"/>
            <w:noWrap/>
            <w:vAlign w:val="center"/>
            <w:hideMark/>
          </w:tcPr>
          <w:p w14:paraId="104505BB" w14:textId="4B33C642" w:rsidR="00887773" w:rsidRPr="002E2B5B" w:rsidRDefault="00887773" w:rsidP="00887773">
            <w:pPr>
              <w:spacing w:after="120"/>
              <w:rPr>
                <w:rFonts w:ascii="Calibri" w:hAnsi="Calibri" w:cs="Calibri"/>
                <w:color w:val="000000"/>
                <w:sz w:val="16"/>
                <w:szCs w:val="16"/>
              </w:rPr>
            </w:pPr>
            <w:r>
              <w:rPr>
                <w:rFonts w:ascii="Calibri" w:hAnsi="Calibri" w:cs="Calibri"/>
                <w:color w:val="000000"/>
                <w:sz w:val="16"/>
                <w:szCs w:val="16"/>
                <w:lang w:eastAsia="en-US"/>
              </w:rPr>
              <w:t>Salários e encargos a pagar</w:t>
            </w:r>
          </w:p>
        </w:tc>
        <w:tc>
          <w:tcPr>
            <w:tcW w:w="226" w:type="pct"/>
            <w:tcBorders>
              <w:top w:val="nil"/>
              <w:left w:val="nil"/>
              <w:bottom w:val="nil"/>
              <w:right w:val="nil"/>
            </w:tcBorders>
            <w:shd w:val="clear" w:color="auto" w:fill="auto"/>
            <w:noWrap/>
            <w:vAlign w:val="center"/>
            <w:hideMark/>
          </w:tcPr>
          <w:p w14:paraId="42F9A3CF" w14:textId="77777777" w:rsidR="00887773" w:rsidRPr="002E2B5B" w:rsidRDefault="00887773" w:rsidP="00887773">
            <w:pPr>
              <w:spacing w:after="120"/>
              <w:rPr>
                <w:rFonts w:ascii="Calibri" w:hAnsi="Calibri" w:cs="Calibri"/>
                <w:color w:val="000000"/>
                <w:sz w:val="16"/>
                <w:szCs w:val="16"/>
              </w:rPr>
            </w:pPr>
          </w:p>
        </w:tc>
        <w:tc>
          <w:tcPr>
            <w:tcW w:w="226" w:type="pct"/>
            <w:tcBorders>
              <w:top w:val="nil"/>
              <w:left w:val="nil"/>
              <w:bottom w:val="nil"/>
              <w:right w:val="nil"/>
            </w:tcBorders>
            <w:shd w:val="clear" w:color="auto" w:fill="auto"/>
            <w:noWrap/>
            <w:vAlign w:val="center"/>
            <w:hideMark/>
          </w:tcPr>
          <w:p w14:paraId="7E0E23F9" w14:textId="77777777" w:rsidR="00887773" w:rsidRPr="002E2B5B" w:rsidRDefault="00887773" w:rsidP="00887773">
            <w:pPr>
              <w:spacing w:after="120"/>
              <w:rPr>
                <w:rFonts w:ascii="Calibri" w:hAnsi="Calibri" w:cs="Calibri"/>
                <w:sz w:val="16"/>
                <w:szCs w:val="16"/>
              </w:rPr>
            </w:pPr>
          </w:p>
        </w:tc>
        <w:tc>
          <w:tcPr>
            <w:tcW w:w="652" w:type="pct"/>
            <w:tcBorders>
              <w:top w:val="nil"/>
              <w:left w:val="nil"/>
              <w:bottom w:val="nil"/>
              <w:right w:val="nil"/>
            </w:tcBorders>
            <w:shd w:val="clear" w:color="auto" w:fill="auto"/>
            <w:vAlign w:val="center"/>
            <w:hideMark/>
          </w:tcPr>
          <w:p w14:paraId="7F86F73F" w14:textId="77777777" w:rsidR="00887773" w:rsidRPr="002E2B5B" w:rsidRDefault="00887773" w:rsidP="00887773">
            <w:pPr>
              <w:spacing w:after="120"/>
              <w:rPr>
                <w:rFonts w:ascii="Calibri" w:hAnsi="Calibri" w:cs="Calibri"/>
                <w:sz w:val="16"/>
                <w:szCs w:val="16"/>
              </w:rPr>
            </w:pPr>
          </w:p>
        </w:tc>
        <w:tc>
          <w:tcPr>
            <w:tcW w:w="696" w:type="pct"/>
            <w:tcBorders>
              <w:top w:val="nil"/>
              <w:left w:val="nil"/>
              <w:bottom w:val="nil"/>
              <w:right w:val="nil"/>
            </w:tcBorders>
            <w:shd w:val="clear" w:color="auto" w:fill="auto"/>
            <w:noWrap/>
            <w:vAlign w:val="center"/>
          </w:tcPr>
          <w:p w14:paraId="77C82C63" w14:textId="77777777" w:rsidR="00887773" w:rsidRPr="002E2B5B" w:rsidRDefault="00887773" w:rsidP="00887773">
            <w:pPr>
              <w:spacing w:after="120"/>
              <w:jc w:val="right"/>
              <w:rPr>
                <w:rFonts w:ascii="Calibri" w:hAnsi="Calibri" w:cs="Calibri"/>
                <w:color w:val="000000"/>
                <w:sz w:val="16"/>
                <w:szCs w:val="16"/>
              </w:rPr>
            </w:pPr>
          </w:p>
        </w:tc>
        <w:tc>
          <w:tcPr>
            <w:tcW w:w="696" w:type="pct"/>
            <w:tcBorders>
              <w:top w:val="nil"/>
              <w:left w:val="nil"/>
              <w:bottom w:val="nil"/>
              <w:right w:val="nil"/>
            </w:tcBorders>
            <w:shd w:val="clear" w:color="auto" w:fill="auto"/>
            <w:noWrap/>
            <w:hideMark/>
          </w:tcPr>
          <w:p w14:paraId="555BBF95" w14:textId="7C333E47" w:rsidR="00887773" w:rsidRPr="002E2B5B" w:rsidRDefault="00887773" w:rsidP="00887773">
            <w:pPr>
              <w:spacing w:after="120"/>
              <w:jc w:val="right"/>
              <w:rPr>
                <w:rFonts w:ascii="Calibri" w:hAnsi="Calibri" w:cs="Calibri"/>
                <w:color w:val="000000"/>
                <w:sz w:val="16"/>
                <w:szCs w:val="16"/>
              </w:rPr>
            </w:pPr>
            <w:r>
              <w:rPr>
                <w:rFonts w:ascii="Calibri" w:hAnsi="Calibri" w:cs="Calibri"/>
                <w:color w:val="000000"/>
                <w:sz w:val="16"/>
                <w:szCs w:val="16"/>
                <w:lang w:eastAsia="en-US"/>
              </w:rPr>
              <w:t xml:space="preserve"> 6.135.339 </w:t>
            </w:r>
          </w:p>
        </w:tc>
        <w:tc>
          <w:tcPr>
            <w:tcW w:w="671" w:type="pct"/>
            <w:tcBorders>
              <w:top w:val="nil"/>
              <w:left w:val="nil"/>
              <w:bottom w:val="nil"/>
              <w:right w:val="nil"/>
            </w:tcBorders>
            <w:shd w:val="clear" w:color="auto" w:fill="auto"/>
            <w:noWrap/>
            <w:hideMark/>
          </w:tcPr>
          <w:p w14:paraId="3BD1AD71" w14:textId="1DDDA305" w:rsidR="00887773" w:rsidRPr="002E2B5B" w:rsidRDefault="00887773" w:rsidP="00887773">
            <w:pPr>
              <w:spacing w:after="120"/>
              <w:jc w:val="right"/>
              <w:rPr>
                <w:rFonts w:ascii="Calibri" w:hAnsi="Calibri" w:cs="Calibri"/>
                <w:color w:val="000000"/>
                <w:sz w:val="16"/>
                <w:szCs w:val="16"/>
              </w:rPr>
            </w:pPr>
            <w:r>
              <w:rPr>
                <w:rFonts w:ascii="Calibri" w:hAnsi="Calibri" w:cs="Calibri"/>
                <w:color w:val="000000"/>
                <w:sz w:val="16"/>
                <w:szCs w:val="16"/>
                <w:lang w:eastAsia="en-US"/>
              </w:rPr>
              <w:t xml:space="preserve"> 8.581.521 </w:t>
            </w:r>
          </w:p>
        </w:tc>
      </w:tr>
      <w:tr w:rsidR="00887773" w:rsidRPr="002E2B5B" w14:paraId="36D7B286" w14:textId="77777777" w:rsidTr="007D40EC">
        <w:trPr>
          <w:trHeight w:hRule="exact" w:val="227"/>
        </w:trPr>
        <w:tc>
          <w:tcPr>
            <w:tcW w:w="1833" w:type="pct"/>
            <w:tcBorders>
              <w:top w:val="nil"/>
              <w:left w:val="nil"/>
              <w:right w:val="nil"/>
            </w:tcBorders>
            <w:shd w:val="clear" w:color="auto" w:fill="auto"/>
            <w:noWrap/>
            <w:vAlign w:val="center"/>
            <w:hideMark/>
          </w:tcPr>
          <w:p w14:paraId="36F3A60C" w14:textId="5045EEA0" w:rsidR="00887773" w:rsidRPr="002E2B5B" w:rsidRDefault="00887773" w:rsidP="00887773">
            <w:pPr>
              <w:spacing w:after="120"/>
              <w:rPr>
                <w:rFonts w:ascii="Calibri" w:hAnsi="Calibri" w:cs="Calibri"/>
                <w:color w:val="000000"/>
                <w:sz w:val="16"/>
                <w:szCs w:val="16"/>
              </w:rPr>
            </w:pPr>
            <w:r>
              <w:rPr>
                <w:rFonts w:ascii="Calibri" w:hAnsi="Calibri" w:cs="Calibri"/>
                <w:color w:val="000000"/>
                <w:sz w:val="16"/>
                <w:szCs w:val="16"/>
                <w:lang w:eastAsia="en-US"/>
              </w:rPr>
              <w:t>Retenções sobre salários a pagar</w:t>
            </w:r>
          </w:p>
        </w:tc>
        <w:tc>
          <w:tcPr>
            <w:tcW w:w="226" w:type="pct"/>
            <w:tcBorders>
              <w:top w:val="nil"/>
              <w:left w:val="nil"/>
              <w:right w:val="nil"/>
            </w:tcBorders>
            <w:shd w:val="clear" w:color="auto" w:fill="auto"/>
            <w:noWrap/>
            <w:vAlign w:val="center"/>
            <w:hideMark/>
          </w:tcPr>
          <w:p w14:paraId="3C35DD92" w14:textId="77777777" w:rsidR="00887773" w:rsidRPr="002E2B5B" w:rsidRDefault="00887773" w:rsidP="00887773">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nil"/>
              <w:left w:val="nil"/>
              <w:right w:val="nil"/>
            </w:tcBorders>
            <w:shd w:val="clear" w:color="auto" w:fill="auto"/>
            <w:noWrap/>
            <w:vAlign w:val="center"/>
            <w:hideMark/>
          </w:tcPr>
          <w:p w14:paraId="79820141" w14:textId="77777777" w:rsidR="00887773" w:rsidRPr="002E2B5B" w:rsidRDefault="00887773" w:rsidP="00887773">
            <w:pPr>
              <w:spacing w:after="120"/>
              <w:rPr>
                <w:rFonts w:ascii="Calibri" w:hAnsi="Calibri" w:cs="Calibri"/>
                <w:b/>
                <w:bCs/>
                <w:color w:val="000000"/>
                <w:sz w:val="16"/>
                <w:szCs w:val="16"/>
              </w:rPr>
            </w:pPr>
            <w:r w:rsidRPr="002E2B5B">
              <w:rPr>
                <w:rFonts w:ascii="Calibri" w:hAnsi="Calibri" w:cs="Calibri"/>
                <w:b/>
                <w:bCs/>
                <w:color w:val="000000"/>
                <w:sz w:val="16"/>
                <w:szCs w:val="16"/>
              </w:rPr>
              <w:t> </w:t>
            </w:r>
          </w:p>
        </w:tc>
        <w:tc>
          <w:tcPr>
            <w:tcW w:w="652" w:type="pct"/>
            <w:tcBorders>
              <w:top w:val="nil"/>
              <w:left w:val="nil"/>
              <w:right w:val="nil"/>
            </w:tcBorders>
            <w:shd w:val="clear" w:color="auto" w:fill="auto"/>
            <w:vAlign w:val="center"/>
            <w:hideMark/>
          </w:tcPr>
          <w:p w14:paraId="0B7704F1" w14:textId="77777777" w:rsidR="00887773" w:rsidRPr="002E2B5B" w:rsidRDefault="00887773" w:rsidP="00887773">
            <w:pPr>
              <w:spacing w:after="120"/>
              <w:jc w:val="right"/>
              <w:rPr>
                <w:rFonts w:ascii="Calibri" w:hAnsi="Calibri" w:cs="Calibri"/>
                <w:color w:val="000000"/>
                <w:sz w:val="16"/>
                <w:szCs w:val="16"/>
              </w:rPr>
            </w:pPr>
            <w:r w:rsidRPr="002E2B5B">
              <w:rPr>
                <w:rFonts w:ascii="Calibri" w:hAnsi="Calibri" w:cs="Calibri"/>
                <w:color w:val="000000"/>
                <w:sz w:val="16"/>
                <w:szCs w:val="16"/>
              </w:rPr>
              <w:t> </w:t>
            </w:r>
          </w:p>
        </w:tc>
        <w:tc>
          <w:tcPr>
            <w:tcW w:w="696" w:type="pct"/>
            <w:tcBorders>
              <w:top w:val="nil"/>
              <w:left w:val="nil"/>
              <w:right w:val="nil"/>
            </w:tcBorders>
            <w:shd w:val="clear" w:color="auto" w:fill="auto"/>
            <w:noWrap/>
            <w:vAlign w:val="center"/>
          </w:tcPr>
          <w:p w14:paraId="70053B6F" w14:textId="77777777" w:rsidR="00887773" w:rsidRPr="002E2B5B" w:rsidRDefault="00887773" w:rsidP="00887773">
            <w:pPr>
              <w:spacing w:after="120"/>
              <w:jc w:val="right"/>
              <w:rPr>
                <w:rFonts w:ascii="Calibri" w:hAnsi="Calibri" w:cs="Calibri"/>
                <w:color w:val="000000"/>
                <w:sz w:val="16"/>
                <w:szCs w:val="16"/>
              </w:rPr>
            </w:pPr>
          </w:p>
        </w:tc>
        <w:tc>
          <w:tcPr>
            <w:tcW w:w="696" w:type="pct"/>
            <w:tcBorders>
              <w:top w:val="nil"/>
              <w:left w:val="nil"/>
              <w:right w:val="nil"/>
            </w:tcBorders>
            <w:shd w:val="clear" w:color="auto" w:fill="auto"/>
            <w:noWrap/>
            <w:hideMark/>
          </w:tcPr>
          <w:p w14:paraId="13C5FFC6" w14:textId="0FCC0FA9" w:rsidR="00887773" w:rsidRPr="002E2B5B" w:rsidRDefault="00887773" w:rsidP="00887773">
            <w:pPr>
              <w:spacing w:after="120"/>
              <w:jc w:val="right"/>
              <w:rPr>
                <w:rFonts w:ascii="Calibri" w:hAnsi="Calibri" w:cs="Calibri"/>
                <w:color w:val="000000"/>
                <w:sz w:val="16"/>
                <w:szCs w:val="16"/>
              </w:rPr>
            </w:pPr>
            <w:r>
              <w:rPr>
                <w:rFonts w:ascii="Calibri" w:hAnsi="Calibri" w:cs="Calibri"/>
                <w:color w:val="000000"/>
                <w:sz w:val="16"/>
                <w:szCs w:val="16"/>
                <w:lang w:eastAsia="en-US"/>
              </w:rPr>
              <w:t xml:space="preserve"> 726.615 </w:t>
            </w:r>
          </w:p>
        </w:tc>
        <w:tc>
          <w:tcPr>
            <w:tcW w:w="671" w:type="pct"/>
            <w:tcBorders>
              <w:top w:val="nil"/>
              <w:left w:val="nil"/>
              <w:right w:val="nil"/>
            </w:tcBorders>
            <w:shd w:val="clear" w:color="auto" w:fill="auto"/>
            <w:noWrap/>
            <w:hideMark/>
          </w:tcPr>
          <w:p w14:paraId="2DF1F884" w14:textId="228DACB5" w:rsidR="00887773" w:rsidRPr="002E2B5B" w:rsidRDefault="00887773" w:rsidP="00887773">
            <w:pPr>
              <w:spacing w:after="120"/>
              <w:jc w:val="right"/>
              <w:rPr>
                <w:rFonts w:ascii="Calibri" w:hAnsi="Calibri" w:cs="Calibri"/>
                <w:color w:val="000000"/>
                <w:sz w:val="16"/>
                <w:szCs w:val="16"/>
              </w:rPr>
            </w:pPr>
            <w:r>
              <w:rPr>
                <w:rFonts w:ascii="Calibri" w:hAnsi="Calibri" w:cs="Calibri"/>
                <w:color w:val="000000"/>
                <w:sz w:val="16"/>
                <w:szCs w:val="16"/>
                <w:lang w:eastAsia="en-US"/>
              </w:rPr>
              <w:t xml:space="preserve"> 647.148 </w:t>
            </w:r>
          </w:p>
        </w:tc>
      </w:tr>
      <w:tr w:rsidR="00B628E5" w:rsidRPr="002E2B5B" w14:paraId="687D89F1" w14:textId="77777777" w:rsidTr="00F177F2">
        <w:trPr>
          <w:trHeight w:hRule="exact" w:val="227"/>
        </w:trPr>
        <w:tc>
          <w:tcPr>
            <w:tcW w:w="1833" w:type="pct"/>
            <w:tcBorders>
              <w:top w:val="single" w:sz="4" w:space="0" w:color="auto"/>
              <w:left w:val="nil"/>
              <w:bottom w:val="single" w:sz="8" w:space="0" w:color="auto"/>
              <w:right w:val="nil"/>
            </w:tcBorders>
            <w:shd w:val="clear" w:color="auto" w:fill="auto"/>
            <w:noWrap/>
            <w:vAlign w:val="center"/>
            <w:hideMark/>
          </w:tcPr>
          <w:p w14:paraId="0BE89EF7" w14:textId="77777777" w:rsidR="00B628E5" w:rsidRPr="002E2B5B" w:rsidRDefault="00B628E5" w:rsidP="00937ED9">
            <w:pPr>
              <w:spacing w:after="120"/>
              <w:rPr>
                <w:rFonts w:ascii="Calibri" w:hAnsi="Calibri" w:cs="Calibri"/>
                <w:b/>
                <w:bCs/>
                <w:color w:val="000000"/>
                <w:sz w:val="16"/>
                <w:szCs w:val="16"/>
              </w:rPr>
            </w:pPr>
            <w:r w:rsidRPr="002E2B5B">
              <w:rPr>
                <w:rFonts w:ascii="Calibri" w:hAnsi="Calibri" w:cs="Calibri"/>
                <w:b/>
                <w:bCs/>
                <w:color w:val="000000"/>
                <w:sz w:val="16"/>
                <w:szCs w:val="16"/>
              </w:rPr>
              <w:t xml:space="preserve">TOTAL </w:t>
            </w:r>
          </w:p>
        </w:tc>
        <w:tc>
          <w:tcPr>
            <w:tcW w:w="226" w:type="pct"/>
            <w:tcBorders>
              <w:top w:val="single" w:sz="4" w:space="0" w:color="auto"/>
              <w:left w:val="nil"/>
              <w:bottom w:val="single" w:sz="8" w:space="0" w:color="auto"/>
              <w:right w:val="nil"/>
            </w:tcBorders>
            <w:shd w:val="clear" w:color="auto" w:fill="auto"/>
            <w:noWrap/>
            <w:vAlign w:val="center"/>
            <w:hideMark/>
          </w:tcPr>
          <w:p w14:paraId="76272CDD" w14:textId="77777777" w:rsidR="00B628E5" w:rsidRPr="002E2B5B" w:rsidRDefault="00B628E5"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226" w:type="pct"/>
            <w:tcBorders>
              <w:top w:val="single" w:sz="4" w:space="0" w:color="auto"/>
              <w:left w:val="nil"/>
              <w:bottom w:val="single" w:sz="8" w:space="0" w:color="auto"/>
              <w:right w:val="nil"/>
            </w:tcBorders>
            <w:shd w:val="clear" w:color="auto" w:fill="auto"/>
            <w:noWrap/>
            <w:vAlign w:val="center"/>
            <w:hideMark/>
          </w:tcPr>
          <w:p w14:paraId="57F110E5" w14:textId="77777777" w:rsidR="00B628E5" w:rsidRPr="002E2B5B" w:rsidRDefault="00B628E5" w:rsidP="00937ED9">
            <w:pPr>
              <w:spacing w:after="120"/>
              <w:rPr>
                <w:rFonts w:ascii="Calibri" w:hAnsi="Calibri" w:cs="Calibri"/>
                <w:color w:val="000000"/>
                <w:sz w:val="16"/>
                <w:szCs w:val="16"/>
              </w:rPr>
            </w:pPr>
            <w:r w:rsidRPr="002E2B5B">
              <w:rPr>
                <w:rFonts w:ascii="Calibri" w:hAnsi="Calibri" w:cs="Calibri"/>
                <w:color w:val="000000"/>
                <w:sz w:val="16"/>
                <w:szCs w:val="16"/>
              </w:rPr>
              <w:t> </w:t>
            </w:r>
          </w:p>
        </w:tc>
        <w:tc>
          <w:tcPr>
            <w:tcW w:w="652" w:type="pct"/>
            <w:tcBorders>
              <w:top w:val="single" w:sz="4" w:space="0" w:color="auto"/>
              <w:left w:val="nil"/>
              <w:bottom w:val="single" w:sz="8" w:space="0" w:color="auto"/>
              <w:right w:val="nil"/>
            </w:tcBorders>
            <w:shd w:val="clear" w:color="auto" w:fill="auto"/>
            <w:vAlign w:val="center"/>
            <w:hideMark/>
          </w:tcPr>
          <w:p w14:paraId="56220FB6" w14:textId="77777777" w:rsidR="00B628E5" w:rsidRPr="002E2B5B" w:rsidRDefault="00B628E5" w:rsidP="00937ED9">
            <w:pPr>
              <w:spacing w:after="120"/>
              <w:jc w:val="right"/>
              <w:rPr>
                <w:rFonts w:ascii="Calibri" w:hAnsi="Calibri" w:cs="Calibri"/>
                <w:b/>
                <w:bCs/>
                <w:color w:val="000000"/>
                <w:sz w:val="16"/>
                <w:szCs w:val="16"/>
              </w:rPr>
            </w:pPr>
            <w:r w:rsidRPr="002E2B5B">
              <w:rPr>
                <w:rFonts w:ascii="Calibri" w:hAnsi="Calibri" w:cs="Calibri"/>
                <w:b/>
                <w:bCs/>
                <w:color w:val="000000"/>
                <w:sz w:val="16"/>
                <w:szCs w:val="16"/>
              </w:rPr>
              <w:t> </w:t>
            </w:r>
          </w:p>
        </w:tc>
        <w:tc>
          <w:tcPr>
            <w:tcW w:w="696" w:type="pct"/>
            <w:tcBorders>
              <w:top w:val="single" w:sz="4" w:space="0" w:color="auto"/>
              <w:left w:val="nil"/>
              <w:bottom w:val="single" w:sz="8" w:space="0" w:color="auto"/>
              <w:right w:val="nil"/>
            </w:tcBorders>
            <w:shd w:val="clear" w:color="auto" w:fill="auto"/>
            <w:noWrap/>
            <w:vAlign w:val="center"/>
          </w:tcPr>
          <w:p w14:paraId="73C18FE2" w14:textId="77777777" w:rsidR="00B628E5" w:rsidRPr="002E2B5B" w:rsidRDefault="00B628E5" w:rsidP="00937ED9">
            <w:pPr>
              <w:spacing w:after="120"/>
              <w:jc w:val="right"/>
              <w:rPr>
                <w:rFonts w:ascii="Calibri" w:hAnsi="Calibri" w:cs="Calibri"/>
                <w:b/>
                <w:bCs/>
                <w:color w:val="000000"/>
                <w:sz w:val="16"/>
                <w:szCs w:val="16"/>
              </w:rPr>
            </w:pPr>
          </w:p>
        </w:tc>
        <w:tc>
          <w:tcPr>
            <w:tcW w:w="696" w:type="pct"/>
            <w:tcBorders>
              <w:top w:val="single" w:sz="4" w:space="0" w:color="auto"/>
              <w:left w:val="nil"/>
              <w:bottom w:val="single" w:sz="8" w:space="0" w:color="auto"/>
              <w:right w:val="nil"/>
            </w:tcBorders>
            <w:shd w:val="clear" w:color="auto" w:fill="auto"/>
            <w:noWrap/>
            <w:vAlign w:val="center"/>
            <w:hideMark/>
          </w:tcPr>
          <w:p w14:paraId="63B9B7FA" w14:textId="70FED6F7" w:rsidR="00B628E5" w:rsidRPr="002E2B5B" w:rsidRDefault="00887773" w:rsidP="00937ED9">
            <w:pPr>
              <w:spacing w:after="120"/>
              <w:jc w:val="right"/>
              <w:rPr>
                <w:rFonts w:ascii="Calibri" w:hAnsi="Calibri" w:cs="Calibri"/>
                <w:b/>
                <w:bCs/>
                <w:color w:val="000000"/>
                <w:sz w:val="16"/>
                <w:szCs w:val="16"/>
              </w:rPr>
            </w:pPr>
            <w:r>
              <w:rPr>
                <w:rFonts w:ascii="Calibri" w:hAnsi="Calibri" w:cs="Calibri"/>
                <w:b/>
                <w:bCs/>
                <w:color w:val="000000"/>
                <w:sz w:val="16"/>
                <w:szCs w:val="16"/>
              </w:rPr>
              <w:t>27.569.915</w:t>
            </w:r>
          </w:p>
        </w:tc>
        <w:tc>
          <w:tcPr>
            <w:tcW w:w="671" w:type="pct"/>
            <w:tcBorders>
              <w:top w:val="single" w:sz="4" w:space="0" w:color="auto"/>
              <w:left w:val="nil"/>
              <w:bottom w:val="single" w:sz="8" w:space="0" w:color="auto"/>
              <w:right w:val="nil"/>
            </w:tcBorders>
            <w:shd w:val="clear" w:color="auto" w:fill="auto"/>
            <w:noWrap/>
            <w:vAlign w:val="center"/>
            <w:hideMark/>
          </w:tcPr>
          <w:p w14:paraId="66D3DACB" w14:textId="0CC2CD31" w:rsidR="00B628E5" w:rsidRPr="002E2B5B" w:rsidRDefault="00887773" w:rsidP="00937ED9">
            <w:pPr>
              <w:spacing w:after="120"/>
              <w:jc w:val="right"/>
              <w:rPr>
                <w:rFonts w:ascii="Calibri" w:hAnsi="Calibri" w:cs="Calibri"/>
                <w:b/>
                <w:bCs/>
                <w:color w:val="000000"/>
                <w:sz w:val="16"/>
                <w:szCs w:val="16"/>
              </w:rPr>
            </w:pPr>
            <w:r>
              <w:rPr>
                <w:rFonts w:ascii="Calibri" w:hAnsi="Calibri" w:cs="Calibri"/>
                <w:b/>
                <w:bCs/>
                <w:color w:val="000000"/>
                <w:sz w:val="16"/>
                <w:szCs w:val="16"/>
              </w:rPr>
              <w:t>20.703.734</w:t>
            </w:r>
          </w:p>
        </w:tc>
      </w:tr>
    </w:tbl>
    <w:p w14:paraId="62717EA2" w14:textId="4C9DEB97" w:rsidR="00887773" w:rsidRPr="00887773" w:rsidRDefault="00887773" w:rsidP="00887773">
      <w:pPr>
        <w:pStyle w:val="Textoembloco"/>
        <w:spacing w:before="120" w:after="120" w:line="240" w:lineRule="auto"/>
        <w:ind w:left="0" w:right="57"/>
        <w:rPr>
          <w:rFonts w:ascii="Calibri" w:hAnsi="Calibri" w:cs="Calibri"/>
          <w:sz w:val="22"/>
          <w:szCs w:val="22"/>
          <w:shd w:val="clear" w:color="auto" w:fill="FFFFFF"/>
        </w:rPr>
      </w:pPr>
      <w:r w:rsidRPr="00887773">
        <w:rPr>
          <w:rFonts w:ascii="Calibri" w:hAnsi="Calibri" w:cs="Calibri"/>
          <w:sz w:val="22"/>
          <w:szCs w:val="22"/>
          <w:shd w:val="clear" w:color="auto" w:fill="FFFFFF"/>
        </w:rPr>
        <w:lastRenderedPageBreak/>
        <w:t xml:space="preserve">As despesas com férias e os encargos são reconhecidas conforme demonstrativos emitidos, mensalmente, pela </w:t>
      </w:r>
      <w:r>
        <w:rPr>
          <w:rFonts w:ascii="Calibri" w:hAnsi="Calibri" w:cs="Calibri"/>
          <w:sz w:val="22"/>
          <w:szCs w:val="22"/>
          <w:shd w:val="clear" w:color="auto" w:fill="FFFFFF"/>
        </w:rPr>
        <w:t>S</w:t>
      </w:r>
      <w:r w:rsidRPr="00887773">
        <w:rPr>
          <w:rFonts w:ascii="Calibri" w:hAnsi="Calibri" w:cs="Calibri"/>
          <w:sz w:val="22"/>
          <w:szCs w:val="22"/>
          <w:shd w:val="clear" w:color="auto" w:fill="FFFFFF"/>
        </w:rPr>
        <w:t xml:space="preserve">uperintendência de Gestão de Pessoas - SUGEP. </w:t>
      </w:r>
    </w:p>
    <w:p w14:paraId="3713F84D" w14:textId="77777777" w:rsidR="00887773" w:rsidRPr="00887773" w:rsidRDefault="00887773" w:rsidP="00887773">
      <w:pPr>
        <w:pStyle w:val="Textoembloco"/>
        <w:spacing w:after="120" w:line="240" w:lineRule="auto"/>
        <w:ind w:left="0" w:right="57"/>
        <w:rPr>
          <w:rFonts w:ascii="Calibri" w:hAnsi="Calibri" w:cs="Calibri"/>
          <w:sz w:val="22"/>
          <w:szCs w:val="22"/>
          <w:shd w:val="clear" w:color="auto" w:fill="FFFFFF"/>
        </w:rPr>
      </w:pPr>
      <w:r w:rsidRPr="00887773">
        <w:rPr>
          <w:rFonts w:ascii="Calibri" w:hAnsi="Calibri" w:cs="Calibri"/>
          <w:sz w:val="22"/>
          <w:szCs w:val="22"/>
          <w:shd w:val="clear" w:color="auto" w:fill="FFFFFF"/>
        </w:rPr>
        <w:t xml:space="preserve">Para cálculo de férias a pagar é considerado o salário do período de gozo de férias mais o adicional de 1/3. </w:t>
      </w:r>
    </w:p>
    <w:p w14:paraId="26B88336" w14:textId="27F28FC2" w:rsidR="002F2B7B" w:rsidRDefault="00887773" w:rsidP="00887773">
      <w:pPr>
        <w:pStyle w:val="Textoembloco"/>
        <w:spacing w:after="120" w:line="240" w:lineRule="auto"/>
        <w:ind w:left="0" w:right="57"/>
        <w:rPr>
          <w:rFonts w:ascii="Calibri" w:hAnsi="Calibri" w:cs="Calibri"/>
          <w:sz w:val="22"/>
          <w:szCs w:val="22"/>
          <w:shd w:val="clear" w:color="auto" w:fill="FFFFFF"/>
        </w:rPr>
      </w:pPr>
      <w:r w:rsidRPr="00887773">
        <w:rPr>
          <w:rFonts w:ascii="Calibri" w:hAnsi="Calibri" w:cs="Calibri"/>
          <w:sz w:val="22"/>
          <w:szCs w:val="22"/>
          <w:shd w:val="clear" w:color="auto" w:fill="FFFFFF"/>
        </w:rPr>
        <w:t>As retenções sobre salários a pagar abrange retenções de empréstimos consignados, obrigações previdenciárias e planos de previdência, pensão alimentícia, assistência médica, dentre outras rubricas.</w:t>
      </w:r>
    </w:p>
    <w:p w14:paraId="1F81D8B9" w14:textId="1121D5C3" w:rsidR="00614FEA" w:rsidRPr="002E2B5B" w:rsidRDefault="00614FEA" w:rsidP="00887773">
      <w:pPr>
        <w:pStyle w:val="Textoembloco"/>
        <w:spacing w:after="120" w:line="240" w:lineRule="auto"/>
        <w:ind w:left="0" w:right="57"/>
        <w:rPr>
          <w:rFonts w:ascii="Calibri" w:hAnsi="Calibri" w:cs="Calibri"/>
          <w:sz w:val="22"/>
          <w:szCs w:val="22"/>
          <w:shd w:val="clear" w:color="auto" w:fill="FFFFFF"/>
        </w:rPr>
      </w:pPr>
      <w:r w:rsidRPr="00614FEA">
        <w:rPr>
          <w:rFonts w:ascii="Calibri" w:hAnsi="Calibri" w:cs="Calibri"/>
          <w:sz w:val="22"/>
          <w:szCs w:val="22"/>
          <w:shd w:val="clear" w:color="auto" w:fill="FFFFFF"/>
        </w:rPr>
        <w:t xml:space="preserve">Do </w:t>
      </w:r>
      <w:r>
        <w:rPr>
          <w:rFonts w:ascii="Calibri" w:hAnsi="Calibri" w:cs="Calibri"/>
          <w:sz w:val="22"/>
          <w:szCs w:val="22"/>
          <w:shd w:val="clear" w:color="auto" w:fill="FFFFFF"/>
        </w:rPr>
        <w:t xml:space="preserve">saldo </w:t>
      </w:r>
      <w:r w:rsidRPr="00614FEA">
        <w:rPr>
          <w:rFonts w:ascii="Calibri" w:hAnsi="Calibri" w:cs="Calibri"/>
          <w:sz w:val="22"/>
          <w:szCs w:val="22"/>
          <w:shd w:val="clear" w:color="auto" w:fill="FFFFFF"/>
        </w:rPr>
        <w:t xml:space="preserve">total de </w:t>
      </w:r>
      <w:r>
        <w:rPr>
          <w:rFonts w:ascii="Calibri" w:hAnsi="Calibri" w:cs="Calibri"/>
          <w:sz w:val="22"/>
          <w:szCs w:val="22"/>
          <w:shd w:val="clear" w:color="auto" w:fill="FFFFFF"/>
        </w:rPr>
        <w:t xml:space="preserve">obrigações com pessoal, R$ 5,36 milhões são provenientes da incorporação </w:t>
      </w:r>
      <w:r w:rsidRPr="00614FEA">
        <w:rPr>
          <w:rFonts w:ascii="Calibri" w:hAnsi="Calibri" w:cs="Calibri"/>
          <w:sz w:val="22"/>
          <w:szCs w:val="22"/>
          <w:shd w:val="clear" w:color="auto" w:fill="FFFFFF"/>
        </w:rPr>
        <w:t>da EPL.</w:t>
      </w:r>
    </w:p>
    <w:bookmarkEnd w:id="9"/>
    <w:p w14:paraId="45077BBC" w14:textId="4045447C" w:rsidR="00D947B7" w:rsidRPr="002E2B5B" w:rsidRDefault="00D22F5E" w:rsidP="00937ED9">
      <w:pPr>
        <w:pStyle w:val="Ttulo4"/>
        <w:tabs>
          <w:tab w:val="left" w:pos="0"/>
        </w:tabs>
        <w:spacing w:after="120" w:line="240" w:lineRule="auto"/>
        <w:rPr>
          <w:rFonts w:ascii="Calibri" w:hAnsi="Calibri" w:cs="Calibri"/>
          <w:bCs w:val="0"/>
          <w:sz w:val="22"/>
          <w:szCs w:val="22"/>
        </w:rPr>
      </w:pPr>
      <w:r w:rsidRPr="002E2B5B">
        <w:rPr>
          <w:rFonts w:ascii="Calibri" w:hAnsi="Calibri" w:cs="Calibri"/>
          <w:bCs w:val="0"/>
          <w:sz w:val="22"/>
          <w:szCs w:val="22"/>
        </w:rPr>
        <w:t>NOTA 1</w:t>
      </w:r>
      <w:r w:rsidR="000B4253">
        <w:rPr>
          <w:rFonts w:ascii="Calibri" w:hAnsi="Calibri" w:cs="Calibri"/>
          <w:bCs w:val="0"/>
          <w:sz w:val="22"/>
          <w:szCs w:val="22"/>
        </w:rPr>
        <w:t>2</w:t>
      </w:r>
      <w:r w:rsidR="00BE1376" w:rsidRPr="002E2B5B">
        <w:rPr>
          <w:rFonts w:ascii="Calibri" w:hAnsi="Calibri" w:cs="Calibri"/>
          <w:bCs w:val="0"/>
          <w:sz w:val="22"/>
          <w:szCs w:val="22"/>
        </w:rPr>
        <w:t xml:space="preserve"> </w:t>
      </w:r>
      <w:r w:rsidR="007E5F20" w:rsidRPr="002E2B5B">
        <w:rPr>
          <w:rFonts w:ascii="Calibri" w:hAnsi="Calibri" w:cs="Calibri"/>
          <w:bCs w:val="0"/>
          <w:sz w:val="22"/>
          <w:szCs w:val="22"/>
        </w:rPr>
        <w:t>- COMPROMISSOS</w:t>
      </w:r>
      <w:r w:rsidR="00894308" w:rsidRPr="002E2B5B">
        <w:rPr>
          <w:rFonts w:ascii="Calibri" w:hAnsi="Calibri" w:cs="Calibri"/>
          <w:bCs w:val="0"/>
          <w:sz w:val="22"/>
          <w:szCs w:val="22"/>
        </w:rPr>
        <w:t xml:space="preserve"> A LONGO PRAZO </w:t>
      </w:r>
      <w:r w:rsidR="00823DAA" w:rsidRPr="002E2B5B">
        <w:rPr>
          <w:rFonts w:ascii="Calibri" w:hAnsi="Calibri" w:cs="Calibri"/>
          <w:bCs w:val="0"/>
          <w:sz w:val="22"/>
          <w:szCs w:val="22"/>
        </w:rPr>
        <w:t xml:space="preserve"> </w:t>
      </w:r>
    </w:p>
    <w:p w14:paraId="0FE7763B" w14:textId="78F6D80D" w:rsidR="00B02B62" w:rsidRDefault="000568B0" w:rsidP="00937ED9">
      <w:pPr>
        <w:numPr>
          <w:ilvl w:val="0"/>
          <w:numId w:val="5"/>
        </w:numPr>
        <w:spacing w:after="120"/>
        <w:ind w:left="284" w:hanging="284"/>
        <w:rPr>
          <w:rFonts w:ascii="Calibri" w:hAnsi="Calibri" w:cs="Calibri"/>
          <w:b/>
          <w:sz w:val="22"/>
          <w:szCs w:val="22"/>
        </w:rPr>
      </w:pPr>
      <w:r w:rsidRPr="002E2B5B">
        <w:rPr>
          <w:rFonts w:ascii="Calibri" w:hAnsi="Calibri" w:cs="Calibri"/>
          <w:b/>
          <w:sz w:val="22"/>
          <w:szCs w:val="22"/>
        </w:rPr>
        <w:t>Depósitos Retidos sobre Fornecedores</w:t>
      </w:r>
    </w:p>
    <w:tbl>
      <w:tblPr>
        <w:tblW w:w="5000" w:type="pct"/>
        <w:tblCellMar>
          <w:left w:w="70" w:type="dxa"/>
          <w:right w:w="70" w:type="dxa"/>
        </w:tblCellMar>
        <w:tblLook w:val="04A0" w:firstRow="1" w:lastRow="0" w:firstColumn="1" w:lastColumn="0" w:noHBand="0" w:noVBand="1"/>
      </w:tblPr>
      <w:tblGrid>
        <w:gridCol w:w="3973"/>
        <w:gridCol w:w="536"/>
        <w:gridCol w:w="534"/>
        <w:gridCol w:w="1459"/>
        <w:gridCol w:w="2412"/>
        <w:gridCol w:w="1553"/>
      </w:tblGrid>
      <w:tr w:rsidR="00AF7492" w14:paraId="080B8D0C" w14:textId="77777777" w:rsidTr="00C34E8D">
        <w:trPr>
          <w:trHeight w:hRule="exact" w:val="227"/>
        </w:trPr>
        <w:tc>
          <w:tcPr>
            <w:tcW w:w="2409" w:type="pct"/>
            <w:gridSpan w:val="3"/>
            <w:tcBorders>
              <w:top w:val="nil"/>
              <w:left w:val="nil"/>
              <w:bottom w:val="single" w:sz="8" w:space="0" w:color="auto"/>
              <w:right w:val="nil"/>
            </w:tcBorders>
            <w:shd w:val="clear" w:color="auto" w:fill="auto"/>
            <w:noWrap/>
            <w:vAlign w:val="center"/>
            <w:hideMark/>
          </w:tcPr>
          <w:p w14:paraId="0E6BFF3C" w14:textId="77777777" w:rsidR="00AF7492" w:rsidRDefault="00AF7492" w:rsidP="00937ED9">
            <w:pPr>
              <w:spacing w:after="120"/>
              <w:rPr>
                <w:rFonts w:ascii="Calibri" w:hAnsi="Calibri" w:cs="Calibri"/>
                <w:b/>
                <w:bCs/>
                <w:color w:val="000000"/>
                <w:sz w:val="16"/>
                <w:szCs w:val="16"/>
              </w:rPr>
            </w:pPr>
            <w:r>
              <w:rPr>
                <w:rFonts w:ascii="Calibri" w:hAnsi="Calibri" w:cs="Calibri"/>
                <w:b/>
                <w:bCs/>
                <w:color w:val="000000"/>
                <w:sz w:val="16"/>
                <w:szCs w:val="16"/>
              </w:rPr>
              <w:t>DEPÓSITOS RETIDOS SOBRE FORNECEDORES</w:t>
            </w:r>
          </w:p>
        </w:tc>
        <w:tc>
          <w:tcPr>
            <w:tcW w:w="697" w:type="pct"/>
            <w:tcBorders>
              <w:top w:val="nil"/>
              <w:left w:val="nil"/>
              <w:bottom w:val="single" w:sz="8" w:space="0" w:color="auto"/>
              <w:right w:val="nil"/>
            </w:tcBorders>
            <w:shd w:val="clear" w:color="auto" w:fill="auto"/>
            <w:noWrap/>
            <w:vAlign w:val="center"/>
            <w:hideMark/>
          </w:tcPr>
          <w:p w14:paraId="602B4CDA" w14:textId="77777777"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78303FE7" w14:textId="67E8E798"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E83F1D">
              <w:rPr>
                <w:rFonts w:ascii="Calibri" w:hAnsi="Calibri" w:cs="Calibri"/>
                <w:b/>
                <w:bCs/>
                <w:color w:val="000000"/>
                <w:sz w:val="16"/>
                <w:szCs w:val="16"/>
              </w:rPr>
              <w:t>0</w:t>
            </w:r>
            <w:r>
              <w:rPr>
                <w:rFonts w:ascii="Calibri" w:hAnsi="Calibri" w:cs="Calibri"/>
                <w:b/>
                <w:bCs/>
                <w:color w:val="000000"/>
                <w:sz w:val="16"/>
                <w:szCs w:val="16"/>
              </w:rPr>
              <w:t>/</w:t>
            </w:r>
            <w:r w:rsidR="00C9591E">
              <w:rPr>
                <w:rFonts w:ascii="Calibri" w:hAnsi="Calibri" w:cs="Calibri"/>
                <w:b/>
                <w:bCs/>
                <w:color w:val="000000"/>
                <w:sz w:val="16"/>
                <w:szCs w:val="16"/>
              </w:rPr>
              <w:t>0</w:t>
            </w:r>
            <w:r w:rsidR="001D1C58">
              <w:rPr>
                <w:rFonts w:ascii="Calibri" w:hAnsi="Calibri" w:cs="Calibri"/>
                <w:b/>
                <w:bCs/>
                <w:color w:val="000000"/>
                <w:sz w:val="16"/>
                <w:szCs w:val="16"/>
              </w:rPr>
              <w:t>9</w:t>
            </w:r>
            <w:r>
              <w:rPr>
                <w:rFonts w:ascii="Calibri" w:hAnsi="Calibri" w:cs="Calibri"/>
                <w:b/>
                <w:bCs/>
                <w:color w:val="000000"/>
                <w:sz w:val="16"/>
                <w:szCs w:val="16"/>
              </w:rPr>
              <w:t>/202</w:t>
            </w:r>
            <w:r w:rsidR="00C9591E">
              <w:rPr>
                <w:rFonts w:ascii="Calibri" w:hAnsi="Calibri" w:cs="Calibri"/>
                <w:b/>
                <w:bCs/>
                <w:color w:val="000000"/>
                <w:sz w:val="16"/>
                <w:szCs w:val="16"/>
              </w:rPr>
              <w:t>2</w:t>
            </w:r>
          </w:p>
        </w:tc>
        <w:tc>
          <w:tcPr>
            <w:tcW w:w="742" w:type="pct"/>
            <w:tcBorders>
              <w:top w:val="nil"/>
              <w:left w:val="nil"/>
              <w:bottom w:val="single" w:sz="8" w:space="0" w:color="auto"/>
              <w:right w:val="nil"/>
            </w:tcBorders>
            <w:shd w:val="clear" w:color="auto" w:fill="auto"/>
            <w:noWrap/>
            <w:vAlign w:val="center"/>
            <w:hideMark/>
          </w:tcPr>
          <w:p w14:paraId="6E1072A8" w14:textId="21371B85"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DF1149">
              <w:rPr>
                <w:rFonts w:ascii="Calibri" w:hAnsi="Calibri" w:cs="Calibri"/>
                <w:b/>
                <w:bCs/>
                <w:color w:val="000000"/>
                <w:sz w:val="16"/>
                <w:szCs w:val="16"/>
              </w:rPr>
              <w:t>1</w:t>
            </w:r>
          </w:p>
        </w:tc>
      </w:tr>
      <w:tr w:rsidR="00AF7492" w14:paraId="2761BB15" w14:textId="77777777" w:rsidTr="00C34E8D">
        <w:trPr>
          <w:trHeight w:hRule="exact" w:val="227"/>
        </w:trPr>
        <w:tc>
          <w:tcPr>
            <w:tcW w:w="2154" w:type="pct"/>
            <w:gridSpan w:val="2"/>
            <w:tcBorders>
              <w:top w:val="single" w:sz="8" w:space="0" w:color="auto"/>
              <w:left w:val="nil"/>
              <w:bottom w:val="nil"/>
              <w:right w:val="nil"/>
            </w:tcBorders>
            <w:shd w:val="clear" w:color="auto" w:fill="auto"/>
            <w:noWrap/>
            <w:vAlign w:val="center"/>
            <w:hideMark/>
          </w:tcPr>
          <w:p w14:paraId="3E2EBC22"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Saldo anterior</w:t>
            </w:r>
          </w:p>
        </w:tc>
        <w:tc>
          <w:tcPr>
            <w:tcW w:w="255" w:type="pct"/>
            <w:tcBorders>
              <w:top w:val="nil"/>
              <w:left w:val="nil"/>
              <w:bottom w:val="nil"/>
              <w:right w:val="nil"/>
            </w:tcBorders>
            <w:shd w:val="clear" w:color="auto" w:fill="auto"/>
            <w:noWrap/>
            <w:vAlign w:val="center"/>
            <w:hideMark/>
          </w:tcPr>
          <w:p w14:paraId="21F435BA" w14:textId="77777777" w:rsidR="00AF7492" w:rsidRDefault="00AF7492" w:rsidP="00937ED9">
            <w:pPr>
              <w:spacing w:after="120"/>
              <w:rPr>
                <w:rFonts w:ascii="Calibri" w:hAnsi="Calibri" w:cs="Calibri"/>
                <w:color w:val="000000"/>
                <w:sz w:val="16"/>
                <w:szCs w:val="16"/>
              </w:rPr>
            </w:pPr>
          </w:p>
        </w:tc>
        <w:tc>
          <w:tcPr>
            <w:tcW w:w="697" w:type="pct"/>
            <w:tcBorders>
              <w:top w:val="nil"/>
              <w:left w:val="nil"/>
              <w:bottom w:val="nil"/>
              <w:right w:val="nil"/>
            </w:tcBorders>
            <w:shd w:val="clear" w:color="auto" w:fill="auto"/>
            <w:noWrap/>
            <w:vAlign w:val="center"/>
            <w:hideMark/>
          </w:tcPr>
          <w:p w14:paraId="30BDDE16" w14:textId="77777777" w:rsidR="00AF7492" w:rsidRDefault="00AF7492" w:rsidP="00937ED9">
            <w:pPr>
              <w:spacing w:after="120"/>
              <w:rPr>
                <w:sz w:val="20"/>
                <w:szCs w:val="20"/>
              </w:rPr>
            </w:pPr>
          </w:p>
        </w:tc>
        <w:tc>
          <w:tcPr>
            <w:tcW w:w="1152" w:type="pct"/>
            <w:tcBorders>
              <w:top w:val="nil"/>
              <w:left w:val="nil"/>
              <w:bottom w:val="nil"/>
              <w:right w:val="nil"/>
            </w:tcBorders>
            <w:shd w:val="clear" w:color="auto" w:fill="auto"/>
            <w:noWrap/>
            <w:vAlign w:val="center"/>
            <w:hideMark/>
          </w:tcPr>
          <w:p w14:paraId="7EFDD0B3" w14:textId="5E05582F" w:rsidR="00AF7492" w:rsidRDefault="00C9591E" w:rsidP="00937ED9">
            <w:pPr>
              <w:spacing w:after="120"/>
              <w:jc w:val="right"/>
              <w:rPr>
                <w:rFonts w:ascii="Calibri" w:hAnsi="Calibri" w:cs="Calibri"/>
                <w:color w:val="000000"/>
                <w:sz w:val="16"/>
                <w:szCs w:val="16"/>
              </w:rPr>
            </w:pPr>
            <w:r w:rsidRPr="00C9591E">
              <w:rPr>
                <w:rFonts w:ascii="Calibri" w:hAnsi="Calibri" w:cs="Calibri"/>
                <w:color w:val="000000"/>
                <w:sz w:val="16"/>
                <w:szCs w:val="16"/>
              </w:rPr>
              <w:t>27.082.990</w:t>
            </w:r>
          </w:p>
        </w:tc>
        <w:tc>
          <w:tcPr>
            <w:tcW w:w="742" w:type="pct"/>
            <w:tcBorders>
              <w:top w:val="nil"/>
              <w:left w:val="nil"/>
              <w:bottom w:val="nil"/>
              <w:right w:val="nil"/>
            </w:tcBorders>
            <w:shd w:val="clear" w:color="auto" w:fill="auto"/>
            <w:noWrap/>
            <w:vAlign w:val="center"/>
            <w:hideMark/>
          </w:tcPr>
          <w:p w14:paraId="6A3C53A4" w14:textId="4DA8FF08" w:rsidR="00AF7492" w:rsidRDefault="00DF1149" w:rsidP="00937ED9">
            <w:pPr>
              <w:spacing w:after="120"/>
              <w:jc w:val="right"/>
              <w:rPr>
                <w:rFonts w:ascii="Calibri" w:hAnsi="Calibri" w:cs="Calibri"/>
                <w:color w:val="000000"/>
                <w:sz w:val="16"/>
                <w:szCs w:val="16"/>
              </w:rPr>
            </w:pPr>
            <w:r>
              <w:rPr>
                <w:rFonts w:ascii="Calibri" w:hAnsi="Calibri" w:cs="Calibri"/>
                <w:color w:val="000000"/>
                <w:sz w:val="16"/>
                <w:szCs w:val="16"/>
              </w:rPr>
              <w:t>38.526.493</w:t>
            </w:r>
          </w:p>
        </w:tc>
      </w:tr>
      <w:tr w:rsidR="00AF7492" w14:paraId="63D035AD" w14:textId="77777777" w:rsidTr="00C34E8D">
        <w:trPr>
          <w:trHeight w:hRule="exact" w:val="227"/>
        </w:trPr>
        <w:tc>
          <w:tcPr>
            <w:tcW w:w="2409" w:type="pct"/>
            <w:gridSpan w:val="3"/>
            <w:tcBorders>
              <w:top w:val="nil"/>
              <w:left w:val="nil"/>
              <w:bottom w:val="nil"/>
              <w:right w:val="nil"/>
            </w:tcBorders>
            <w:shd w:val="clear" w:color="auto" w:fill="auto"/>
            <w:noWrap/>
            <w:vAlign w:val="center"/>
            <w:hideMark/>
          </w:tcPr>
          <w:p w14:paraId="6B52DBCF"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Retenções sobre fornecedores</w:t>
            </w:r>
          </w:p>
        </w:tc>
        <w:tc>
          <w:tcPr>
            <w:tcW w:w="697" w:type="pct"/>
            <w:tcBorders>
              <w:top w:val="nil"/>
              <w:left w:val="nil"/>
              <w:bottom w:val="nil"/>
              <w:right w:val="nil"/>
            </w:tcBorders>
            <w:shd w:val="clear" w:color="auto" w:fill="auto"/>
            <w:noWrap/>
            <w:vAlign w:val="center"/>
            <w:hideMark/>
          </w:tcPr>
          <w:p w14:paraId="64C78377" w14:textId="77777777" w:rsidR="00AF7492" w:rsidRDefault="00AF7492" w:rsidP="00937ED9">
            <w:pPr>
              <w:spacing w:after="120"/>
              <w:rPr>
                <w:rFonts w:ascii="Calibri" w:hAnsi="Calibri" w:cs="Calibri"/>
                <w:color w:val="000000"/>
                <w:sz w:val="16"/>
                <w:szCs w:val="16"/>
              </w:rPr>
            </w:pPr>
          </w:p>
        </w:tc>
        <w:tc>
          <w:tcPr>
            <w:tcW w:w="1152" w:type="pct"/>
            <w:tcBorders>
              <w:top w:val="nil"/>
              <w:left w:val="nil"/>
              <w:bottom w:val="nil"/>
              <w:right w:val="nil"/>
            </w:tcBorders>
            <w:shd w:val="clear" w:color="auto" w:fill="auto"/>
            <w:noWrap/>
            <w:vAlign w:val="center"/>
            <w:hideMark/>
          </w:tcPr>
          <w:p w14:paraId="550B6264" w14:textId="124708C4" w:rsidR="00AF7492" w:rsidRDefault="005B519D" w:rsidP="00937ED9">
            <w:pPr>
              <w:spacing w:after="120"/>
              <w:jc w:val="right"/>
              <w:rPr>
                <w:rFonts w:ascii="Calibri" w:hAnsi="Calibri" w:cs="Calibri"/>
                <w:color w:val="000000"/>
                <w:sz w:val="16"/>
                <w:szCs w:val="16"/>
              </w:rPr>
            </w:pPr>
            <w:r>
              <w:rPr>
                <w:rFonts w:ascii="Calibri" w:hAnsi="Calibri" w:cs="Calibri"/>
                <w:color w:val="000000"/>
                <w:sz w:val="16"/>
                <w:szCs w:val="16"/>
              </w:rPr>
              <w:t>218.337</w:t>
            </w:r>
          </w:p>
        </w:tc>
        <w:tc>
          <w:tcPr>
            <w:tcW w:w="742" w:type="pct"/>
            <w:tcBorders>
              <w:top w:val="nil"/>
              <w:left w:val="nil"/>
              <w:bottom w:val="nil"/>
              <w:right w:val="nil"/>
            </w:tcBorders>
            <w:shd w:val="clear" w:color="auto" w:fill="auto"/>
            <w:noWrap/>
            <w:vAlign w:val="center"/>
            <w:hideMark/>
          </w:tcPr>
          <w:p w14:paraId="30CA8154" w14:textId="5391B5D0" w:rsidR="00AF7492" w:rsidRDefault="00DF1149" w:rsidP="00937ED9">
            <w:pPr>
              <w:spacing w:after="120"/>
              <w:jc w:val="right"/>
              <w:rPr>
                <w:rFonts w:ascii="Calibri" w:hAnsi="Calibri" w:cs="Calibri"/>
                <w:color w:val="000000"/>
                <w:sz w:val="16"/>
                <w:szCs w:val="16"/>
              </w:rPr>
            </w:pPr>
            <w:r>
              <w:rPr>
                <w:rFonts w:ascii="Calibri" w:hAnsi="Calibri" w:cs="Calibri"/>
                <w:color w:val="000000"/>
                <w:sz w:val="16"/>
                <w:szCs w:val="16"/>
              </w:rPr>
              <w:t>1.603.301</w:t>
            </w:r>
          </w:p>
        </w:tc>
      </w:tr>
      <w:tr w:rsidR="00AF7492" w14:paraId="70B13531" w14:textId="77777777" w:rsidTr="00C34E8D">
        <w:trPr>
          <w:trHeight w:hRule="exact" w:val="227"/>
        </w:trPr>
        <w:tc>
          <w:tcPr>
            <w:tcW w:w="2154" w:type="pct"/>
            <w:gridSpan w:val="2"/>
            <w:tcBorders>
              <w:top w:val="nil"/>
              <w:left w:val="nil"/>
              <w:bottom w:val="nil"/>
              <w:right w:val="nil"/>
            </w:tcBorders>
            <w:shd w:val="clear" w:color="auto" w:fill="auto"/>
            <w:noWrap/>
            <w:vAlign w:val="center"/>
            <w:hideMark/>
          </w:tcPr>
          <w:p w14:paraId="45A81699"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Baixa de depósitos</w:t>
            </w:r>
          </w:p>
        </w:tc>
        <w:tc>
          <w:tcPr>
            <w:tcW w:w="255" w:type="pct"/>
            <w:tcBorders>
              <w:top w:val="nil"/>
              <w:left w:val="nil"/>
              <w:bottom w:val="nil"/>
              <w:right w:val="nil"/>
            </w:tcBorders>
            <w:shd w:val="clear" w:color="auto" w:fill="auto"/>
            <w:noWrap/>
            <w:vAlign w:val="center"/>
            <w:hideMark/>
          </w:tcPr>
          <w:p w14:paraId="5C77C2DF" w14:textId="77777777" w:rsidR="00AF7492" w:rsidRDefault="00AF7492" w:rsidP="00937ED9">
            <w:pPr>
              <w:spacing w:after="120"/>
              <w:rPr>
                <w:rFonts w:ascii="Calibri" w:hAnsi="Calibri" w:cs="Calibri"/>
                <w:color w:val="000000"/>
                <w:sz w:val="16"/>
                <w:szCs w:val="16"/>
              </w:rPr>
            </w:pPr>
          </w:p>
        </w:tc>
        <w:tc>
          <w:tcPr>
            <w:tcW w:w="697" w:type="pct"/>
            <w:tcBorders>
              <w:top w:val="nil"/>
              <w:left w:val="nil"/>
              <w:bottom w:val="nil"/>
              <w:right w:val="nil"/>
            </w:tcBorders>
            <w:shd w:val="clear" w:color="auto" w:fill="auto"/>
            <w:noWrap/>
            <w:vAlign w:val="center"/>
            <w:hideMark/>
          </w:tcPr>
          <w:p w14:paraId="797BD64D" w14:textId="77777777" w:rsidR="00AF7492" w:rsidRDefault="00AF7492" w:rsidP="00937ED9">
            <w:pPr>
              <w:spacing w:after="120"/>
              <w:rPr>
                <w:sz w:val="20"/>
                <w:szCs w:val="20"/>
              </w:rPr>
            </w:pPr>
          </w:p>
        </w:tc>
        <w:tc>
          <w:tcPr>
            <w:tcW w:w="1152" w:type="pct"/>
            <w:tcBorders>
              <w:top w:val="nil"/>
              <w:left w:val="nil"/>
              <w:bottom w:val="nil"/>
              <w:right w:val="nil"/>
            </w:tcBorders>
            <w:shd w:val="clear" w:color="auto" w:fill="auto"/>
            <w:noWrap/>
            <w:vAlign w:val="center"/>
            <w:hideMark/>
          </w:tcPr>
          <w:p w14:paraId="1ED93A64" w14:textId="61742CD4" w:rsidR="00AF7492" w:rsidRDefault="005B519D" w:rsidP="00937ED9">
            <w:pPr>
              <w:spacing w:after="120"/>
              <w:jc w:val="right"/>
              <w:rPr>
                <w:rFonts w:ascii="Calibri" w:hAnsi="Calibri" w:cs="Calibri"/>
                <w:color w:val="000000"/>
                <w:sz w:val="16"/>
                <w:szCs w:val="16"/>
              </w:rPr>
            </w:pPr>
            <w:r>
              <w:rPr>
                <w:rFonts w:ascii="Calibri" w:hAnsi="Calibri" w:cs="Calibri"/>
                <w:color w:val="000000"/>
                <w:sz w:val="16"/>
                <w:szCs w:val="16"/>
              </w:rPr>
              <w:t>(522.734)</w:t>
            </w:r>
          </w:p>
        </w:tc>
        <w:tc>
          <w:tcPr>
            <w:tcW w:w="742" w:type="pct"/>
            <w:tcBorders>
              <w:top w:val="nil"/>
              <w:left w:val="nil"/>
              <w:bottom w:val="nil"/>
              <w:right w:val="nil"/>
            </w:tcBorders>
            <w:shd w:val="clear" w:color="auto" w:fill="auto"/>
            <w:noWrap/>
            <w:vAlign w:val="center"/>
            <w:hideMark/>
          </w:tcPr>
          <w:p w14:paraId="0EA1CFE5" w14:textId="43ADBE9E" w:rsidR="00AF7492" w:rsidRDefault="00DF1149" w:rsidP="00937ED9">
            <w:pPr>
              <w:spacing w:after="120"/>
              <w:jc w:val="right"/>
              <w:rPr>
                <w:rFonts w:ascii="Calibri" w:hAnsi="Calibri" w:cs="Calibri"/>
                <w:color w:val="000000"/>
                <w:sz w:val="16"/>
                <w:szCs w:val="16"/>
              </w:rPr>
            </w:pPr>
            <w:r>
              <w:rPr>
                <w:rFonts w:ascii="Calibri" w:hAnsi="Calibri" w:cs="Calibri"/>
                <w:color w:val="000000"/>
                <w:sz w:val="16"/>
                <w:szCs w:val="16"/>
              </w:rPr>
              <w:t>(12.600.452)</w:t>
            </w:r>
          </w:p>
        </w:tc>
      </w:tr>
      <w:tr w:rsidR="00AF7492" w14:paraId="45A5C2AE" w14:textId="77777777" w:rsidTr="00C34E8D">
        <w:trPr>
          <w:trHeight w:hRule="exact" w:val="227"/>
        </w:trPr>
        <w:tc>
          <w:tcPr>
            <w:tcW w:w="2409" w:type="pct"/>
            <w:gridSpan w:val="3"/>
            <w:tcBorders>
              <w:top w:val="nil"/>
              <w:left w:val="nil"/>
              <w:bottom w:val="single" w:sz="8" w:space="0" w:color="auto"/>
              <w:right w:val="nil"/>
            </w:tcBorders>
            <w:shd w:val="clear" w:color="auto" w:fill="auto"/>
            <w:noWrap/>
            <w:vAlign w:val="center"/>
            <w:hideMark/>
          </w:tcPr>
          <w:p w14:paraId="5952910F"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xml:space="preserve"> Pagamento de Obrigações</w:t>
            </w:r>
          </w:p>
        </w:tc>
        <w:tc>
          <w:tcPr>
            <w:tcW w:w="697" w:type="pct"/>
            <w:tcBorders>
              <w:top w:val="nil"/>
              <w:left w:val="nil"/>
              <w:bottom w:val="single" w:sz="8" w:space="0" w:color="auto"/>
              <w:right w:val="nil"/>
            </w:tcBorders>
            <w:shd w:val="clear" w:color="auto" w:fill="auto"/>
            <w:noWrap/>
            <w:vAlign w:val="center"/>
            <w:hideMark/>
          </w:tcPr>
          <w:p w14:paraId="4F93DAD1" w14:textId="77777777" w:rsidR="00AF7492" w:rsidRDefault="00AF7492" w:rsidP="00937ED9">
            <w:pPr>
              <w:spacing w:after="120"/>
              <w:jc w:val="right"/>
              <w:rPr>
                <w:rFonts w:ascii="Calibri" w:hAnsi="Calibri" w:cs="Calibri"/>
                <w:color w:val="000000"/>
                <w:sz w:val="16"/>
                <w:szCs w:val="16"/>
              </w:rPr>
            </w:pPr>
            <w:r>
              <w:rPr>
                <w:rFonts w:ascii="Calibri" w:hAnsi="Calibri" w:cs="Calibri"/>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763E731E" w14:textId="5410F8EA" w:rsidR="00AF7492" w:rsidRDefault="005B519D" w:rsidP="00937ED9">
            <w:pPr>
              <w:spacing w:after="120"/>
              <w:jc w:val="right"/>
              <w:rPr>
                <w:rFonts w:ascii="Calibri" w:hAnsi="Calibri" w:cs="Calibri"/>
                <w:color w:val="000000"/>
                <w:sz w:val="16"/>
                <w:szCs w:val="16"/>
              </w:rPr>
            </w:pPr>
            <w:r>
              <w:rPr>
                <w:rFonts w:ascii="Calibri" w:hAnsi="Calibri" w:cs="Calibri"/>
                <w:color w:val="000000"/>
                <w:sz w:val="16"/>
                <w:szCs w:val="16"/>
              </w:rPr>
              <w:t>(2.777)</w:t>
            </w:r>
          </w:p>
        </w:tc>
        <w:tc>
          <w:tcPr>
            <w:tcW w:w="742" w:type="pct"/>
            <w:tcBorders>
              <w:top w:val="nil"/>
              <w:left w:val="nil"/>
              <w:bottom w:val="single" w:sz="8" w:space="0" w:color="auto"/>
              <w:right w:val="nil"/>
            </w:tcBorders>
            <w:shd w:val="clear" w:color="auto" w:fill="auto"/>
            <w:noWrap/>
            <w:vAlign w:val="center"/>
            <w:hideMark/>
          </w:tcPr>
          <w:p w14:paraId="54D33504" w14:textId="1BE6AD5A" w:rsidR="00AF7492" w:rsidRDefault="00DF1149" w:rsidP="00937ED9">
            <w:pPr>
              <w:spacing w:after="120"/>
              <w:jc w:val="right"/>
              <w:rPr>
                <w:rFonts w:ascii="Calibri" w:hAnsi="Calibri" w:cs="Calibri"/>
                <w:color w:val="000000"/>
                <w:sz w:val="16"/>
                <w:szCs w:val="16"/>
              </w:rPr>
            </w:pPr>
            <w:r>
              <w:rPr>
                <w:rFonts w:ascii="Calibri" w:hAnsi="Calibri" w:cs="Calibri"/>
                <w:color w:val="000000"/>
                <w:sz w:val="16"/>
                <w:szCs w:val="16"/>
              </w:rPr>
              <w:t>(446.352)</w:t>
            </w:r>
          </w:p>
        </w:tc>
      </w:tr>
      <w:tr w:rsidR="00AF7492" w14:paraId="222D0A50" w14:textId="77777777" w:rsidTr="00C34E8D">
        <w:trPr>
          <w:trHeight w:hRule="exact" w:val="227"/>
        </w:trPr>
        <w:tc>
          <w:tcPr>
            <w:tcW w:w="1898" w:type="pct"/>
            <w:tcBorders>
              <w:top w:val="nil"/>
              <w:left w:val="nil"/>
              <w:bottom w:val="single" w:sz="8" w:space="0" w:color="auto"/>
              <w:right w:val="nil"/>
            </w:tcBorders>
            <w:shd w:val="clear" w:color="auto" w:fill="auto"/>
            <w:noWrap/>
            <w:vAlign w:val="center"/>
            <w:hideMark/>
          </w:tcPr>
          <w:p w14:paraId="032A5A17" w14:textId="77777777" w:rsidR="00AF7492" w:rsidRDefault="00AF7492"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w:t>
            </w:r>
          </w:p>
        </w:tc>
        <w:tc>
          <w:tcPr>
            <w:tcW w:w="255" w:type="pct"/>
            <w:tcBorders>
              <w:top w:val="nil"/>
              <w:left w:val="nil"/>
              <w:bottom w:val="single" w:sz="8" w:space="0" w:color="auto"/>
              <w:right w:val="nil"/>
            </w:tcBorders>
            <w:shd w:val="clear" w:color="auto" w:fill="auto"/>
            <w:noWrap/>
            <w:vAlign w:val="center"/>
            <w:hideMark/>
          </w:tcPr>
          <w:p w14:paraId="0ACEE5C5"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w:t>
            </w:r>
          </w:p>
        </w:tc>
        <w:tc>
          <w:tcPr>
            <w:tcW w:w="255" w:type="pct"/>
            <w:tcBorders>
              <w:top w:val="nil"/>
              <w:left w:val="nil"/>
              <w:bottom w:val="single" w:sz="8" w:space="0" w:color="auto"/>
              <w:right w:val="nil"/>
            </w:tcBorders>
            <w:shd w:val="clear" w:color="auto" w:fill="auto"/>
            <w:noWrap/>
            <w:vAlign w:val="center"/>
            <w:hideMark/>
          </w:tcPr>
          <w:p w14:paraId="3E518000" w14:textId="77777777" w:rsidR="00AF7492" w:rsidRDefault="00AF7492" w:rsidP="00937ED9">
            <w:pPr>
              <w:spacing w:after="120"/>
              <w:rPr>
                <w:rFonts w:ascii="Calibri" w:hAnsi="Calibri" w:cs="Calibri"/>
                <w:color w:val="000000"/>
                <w:sz w:val="16"/>
                <w:szCs w:val="16"/>
              </w:rPr>
            </w:pPr>
            <w:r>
              <w:rPr>
                <w:rFonts w:ascii="Calibri" w:hAnsi="Calibri" w:cs="Calibri"/>
                <w:color w:val="000000"/>
                <w:sz w:val="16"/>
                <w:szCs w:val="16"/>
              </w:rPr>
              <w:t> </w:t>
            </w:r>
          </w:p>
        </w:tc>
        <w:tc>
          <w:tcPr>
            <w:tcW w:w="697" w:type="pct"/>
            <w:tcBorders>
              <w:top w:val="nil"/>
              <w:left w:val="nil"/>
              <w:bottom w:val="single" w:sz="8" w:space="0" w:color="auto"/>
              <w:right w:val="nil"/>
            </w:tcBorders>
            <w:shd w:val="clear" w:color="auto" w:fill="auto"/>
            <w:noWrap/>
            <w:vAlign w:val="center"/>
            <w:hideMark/>
          </w:tcPr>
          <w:p w14:paraId="57A84AC5" w14:textId="77777777" w:rsidR="00AF7492" w:rsidRDefault="00AF7492"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152" w:type="pct"/>
            <w:tcBorders>
              <w:top w:val="nil"/>
              <w:left w:val="nil"/>
              <w:bottom w:val="single" w:sz="8" w:space="0" w:color="auto"/>
              <w:right w:val="nil"/>
            </w:tcBorders>
            <w:shd w:val="clear" w:color="auto" w:fill="auto"/>
            <w:noWrap/>
            <w:vAlign w:val="center"/>
            <w:hideMark/>
          </w:tcPr>
          <w:p w14:paraId="6E493CC2" w14:textId="706EDF06" w:rsidR="00AF7492" w:rsidRDefault="005B519D" w:rsidP="00937ED9">
            <w:pPr>
              <w:spacing w:after="120"/>
              <w:jc w:val="right"/>
              <w:rPr>
                <w:rFonts w:ascii="Calibri" w:hAnsi="Calibri" w:cs="Calibri"/>
                <w:b/>
                <w:bCs/>
                <w:color w:val="000000"/>
                <w:sz w:val="16"/>
                <w:szCs w:val="16"/>
              </w:rPr>
            </w:pPr>
            <w:r>
              <w:rPr>
                <w:rFonts w:ascii="Calibri" w:hAnsi="Calibri" w:cs="Calibri"/>
                <w:b/>
                <w:bCs/>
                <w:color w:val="000000"/>
                <w:sz w:val="16"/>
                <w:szCs w:val="16"/>
              </w:rPr>
              <w:t>26.775.816</w:t>
            </w:r>
          </w:p>
        </w:tc>
        <w:tc>
          <w:tcPr>
            <w:tcW w:w="742" w:type="pct"/>
            <w:tcBorders>
              <w:top w:val="nil"/>
              <w:left w:val="nil"/>
              <w:bottom w:val="single" w:sz="8" w:space="0" w:color="auto"/>
              <w:right w:val="nil"/>
            </w:tcBorders>
            <w:shd w:val="clear" w:color="auto" w:fill="auto"/>
            <w:noWrap/>
            <w:vAlign w:val="center"/>
            <w:hideMark/>
          </w:tcPr>
          <w:p w14:paraId="0AACCC7A" w14:textId="02B1114D" w:rsidR="00AF7492" w:rsidRDefault="00DF1149" w:rsidP="00937ED9">
            <w:pPr>
              <w:spacing w:after="120"/>
              <w:jc w:val="right"/>
              <w:rPr>
                <w:rFonts w:ascii="Calibri" w:hAnsi="Calibri" w:cs="Calibri"/>
                <w:b/>
                <w:bCs/>
                <w:color w:val="000000"/>
                <w:sz w:val="16"/>
                <w:szCs w:val="16"/>
              </w:rPr>
            </w:pPr>
            <w:r>
              <w:rPr>
                <w:rFonts w:ascii="Calibri" w:hAnsi="Calibri" w:cs="Calibri"/>
                <w:b/>
                <w:bCs/>
                <w:color w:val="000000"/>
                <w:sz w:val="16"/>
                <w:szCs w:val="16"/>
              </w:rPr>
              <w:t>27.082.990</w:t>
            </w:r>
          </w:p>
        </w:tc>
      </w:tr>
    </w:tbl>
    <w:p w14:paraId="74A291D1" w14:textId="77777777" w:rsidR="006E0CFB" w:rsidRDefault="00CE1621" w:rsidP="000B3A75">
      <w:pPr>
        <w:pStyle w:val="Textoembloco"/>
        <w:spacing w:before="120" w:after="120" w:line="240" w:lineRule="auto"/>
        <w:ind w:left="0" w:right="57"/>
        <w:rPr>
          <w:rFonts w:ascii="Calibri" w:hAnsi="Calibri" w:cs="Calibri"/>
          <w:sz w:val="22"/>
          <w:szCs w:val="22"/>
          <w:shd w:val="clear" w:color="auto" w:fill="FFFFFF"/>
        </w:rPr>
      </w:pPr>
      <w:r w:rsidRPr="002E2B5B">
        <w:rPr>
          <w:rFonts w:ascii="Calibri" w:hAnsi="Calibri" w:cs="Calibri"/>
          <w:sz w:val="22"/>
          <w:szCs w:val="22"/>
          <w:shd w:val="clear" w:color="auto" w:fill="FFFFFF"/>
        </w:rPr>
        <w:t xml:space="preserve">A conta “Depósitos Retidos de Fornecedores” registra as retenções contratuais sobre pagamentos a fornecedores e outras retenções como glosas por determinações dos Órgãos de Controle.  </w:t>
      </w:r>
    </w:p>
    <w:p w14:paraId="5622913B" w14:textId="7DB6C448" w:rsidR="00066BBD" w:rsidRPr="001E40FA" w:rsidRDefault="000568B0" w:rsidP="00937ED9">
      <w:pPr>
        <w:numPr>
          <w:ilvl w:val="0"/>
          <w:numId w:val="5"/>
        </w:numPr>
        <w:spacing w:after="120"/>
        <w:ind w:left="284" w:hanging="284"/>
        <w:jc w:val="both"/>
        <w:rPr>
          <w:rFonts w:ascii="Calibri" w:hAnsi="Calibri" w:cs="Calibri"/>
          <w:sz w:val="22"/>
          <w:szCs w:val="22"/>
        </w:rPr>
      </w:pPr>
      <w:r w:rsidRPr="001E40FA">
        <w:rPr>
          <w:rFonts w:ascii="Calibri" w:hAnsi="Calibri" w:cs="Calibri"/>
          <w:b/>
          <w:sz w:val="22"/>
          <w:szCs w:val="22"/>
        </w:rPr>
        <w:t xml:space="preserve">Provisões </w:t>
      </w:r>
      <w:r w:rsidR="001A21B2" w:rsidRPr="001E40FA">
        <w:rPr>
          <w:rFonts w:ascii="Calibri" w:hAnsi="Calibri" w:cs="Calibri"/>
          <w:b/>
          <w:sz w:val="22"/>
          <w:szCs w:val="22"/>
        </w:rPr>
        <w:t>para Contingências</w:t>
      </w:r>
      <w:r w:rsidRPr="001E40FA">
        <w:rPr>
          <w:rFonts w:ascii="Calibri" w:hAnsi="Calibri" w:cs="Calibri"/>
          <w:b/>
          <w:sz w:val="22"/>
          <w:szCs w:val="22"/>
        </w:rPr>
        <w:t xml:space="preserve"> </w:t>
      </w:r>
      <w:r w:rsidR="006E0CFB" w:rsidRPr="001E40FA">
        <w:rPr>
          <w:rFonts w:ascii="Calibri" w:hAnsi="Calibri" w:cs="Calibri"/>
          <w:b/>
          <w:sz w:val="22"/>
          <w:szCs w:val="22"/>
        </w:rPr>
        <w:t>Judiciais</w:t>
      </w:r>
    </w:p>
    <w:p w14:paraId="263874E2" w14:textId="123C5C77" w:rsidR="009303E0" w:rsidRPr="008D21F0" w:rsidRDefault="00894308" w:rsidP="00BD2A00">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 xml:space="preserve">A companhia </w:t>
      </w:r>
      <w:r w:rsidR="00B57353" w:rsidRPr="008D21F0">
        <w:rPr>
          <w:rFonts w:ascii="Calibri" w:hAnsi="Calibri" w:cs="Calibri"/>
          <w:sz w:val="22"/>
          <w:szCs w:val="22"/>
          <w:shd w:val="clear" w:color="auto" w:fill="FFFFFF"/>
        </w:rPr>
        <w:t>é responsável por</w:t>
      </w:r>
      <w:r w:rsidRPr="008D21F0">
        <w:rPr>
          <w:rFonts w:ascii="Calibri" w:hAnsi="Calibri" w:cs="Calibri"/>
          <w:sz w:val="22"/>
          <w:szCs w:val="22"/>
          <w:shd w:val="clear" w:color="auto" w:fill="FFFFFF"/>
        </w:rPr>
        <w:t xml:space="preserve"> ações trabalhistas e cíveis impetrad</w:t>
      </w:r>
      <w:r w:rsidR="00AD6E75" w:rsidRPr="008D21F0">
        <w:rPr>
          <w:rFonts w:ascii="Calibri" w:hAnsi="Calibri" w:cs="Calibri"/>
          <w:sz w:val="22"/>
          <w:szCs w:val="22"/>
          <w:shd w:val="clear" w:color="auto" w:fill="FFFFFF"/>
        </w:rPr>
        <w:t>a</w:t>
      </w:r>
      <w:r w:rsidRPr="008D21F0">
        <w:rPr>
          <w:rFonts w:ascii="Calibri" w:hAnsi="Calibri" w:cs="Calibri"/>
          <w:sz w:val="22"/>
          <w:szCs w:val="22"/>
          <w:shd w:val="clear" w:color="auto" w:fill="FFFFFF"/>
        </w:rPr>
        <w:t xml:space="preserve">s contra </w:t>
      </w:r>
      <w:r w:rsidR="00F3074F">
        <w:rPr>
          <w:rFonts w:ascii="Calibri" w:hAnsi="Calibri" w:cs="Calibri"/>
          <w:sz w:val="22"/>
          <w:szCs w:val="22"/>
          <w:shd w:val="clear" w:color="auto" w:fill="FFFFFF"/>
        </w:rPr>
        <w:t xml:space="preserve">a </w:t>
      </w:r>
      <w:r w:rsidR="00E11BEF">
        <w:rPr>
          <w:rFonts w:ascii="Calibri" w:hAnsi="Calibri" w:cs="Calibri"/>
          <w:sz w:val="22"/>
          <w:szCs w:val="22"/>
          <w:shd w:val="clear" w:color="auto" w:fill="FFFFFF"/>
        </w:rPr>
        <w:t>Infra</w:t>
      </w:r>
      <w:r w:rsidR="005B519D">
        <w:rPr>
          <w:rFonts w:ascii="Calibri" w:hAnsi="Calibri" w:cs="Calibri"/>
          <w:sz w:val="22"/>
          <w:szCs w:val="22"/>
          <w:shd w:val="clear" w:color="auto" w:fill="FFFFFF"/>
        </w:rPr>
        <w:t xml:space="preserve"> S.A.</w:t>
      </w:r>
      <w:r w:rsidRPr="008D21F0">
        <w:rPr>
          <w:rFonts w:ascii="Calibri" w:hAnsi="Calibri" w:cs="Calibri"/>
          <w:sz w:val="22"/>
          <w:szCs w:val="22"/>
          <w:shd w:val="clear" w:color="auto" w:fill="FFFFFF"/>
        </w:rPr>
        <w:t xml:space="preserve"> e as extintas empresas Rede Ferroviária Federal S/A – RFFSA e Empresa Brasileira de Planejamento de Transportes – GEIPOT. </w:t>
      </w:r>
    </w:p>
    <w:p w14:paraId="6D95ACC4" w14:textId="6794ECE6" w:rsidR="00C87F38" w:rsidRPr="008D21F0" w:rsidRDefault="00B35E5B" w:rsidP="00937ED9">
      <w:pPr>
        <w:pStyle w:val="Textoembloco"/>
        <w:spacing w:after="120" w:line="240" w:lineRule="auto"/>
        <w:ind w:left="0" w:right="57"/>
        <w:rPr>
          <w:rFonts w:ascii="Calibri" w:hAnsi="Calibri" w:cs="Calibri"/>
          <w:sz w:val="22"/>
          <w:szCs w:val="22"/>
          <w:shd w:val="clear" w:color="auto" w:fill="FFFFFF"/>
        </w:rPr>
      </w:pPr>
      <w:bookmarkStart w:id="10" w:name="_Hlk36047226"/>
      <w:r w:rsidRPr="008D21F0">
        <w:rPr>
          <w:rFonts w:ascii="Calibri" w:hAnsi="Calibri" w:cs="Calibri"/>
          <w:sz w:val="22"/>
          <w:szCs w:val="22"/>
          <w:shd w:val="clear" w:color="auto" w:fill="FFFFFF"/>
        </w:rPr>
        <w:t xml:space="preserve">As provisões para contingências são contabilizadas, com base na posição da </w:t>
      </w:r>
      <w:r w:rsidR="00FF1CB6" w:rsidRPr="008D21F0">
        <w:rPr>
          <w:rFonts w:ascii="Calibri" w:hAnsi="Calibri" w:cs="Calibri"/>
          <w:sz w:val="22"/>
          <w:szCs w:val="22"/>
          <w:shd w:val="clear" w:color="auto" w:fill="FFFFFF"/>
        </w:rPr>
        <w:t>Procuradoria</w:t>
      </w:r>
      <w:r w:rsidRPr="008D21F0">
        <w:rPr>
          <w:rFonts w:ascii="Calibri" w:hAnsi="Calibri" w:cs="Calibri"/>
          <w:sz w:val="22"/>
          <w:szCs w:val="22"/>
          <w:shd w:val="clear" w:color="auto" w:fill="FFFFFF"/>
        </w:rPr>
        <w:t xml:space="preserve"> Jurídica, a qual é formulada na análise técnica individual dos advogados, quando for considerado provável o risco de perda de uma ação judicial ou administrativa, e sempre que os montantes envolvidos forem mensuráveis com suficiente segurança. </w:t>
      </w:r>
      <w:r w:rsidR="00C87F38" w:rsidRPr="008D21F0">
        <w:rPr>
          <w:rFonts w:ascii="Calibri" w:hAnsi="Calibri" w:cs="Calibri"/>
          <w:sz w:val="22"/>
          <w:szCs w:val="22"/>
          <w:shd w:val="clear" w:color="auto" w:fill="FFFFFF"/>
        </w:rPr>
        <w:t xml:space="preserve">O valor reconhecido como provisão </w:t>
      </w:r>
      <w:r w:rsidR="002901F5" w:rsidRPr="008D21F0">
        <w:rPr>
          <w:rFonts w:ascii="Calibri" w:hAnsi="Calibri" w:cs="Calibri"/>
          <w:sz w:val="22"/>
          <w:szCs w:val="22"/>
          <w:shd w:val="clear" w:color="auto" w:fill="FFFFFF"/>
        </w:rPr>
        <w:t>foi</w:t>
      </w:r>
      <w:r w:rsidR="00C87F38" w:rsidRPr="008D21F0">
        <w:rPr>
          <w:rFonts w:ascii="Calibri" w:hAnsi="Calibri" w:cs="Calibri"/>
          <w:sz w:val="22"/>
          <w:szCs w:val="22"/>
          <w:shd w:val="clear" w:color="auto" w:fill="FFFFFF"/>
        </w:rPr>
        <w:t xml:space="preserve"> a melhor estimativa do desembolso exigido para liquidar a obrigação presente na data do balanço.</w:t>
      </w:r>
    </w:p>
    <w:p w14:paraId="73499D06" w14:textId="2BC8E2E7" w:rsidR="00B35E5B" w:rsidRPr="008D21F0" w:rsidRDefault="00B35E5B" w:rsidP="00937ED9">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 xml:space="preserve">As provisões classificadas como perdas possíveis pela </w:t>
      </w:r>
      <w:r w:rsidR="00FF1CB6" w:rsidRPr="008D21F0">
        <w:rPr>
          <w:rFonts w:ascii="Calibri" w:hAnsi="Calibri" w:cs="Calibri"/>
          <w:sz w:val="22"/>
          <w:szCs w:val="22"/>
          <w:shd w:val="clear" w:color="auto" w:fill="FFFFFF"/>
        </w:rPr>
        <w:t>Procuradoria</w:t>
      </w:r>
      <w:r w:rsidRPr="008D21F0">
        <w:rPr>
          <w:rFonts w:ascii="Calibri" w:hAnsi="Calibri" w:cs="Calibri"/>
          <w:sz w:val="22"/>
          <w:szCs w:val="22"/>
          <w:shd w:val="clear" w:color="auto" w:fill="FFFFFF"/>
        </w:rPr>
        <w:t xml:space="preserve"> Jurídica são divulgadas com base na perda histórica, enquanto aquelas classificadas como perda remota não são passíveis de provisão e divulgação.</w:t>
      </w:r>
    </w:p>
    <w:p w14:paraId="54B5768F" w14:textId="017B95A5" w:rsidR="002901F5" w:rsidRPr="008D21F0" w:rsidRDefault="002901F5" w:rsidP="00937ED9">
      <w:pPr>
        <w:pStyle w:val="Textoembloco"/>
        <w:spacing w:after="120" w:line="240" w:lineRule="auto"/>
        <w:ind w:left="0" w:right="57"/>
        <w:rPr>
          <w:rFonts w:ascii="Calibri" w:hAnsi="Calibri" w:cs="Calibri"/>
          <w:sz w:val="22"/>
          <w:szCs w:val="22"/>
          <w:shd w:val="clear" w:color="auto" w:fill="FFFFFF"/>
        </w:rPr>
      </w:pPr>
      <w:r w:rsidRPr="008D21F0">
        <w:rPr>
          <w:rFonts w:ascii="Calibri" w:hAnsi="Calibri" w:cs="Calibri"/>
          <w:sz w:val="22"/>
          <w:szCs w:val="22"/>
          <w:shd w:val="clear" w:color="auto" w:fill="FFFFFF"/>
        </w:rPr>
        <w:t>Conforme o CPC 25 - Provisões, Passivos Contingentes e Ativos Contingentes, as provisões devem ser reavaliadas em cada data de balanço e ajustadas para refletir a melhor estimativa corrente. Se já não for mais provável que seja necessária uma saída de recursos que incorporam benefícios econômicos futuros para liquidar a obrigação, a provisão deve ser revertida.</w:t>
      </w:r>
    </w:p>
    <w:p w14:paraId="7D288319" w14:textId="5448CA20" w:rsidR="007D6164" w:rsidRPr="007D6164" w:rsidRDefault="007D6164" w:rsidP="00937ED9">
      <w:pPr>
        <w:pStyle w:val="Textoembloco"/>
        <w:spacing w:after="120" w:line="240" w:lineRule="auto"/>
        <w:ind w:left="0" w:right="57"/>
        <w:rPr>
          <w:rFonts w:ascii="Calibri" w:hAnsi="Calibri" w:cs="Calibri"/>
          <w:b/>
          <w:bCs w:val="0"/>
          <w:sz w:val="22"/>
          <w:szCs w:val="22"/>
          <w:shd w:val="clear" w:color="auto" w:fill="FFFFFF"/>
        </w:rPr>
      </w:pPr>
      <w:r w:rsidRPr="008D21F0">
        <w:rPr>
          <w:rFonts w:ascii="Calibri" w:hAnsi="Calibri" w:cs="Calibri"/>
          <w:b/>
          <w:bCs w:val="0"/>
          <w:sz w:val="22"/>
          <w:szCs w:val="22"/>
          <w:shd w:val="clear" w:color="auto" w:fill="FFFFFF"/>
        </w:rPr>
        <w:t>b.1) Critérios de Reconhecimento e Mensuração:</w:t>
      </w:r>
    </w:p>
    <w:p w14:paraId="0373EFED" w14:textId="7E8297B6" w:rsidR="00D04C58" w:rsidRDefault="002901F5" w:rsidP="00937ED9">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Visando o aprimoramento dos controles internos e consequentemente da informação sobre as provisões contingenciais, a</w:t>
      </w:r>
      <w:r w:rsidR="00475538" w:rsidRPr="00D04C58">
        <w:rPr>
          <w:rFonts w:ascii="Calibri" w:hAnsi="Calibri" w:cs="Calibri"/>
          <w:sz w:val="22"/>
          <w:szCs w:val="22"/>
          <w:shd w:val="clear" w:color="auto" w:fill="FFFFFF"/>
        </w:rPr>
        <w:t xml:space="preserve"> Procuradoria Jurídica da </w:t>
      </w:r>
      <w:r w:rsidR="00E11BEF">
        <w:rPr>
          <w:rFonts w:ascii="Calibri" w:hAnsi="Calibri" w:cs="Calibri"/>
          <w:sz w:val="22"/>
          <w:szCs w:val="22"/>
          <w:shd w:val="clear" w:color="auto" w:fill="FFFFFF"/>
        </w:rPr>
        <w:t>Infra</w:t>
      </w:r>
      <w:r w:rsidR="005B519D">
        <w:rPr>
          <w:rFonts w:ascii="Calibri" w:hAnsi="Calibri" w:cs="Calibri"/>
          <w:sz w:val="22"/>
          <w:szCs w:val="22"/>
          <w:shd w:val="clear" w:color="auto" w:fill="FFFFFF"/>
        </w:rPr>
        <w:t xml:space="preserve"> S.A.</w:t>
      </w:r>
      <w:r w:rsidR="00475538" w:rsidRPr="00D04C58">
        <w:rPr>
          <w:rFonts w:ascii="Calibri" w:hAnsi="Calibri" w:cs="Calibri"/>
          <w:sz w:val="22"/>
          <w:szCs w:val="22"/>
          <w:shd w:val="clear" w:color="auto" w:fill="FFFFFF"/>
        </w:rPr>
        <w:t xml:space="preserve"> elaborou a Norma de Provisões e Contingências Judiciais, regulamentada pela Resolução Normativa nº 04/2021/DIREX, de 07 de julho de 2021, a qual </w:t>
      </w:r>
      <w:r w:rsidR="00D04C58" w:rsidRPr="00D04C58">
        <w:rPr>
          <w:rFonts w:ascii="Calibri" w:hAnsi="Calibri" w:cs="Calibri"/>
          <w:sz w:val="22"/>
          <w:szCs w:val="22"/>
          <w:shd w:val="clear" w:color="auto" w:fill="FFFFFF"/>
        </w:rPr>
        <w:t xml:space="preserve">dispõe sobre os procedimentos de avaliação e classificação de riscos de processos judiciais e o reconhecimento de provisões e contingências judiciais. </w:t>
      </w:r>
    </w:p>
    <w:p w14:paraId="7C4F9EF8" w14:textId="63EB5327" w:rsidR="00F63870" w:rsidRDefault="00475538" w:rsidP="00937ED9">
      <w:pPr>
        <w:pStyle w:val="Textoembloco"/>
        <w:spacing w:after="120" w:line="240" w:lineRule="auto"/>
        <w:ind w:left="0" w:right="57"/>
        <w:rPr>
          <w:rFonts w:ascii="Calibri" w:hAnsi="Calibri" w:cs="Calibri"/>
          <w:sz w:val="22"/>
          <w:szCs w:val="22"/>
          <w:shd w:val="clear" w:color="auto" w:fill="FFFFFF"/>
        </w:rPr>
      </w:pPr>
      <w:r w:rsidRPr="00D04C58">
        <w:rPr>
          <w:rFonts w:ascii="Calibri" w:hAnsi="Calibri" w:cs="Calibri"/>
          <w:sz w:val="22"/>
          <w:szCs w:val="22"/>
          <w:shd w:val="clear" w:color="auto" w:fill="FFFFFF"/>
        </w:rPr>
        <w:t>Essa Resolução Normativa trata</w:t>
      </w:r>
      <w:r w:rsidR="00D04C58">
        <w:rPr>
          <w:rFonts w:ascii="Calibri" w:hAnsi="Calibri" w:cs="Calibri"/>
          <w:sz w:val="22"/>
          <w:szCs w:val="22"/>
          <w:shd w:val="clear" w:color="auto" w:fill="FFFFFF"/>
        </w:rPr>
        <w:t xml:space="preserve"> ainda</w:t>
      </w:r>
      <w:r w:rsidRPr="00D04C58">
        <w:rPr>
          <w:rFonts w:ascii="Calibri" w:hAnsi="Calibri" w:cs="Calibri"/>
          <w:sz w:val="22"/>
          <w:szCs w:val="22"/>
          <w:shd w:val="clear" w:color="auto" w:fill="FFFFFF"/>
        </w:rPr>
        <w:t xml:space="preserve"> da valoração das ações, as quais passar</w:t>
      </w:r>
      <w:r w:rsidR="00D04C58">
        <w:rPr>
          <w:rFonts w:ascii="Calibri" w:hAnsi="Calibri" w:cs="Calibri"/>
          <w:sz w:val="22"/>
          <w:szCs w:val="22"/>
          <w:shd w:val="clear" w:color="auto" w:fill="FFFFFF"/>
        </w:rPr>
        <w:t>am</w:t>
      </w:r>
      <w:r w:rsidRPr="00D04C58">
        <w:rPr>
          <w:rFonts w:ascii="Calibri" w:hAnsi="Calibri" w:cs="Calibri"/>
          <w:sz w:val="22"/>
          <w:szCs w:val="22"/>
          <w:shd w:val="clear" w:color="auto" w:fill="FFFFFF"/>
        </w:rPr>
        <w:t xml:space="preserve"> a ser com base no desenvolvimento do processo judicial</w:t>
      </w:r>
      <w:r w:rsidR="00D04C58">
        <w:rPr>
          <w:rFonts w:ascii="Calibri" w:hAnsi="Calibri" w:cs="Calibri"/>
          <w:sz w:val="22"/>
          <w:szCs w:val="22"/>
          <w:shd w:val="clear" w:color="auto" w:fill="FFFFFF"/>
        </w:rPr>
        <w:t xml:space="preserve">, não sendo mais efetuada a atualização monetária conforme metodologia utilizada até o exercício de 2020. </w:t>
      </w:r>
    </w:p>
    <w:p w14:paraId="29650F0A" w14:textId="7606458F" w:rsidR="00EC601E" w:rsidRDefault="00D04C58" w:rsidP="00EC601E">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 xml:space="preserve">A Procuradoria Jurídica após levantamento e aplicação da nova metodologia baseada na </w:t>
      </w:r>
      <w:r w:rsidRPr="00D04C58">
        <w:rPr>
          <w:rFonts w:ascii="Calibri" w:hAnsi="Calibri" w:cs="Calibri"/>
          <w:sz w:val="22"/>
          <w:szCs w:val="22"/>
          <w:shd w:val="clear" w:color="auto" w:fill="FFFFFF"/>
        </w:rPr>
        <w:t>Resolução Normativa nº 04/2021/DIREX</w:t>
      </w:r>
      <w:r w:rsidR="00AF6050">
        <w:rPr>
          <w:rFonts w:ascii="Calibri" w:hAnsi="Calibri" w:cs="Calibri"/>
          <w:sz w:val="22"/>
          <w:szCs w:val="22"/>
          <w:shd w:val="clear" w:color="auto" w:fill="FFFFFF"/>
        </w:rPr>
        <w:t xml:space="preserve"> encaminh</w:t>
      </w:r>
      <w:r w:rsidR="00E83F1D">
        <w:rPr>
          <w:rFonts w:ascii="Calibri" w:hAnsi="Calibri" w:cs="Calibri"/>
          <w:sz w:val="22"/>
          <w:szCs w:val="22"/>
          <w:shd w:val="clear" w:color="auto" w:fill="FFFFFF"/>
        </w:rPr>
        <w:t xml:space="preserve">a mensalmente </w:t>
      </w:r>
      <w:r w:rsidR="00AF6050">
        <w:rPr>
          <w:rFonts w:ascii="Calibri" w:hAnsi="Calibri" w:cs="Calibri"/>
          <w:sz w:val="22"/>
          <w:szCs w:val="22"/>
          <w:shd w:val="clear" w:color="auto" w:fill="FFFFFF"/>
        </w:rPr>
        <w:t xml:space="preserve">as informações </w:t>
      </w:r>
      <w:r w:rsidR="00EC601E">
        <w:rPr>
          <w:rFonts w:ascii="Calibri" w:hAnsi="Calibri" w:cs="Calibri"/>
          <w:sz w:val="22"/>
          <w:szCs w:val="22"/>
          <w:shd w:val="clear" w:color="auto" w:fill="FFFFFF"/>
        </w:rPr>
        <w:t>necessárias para o reconhecimento das provisões e passivos contingenciais</w:t>
      </w:r>
      <w:r w:rsidR="00E83F1D">
        <w:rPr>
          <w:rFonts w:ascii="Calibri" w:hAnsi="Calibri" w:cs="Calibri"/>
          <w:sz w:val="22"/>
          <w:szCs w:val="22"/>
          <w:shd w:val="clear" w:color="auto" w:fill="FFFFFF"/>
        </w:rPr>
        <w:t>.</w:t>
      </w:r>
    </w:p>
    <w:p w14:paraId="0D87B143" w14:textId="77777777" w:rsidR="00EC601E" w:rsidRPr="00EC601E" w:rsidRDefault="00EC601E" w:rsidP="00EC601E">
      <w:pPr>
        <w:pStyle w:val="Textoembloco"/>
        <w:spacing w:after="120" w:line="240" w:lineRule="auto"/>
        <w:ind w:left="0" w:right="57"/>
        <w:rPr>
          <w:rFonts w:ascii="Calibri" w:hAnsi="Calibri" w:cs="Calibri"/>
          <w:sz w:val="22"/>
          <w:szCs w:val="22"/>
          <w:shd w:val="clear" w:color="auto" w:fill="FFFFFF"/>
        </w:rPr>
      </w:pPr>
      <w:r w:rsidRPr="00EC601E">
        <w:rPr>
          <w:rFonts w:ascii="Calibri" w:hAnsi="Calibri" w:cs="Calibri"/>
          <w:sz w:val="22"/>
          <w:szCs w:val="22"/>
          <w:shd w:val="clear" w:color="auto" w:fill="FFFFFF"/>
        </w:rPr>
        <w:t>As premissas utilizadas na nova metodologia foram:</w:t>
      </w:r>
    </w:p>
    <w:p w14:paraId="11AAA5A2" w14:textId="533C6B80" w:rsidR="00BD2A00" w:rsidRPr="00BD2A00" w:rsidRDefault="00BD2A00" w:rsidP="00BD2A00">
      <w:pPr>
        <w:pStyle w:val="Textoembloco"/>
        <w:numPr>
          <w:ilvl w:val="0"/>
          <w:numId w:val="42"/>
        </w:numPr>
        <w:spacing w:after="120" w:line="240" w:lineRule="auto"/>
        <w:ind w:right="57"/>
        <w:rPr>
          <w:rFonts w:ascii="Calibri" w:hAnsi="Calibri" w:cs="Calibri"/>
          <w:sz w:val="22"/>
          <w:szCs w:val="22"/>
          <w:shd w:val="clear" w:color="auto" w:fill="FFFFFF"/>
        </w:rPr>
      </w:pPr>
      <w:r>
        <w:rPr>
          <w:rFonts w:ascii="Calibri" w:hAnsi="Calibri" w:cs="Calibri"/>
          <w:sz w:val="22"/>
          <w:szCs w:val="22"/>
          <w:shd w:val="clear" w:color="auto" w:fill="FFFFFF"/>
        </w:rPr>
        <w:lastRenderedPageBreak/>
        <w:t>C</w:t>
      </w:r>
      <w:r w:rsidRPr="00EC601E">
        <w:rPr>
          <w:rFonts w:ascii="Calibri" w:hAnsi="Calibri" w:cs="Calibri"/>
          <w:sz w:val="22"/>
          <w:szCs w:val="22"/>
          <w:shd w:val="clear" w:color="auto" w:fill="FFFFFF"/>
        </w:rPr>
        <w:t>lassificaç</w:t>
      </w:r>
      <w:r>
        <w:rPr>
          <w:rFonts w:ascii="Calibri" w:hAnsi="Calibri" w:cs="Calibri"/>
          <w:sz w:val="22"/>
          <w:szCs w:val="22"/>
          <w:shd w:val="clear" w:color="auto" w:fill="FFFFFF"/>
        </w:rPr>
        <w:t>ões</w:t>
      </w:r>
      <w:r w:rsidRPr="00EC601E">
        <w:rPr>
          <w:rFonts w:ascii="Calibri" w:hAnsi="Calibri" w:cs="Calibri"/>
          <w:sz w:val="22"/>
          <w:szCs w:val="22"/>
          <w:shd w:val="clear" w:color="auto" w:fill="FFFFFF"/>
        </w:rPr>
        <w:t xml:space="preserve"> de riscos</w:t>
      </w:r>
      <w:r>
        <w:rPr>
          <w:rFonts w:ascii="Calibri" w:hAnsi="Calibri" w:cs="Calibri"/>
          <w:sz w:val="22"/>
          <w:szCs w:val="22"/>
          <w:shd w:val="clear" w:color="auto" w:fill="FFFFFF"/>
        </w:rPr>
        <w:t>: realizadas</w:t>
      </w:r>
      <w:r w:rsidRPr="00EC601E">
        <w:rPr>
          <w:rFonts w:ascii="Calibri" w:hAnsi="Calibri" w:cs="Calibri"/>
          <w:sz w:val="22"/>
          <w:szCs w:val="22"/>
          <w:shd w:val="clear" w:color="auto" w:fill="FFFFFF"/>
        </w:rPr>
        <w:t xml:space="preserve"> por avaliação do advogado responsável pela causa considerando o resultado dos eventos relevantes do processo (instrução processual; sentença; acórdão)</w:t>
      </w:r>
      <w:r>
        <w:rPr>
          <w:rFonts w:ascii="Calibri" w:hAnsi="Calibri" w:cs="Calibri"/>
          <w:sz w:val="22"/>
          <w:szCs w:val="22"/>
          <w:shd w:val="clear" w:color="auto" w:fill="FFFFFF"/>
        </w:rPr>
        <w:t xml:space="preserve">, </w:t>
      </w:r>
    </w:p>
    <w:p w14:paraId="4FF4E098" w14:textId="2E0F664F" w:rsidR="00BD2A00" w:rsidRPr="00BD2A00" w:rsidRDefault="00BD2A00" w:rsidP="00BD2A00">
      <w:pPr>
        <w:pStyle w:val="Textoembloco"/>
        <w:numPr>
          <w:ilvl w:val="0"/>
          <w:numId w:val="42"/>
        </w:numPr>
        <w:spacing w:after="120" w:line="240" w:lineRule="auto"/>
        <w:ind w:right="57"/>
        <w:rPr>
          <w:rFonts w:ascii="Calibri" w:hAnsi="Calibri" w:cs="Calibri"/>
          <w:sz w:val="22"/>
          <w:szCs w:val="22"/>
          <w:shd w:val="clear" w:color="auto" w:fill="FFFFFF"/>
        </w:rPr>
      </w:pPr>
      <w:r>
        <w:rPr>
          <w:rFonts w:ascii="Calibri" w:hAnsi="Calibri" w:cs="Calibri"/>
          <w:sz w:val="22"/>
          <w:szCs w:val="22"/>
          <w:shd w:val="clear" w:color="auto" w:fill="FFFFFF"/>
        </w:rPr>
        <w:t>Mensuração: o</w:t>
      </w:r>
      <w:r w:rsidRPr="00EC601E">
        <w:rPr>
          <w:rFonts w:ascii="Calibri" w:hAnsi="Calibri" w:cs="Calibri"/>
          <w:sz w:val="22"/>
          <w:szCs w:val="22"/>
          <w:shd w:val="clear" w:color="auto" w:fill="FFFFFF"/>
        </w:rPr>
        <w:t xml:space="preserve"> valor da contingência corresponde ao valor nominal do último evento relevante no processo judicial (perícia, quando houver; sentença; acórdão; liquidação e trânsito em julgado)</w:t>
      </w:r>
      <w:r>
        <w:rPr>
          <w:rFonts w:ascii="Calibri" w:hAnsi="Calibri" w:cs="Calibri"/>
          <w:sz w:val="22"/>
          <w:szCs w:val="22"/>
          <w:shd w:val="clear" w:color="auto" w:fill="FFFFFF"/>
        </w:rPr>
        <w:t xml:space="preserve">, utilizando os parâmetros definidos </w:t>
      </w:r>
      <w:r w:rsidRPr="00EC601E">
        <w:rPr>
          <w:rFonts w:ascii="Calibri" w:hAnsi="Calibri" w:cs="Calibri"/>
          <w:sz w:val="22"/>
          <w:szCs w:val="22"/>
          <w:shd w:val="clear" w:color="auto" w:fill="FFFFFF"/>
        </w:rPr>
        <w:t>Resolução Normativa nº 4/2021/DIREX-VALEC/PRESI-VALEC,</w:t>
      </w:r>
      <w:r>
        <w:rPr>
          <w:rFonts w:ascii="Calibri" w:hAnsi="Calibri" w:cs="Calibri"/>
          <w:sz w:val="22"/>
          <w:szCs w:val="22"/>
          <w:shd w:val="clear" w:color="auto" w:fill="FFFFFF"/>
        </w:rPr>
        <w:t xml:space="preserve"> </w:t>
      </w:r>
      <w:r w:rsidRPr="00EC601E">
        <w:rPr>
          <w:rFonts w:ascii="Calibri" w:hAnsi="Calibri" w:cs="Calibri"/>
          <w:sz w:val="22"/>
          <w:szCs w:val="22"/>
          <w:shd w:val="clear" w:color="auto" w:fill="FFFFFF"/>
        </w:rPr>
        <w:t>associado a outras orientações técnicas das resp</w:t>
      </w:r>
      <w:r>
        <w:rPr>
          <w:rFonts w:ascii="Calibri" w:hAnsi="Calibri" w:cs="Calibri"/>
          <w:sz w:val="22"/>
          <w:szCs w:val="22"/>
          <w:shd w:val="clear" w:color="auto" w:fill="FFFFFF"/>
        </w:rPr>
        <w:t>e</w:t>
      </w:r>
      <w:r w:rsidRPr="00EC601E">
        <w:rPr>
          <w:rFonts w:ascii="Calibri" w:hAnsi="Calibri" w:cs="Calibri"/>
          <w:sz w:val="22"/>
          <w:szCs w:val="22"/>
          <w:shd w:val="clear" w:color="auto" w:fill="FFFFFF"/>
        </w:rPr>
        <w:t>ctivas áreas de conhecimento; </w:t>
      </w:r>
    </w:p>
    <w:p w14:paraId="6F28BAFF" w14:textId="77777777" w:rsidR="00BD2A00" w:rsidRPr="00BD2A00" w:rsidRDefault="00BD2A00" w:rsidP="00BD2A00">
      <w:pPr>
        <w:pStyle w:val="Textoembloco"/>
        <w:numPr>
          <w:ilvl w:val="0"/>
          <w:numId w:val="42"/>
        </w:numPr>
        <w:spacing w:after="120" w:line="240" w:lineRule="auto"/>
        <w:ind w:right="57"/>
        <w:rPr>
          <w:rFonts w:asciiTheme="minorHAnsi" w:hAnsiTheme="minorHAnsi" w:cstheme="minorHAnsi"/>
          <w:sz w:val="22"/>
          <w:szCs w:val="22"/>
          <w:shd w:val="clear" w:color="auto" w:fill="FFFFFF"/>
        </w:rPr>
      </w:pPr>
      <w:r>
        <w:rPr>
          <w:rFonts w:ascii="Calibri" w:hAnsi="Calibri" w:cs="Calibri"/>
          <w:sz w:val="22"/>
          <w:szCs w:val="22"/>
          <w:shd w:val="clear" w:color="auto" w:fill="FFFFFF"/>
        </w:rPr>
        <w:t>Prazo: o</w:t>
      </w:r>
      <w:r w:rsidR="00AF6050" w:rsidRPr="00BD2A00">
        <w:rPr>
          <w:rFonts w:ascii="Calibri" w:hAnsi="Calibri" w:cs="Calibri"/>
          <w:sz w:val="22"/>
          <w:szCs w:val="22"/>
          <w:shd w:val="clear" w:color="auto" w:fill="FFFFFF"/>
        </w:rPr>
        <w:t xml:space="preserve"> prazo foi determinado pelo estágio em que se encontra o feito, com fundamento no tempo de duração dos processos contido no anuário "Justiça em Números", de modo que o que está em primeira ou </w:t>
      </w:r>
      <w:r w:rsidR="00AF6050" w:rsidRPr="00BD2A00">
        <w:rPr>
          <w:rFonts w:asciiTheme="minorHAnsi" w:hAnsiTheme="minorHAnsi" w:cstheme="minorHAnsi"/>
          <w:sz w:val="22"/>
          <w:szCs w:val="22"/>
          <w:shd w:val="clear" w:color="auto" w:fill="FFFFFF"/>
        </w:rPr>
        <w:t>segunda instância foi considerado como de longo prazo;</w:t>
      </w:r>
    </w:p>
    <w:p w14:paraId="1626C39E" w14:textId="02955531" w:rsidR="00AF6050" w:rsidRDefault="00BD2A00" w:rsidP="00BD2A00">
      <w:pPr>
        <w:pStyle w:val="Textoembloco"/>
        <w:numPr>
          <w:ilvl w:val="0"/>
          <w:numId w:val="42"/>
        </w:numPr>
        <w:spacing w:after="120" w:line="240" w:lineRule="auto"/>
        <w:ind w:right="57"/>
        <w:rPr>
          <w:rFonts w:asciiTheme="minorHAnsi" w:hAnsiTheme="minorHAnsi" w:cstheme="minorHAnsi"/>
          <w:sz w:val="22"/>
          <w:szCs w:val="22"/>
          <w:shd w:val="clear" w:color="auto" w:fill="FFFFFF"/>
        </w:rPr>
      </w:pPr>
      <w:r w:rsidRPr="00BD2A00">
        <w:rPr>
          <w:rFonts w:asciiTheme="minorHAnsi" w:hAnsiTheme="minorHAnsi" w:cstheme="minorHAnsi"/>
          <w:sz w:val="22"/>
          <w:szCs w:val="22"/>
          <w:shd w:val="clear" w:color="auto" w:fill="FFFFFF"/>
        </w:rPr>
        <w:t xml:space="preserve">Limitações: </w:t>
      </w:r>
      <w:r w:rsidR="00AF6050" w:rsidRPr="00BD2A00">
        <w:rPr>
          <w:rFonts w:asciiTheme="minorHAnsi" w:hAnsiTheme="minorHAnsi" w:cstheme="minorHAnsi"/>
          <w:sz w:val="22"/>
          <w:szCs w:val="22"/>
          <w:shd w:val="clear" w:color="auto" w:fill="FFFFFF"/>
        </w:rPr>
        <w:t>Não foram consideradas ações vinculadas aos processos principais (a exemplo de agravos de instrumento), ao intuito de evitar a duplicidade de valores, tendo em vista que o risco de perda nestes casos já foi analisado no risco de perda da ação principal</w:t>
      </w:r>
      <w:r>
        <w:rPr>
          <w:rFonts w:asciiTheme="minorHAnsi" w:hAnsiTheme="minorHAnsi" w:cstheme="minorHAnsi"/>
          <w:sz w:val="22"/>
          <w:szCs w:val="22"/>
          <w:shd w:val="clear" w:color="auto" w:fill="FFFFFF"/>
        </w:rPr>
        <w:t>;</w:t>
      </w:r>
    </w:p>
    <w:p w14:paraId="682B3600" w14:textId="3EA827D4" w:rsidR="00AF6050" w:rsidRDefault="00BD2A00" w:rsidP="00BD2A00">
      <w:pPr>
        <w:pStyle w:val="Textoembloco"/>
        <w:numPr>
          <w:ilvl w:val="0"/>
          <w:numId w:val="42"/>
        </w:numPr>
        <w:spacing w:after="120" w:line="240" w:lineRule="auto"/>
        <w:ind w:right="57"/>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Ações de desapropriações: </w:t>
      </w:r>
      <w:r w:rsidR="00AF6050" w:rsidRPr="00BD2A00">
        <w:rPr>
          <w:rFonts w:asciiTheme="minorHAnsi" w:hAnsiTheme="minorHAnsi" w:cstheme="minorHAnsi"/>
          <w:sz w:val="22"/>
          <w:szCs w:val="22"/>
          <w:shd w:val="clear" w:color="auto" w:fill="FFFFFF"/>
        </w:rPr>
        <w:t xml:space="preserve">o valor das decisões foi subtraído do valor de depósito já efetuado em juízo para obter a imissão na posse, cujo montante representa o mínimo da condenação possível e que, pela própria natureza da causa, não pode ser recuperado pela </w:t>
      </w:r>
      <w:r w:rsidR="00E11BEF">
        <w:rPr>
          <w:rFonts w:asciiTheme="minorHAnsi" w:hAnsiTheme="minorHAnsi" w:cstheme="minorHAnsi"/>
          <w:sz w:val="22"/>
          <w:szCs w:val="22"/>
          <w:shd w:val="clear" w:color="auto" w:fill="FFFFFF"/>
        </w:rPr>
        <w:t>Infra</w:t>
      </w:r>
      <w:r w:rsidR="005B519D">
        <w:rPr>
          <w:rFonts w:asciiTheme="minorHAnsi" w:hAnsiTheme="minorHAnsi" w:cstheme="minorHAnsi"/>
          <w:sz w:val="22"/>
          <w:szCs w:val="22"/>
          <w:shd w:val="clear" w:color="auto" w:fill="FFFFFF"/>
        </w:rPr>
        <w:t xml:space="preserve"> S.A.</w:t>
      </w:r>
      <w:r w:rsidR="00AF6050" w:rsidRPr="00BD2A00">
        <w:rPr>
          <w:rFonts w:asciiTheme="minorHAnsi" w:hAnsiTheme="minorHAnsi" w:cstheme="minorHAnsi"/>
          <w:sz w:val="22"/>
          <w:szCs w:val="22"/>
          <w:shd w:val="clear" w:color="auto" w:fill="FFFFFF"/>
        </w:rPr>
        <w:t>;</w:t>
      </w:r>
    </w:p>
    <w:p w14:paraId="62722FC0" w14:textId="4A2195A7" w:rsidR="006E0CFB" w:rsidRPr="007D6164" w:rsidRDefault="006E0CFB" w:rsidP="00BE578F">
      <w:pPr>
        <w:pStyle w:val="Textoembloco"/>
        <w:spacing w:after="120" w:line="240" w:lineRule="auto"/>
        <w:ind w:left="0" w:right="57"/>
        <w:rPr>
          <w:rFonts w:ascii="Calibri" w:hAnsi="Calibri" w:cs="Calibri"/>
          <w:b/>
          <w:bCs w:val="0"/>
          <w:sz w:val="22"/>
          <w:szCs w:val="22"/>
          <w:shd w:val="clear" w:color="auto" w:fill="FFFFFF"/>
        </w:rPr>
      </w:pPr>
      <w:r w:rsidRPr="008D21F0">
        <w:rPr>
          <w:rFonts w:ascii="Calibri" w:hAnsi="Calibri" w:cs="Calibri"/>
          <w:b/>
          <w:bCs w:val="0"/>
          <w:sz w:val="22"/>
          <w:szCs w:val="22"/>
          <w:shd w:val="clear" w:color="auto" w:fill="FFFFFF"/>
        </w:rPr>
        <w:t>b.</w:t>
      </w:r>
      <w:r w:rsidR="007D6164" w:rsidRPr="008D21F0">
        <w:rPr>
          <w:rFonts w:ascii="Calibri" w:hAnsi="Calibri" w:cs="Calibri"/>
          <w:b/>
          <w:bCs w:val="0"/>
          <w:sz w:val="22"/>
          <w:szCs w:val="22"/>
          <w:shd w:val="clear" w:color="auto" w:fill="FFFFFF"/>
        </w:rPr>
        <w:t>2</w:t>
      </w:r>
      <w:r w:rsidRPr="008D21F0">
        <w:rPr>
          <w:rFonts w:ascii="Calibri" w:hAnsi="Calibri" w:cs="Calibri"/>
          <w:b/>
          <w:bCs w:val="0"/>
          <w:sz w:val="22"/>
          <w:szCs w:val="22"/>
          <w:shd w:val="clear" w:color="auto" w:fill="FFFFFF"/>
        </w:rPr>
        <w:t xml:space="preserve">) </w:t>
      </w:r>
      <w:r w:rsidR="007D6164" w:rsidRPr="008D21F0">
        <w:rPr>
          <w:rFonts w:ascii="Calibri" w:hAnsi="Calibri" w:cs="Calibri"/>
          <w:b/>
          <w:bCs w:val="0"/>
          <w:sz w:val="22"/>
          <w:szCs w:val="22"/>
          <w:shd w:val="clear" w:color="auto" w:fill="FFFFFF"/>
        </w:rPr>
        <w:t>Ações com Risco de Perda Provável:</w:t>
      </w:r>
    </w:p>
    <w:p w14:paraId="67797BA2" w14:textId="36DA785E" w:rsidR="00BE578F" w:rsidRDefault="00ED700A" w:rsidP="00BE578F">
      <w:pPr>
        <w:pStyle w:val="Textoembloco"/>
        <w:spacing w:after="120" w:line="240" w:lineRule="auto"/>
        <w:ind w:left="0" w:right="57"/>
        <w:rPr>
          <w:rFonts w:ascii="Calibri" w:hAnsi="Calibri" w:cs="Calibri"/>
          <w:sz w:val="22"/>
          <w:szCs w:val="22"/>
          <w:shd w:val="clear" w:color="auto" w:fill="FFFFFF"/>
        </w:rPr>
      </w:pPr>
      <w:r>
        <w:rPr>
          <w:rFonts w:ascii="Calibri" w:hAnsi="Calibri" w:cs="Calibri"/>
          <w:sz w:val="22"/>
          <w:szCs w:val="22"/>
          <w:shd w:val="clear" w:color="auto" w:fill="FFFFFF"/>
        </w:rPr>
        <w:t>A</w:t>
      </w:r>
      <w:r w:rsidR="00C514C3">
        <w:rPr>
          <w:rFonts w:ascii="Calibri" w:hAnsi="Calibri" w:cs="Calibri"/>
          <w:sz w:val="22"/>
          <w:szCs w:val="22"/>
          <w:shd w:val="clear" w:color="auto" w:fill="FFFFFF"/>
        </w:rPr>
        <w:t xml:space="preserve"> Procuradoria Jurídica apresentou </w:t>
      </w:r>
      <w:r w:rsidR="002901F5">
        <w:rPr>
          <w:rFonts w:ascii="Calibri" w:hAnsi="Calibri" w:cs="Calibri"/>
          <w:sz w:val="22"/>
          <w:szCs w:val="22"/>
          <w:shd w:val="clear" w:color="auto" w:fill="FFFFFF"/>
        </w:rPr>
        <w:t>o</w:t>
      </w:r>
      <w:r w:rsidR="00BE578F" w:rsidRPr="009303E0">
        <w:rPr>
          <w:rFonts w:ascii="Calibri" w:hAnsi="Calibri" w:cs="Calibri"/>
          <w:sz w:val="22"/>
          <w:szCs w:val="22"/>
          <w:shd w:val="clear" w:color="auto" w:fill="FFFFFF"/>
        </w:rPr>
        <w:t>s valores dos processos judiciais classificados como obrigações presentes e com “prováveis” saídas futuras de recursos financeiros</w:t>
      </w:r>
      <w:r>
        <w:rPr>
          <w:rFonts w:ascii="Calibri" w:hAnsi="Calibri" w:cs="Calibri"/>
          <w:sz w:val="22"/>
          <w:szCs w:val="22"/>
          <w:shd w:val="clear" w:color="auto" w:fill="FFFFFF"/>
        </w:rPr>
        <w:t xml:space="preserve"> em 30 de </w:t>
      </w:r>
      <w:r w:rsidR="005B519D">
        <w:rPr>
          <w:rFonts w:ascii="Calibri" w:hAnsi="Calibri" w:cs="Calibri"/>
          <w:sz w:val="22"/>
          <w:szCs w:val="22"/>
          <w:shd w:val="clear" w:color="auto" w:fill="FFFFFF"/>
        </w:rPr>
        <w:t>setembr</w:t>
      </w:r>
      <w:r>
        <w:rPr>
          <w:rFonts w:ascii="Calibri" w:hAnsi="Calibri" w:cs="Calibri"/>
          <w:sz w:val="22"/>
          <w:szCs w:val="22"/>
          <w:shd w:val="clear" w:color="auto" w:fill="FFFFFF"/>
        </w:rPr>
        <w:t>o de 2022</w:t>
      </w:r>
      <w:r w:rsidR="009139EB">
        <w:rPr>
          <w:rFonts w:ascii="Calibri" w:hAnsi="Calibri" w:cs="Calibri"/>
          <w:sz w:val="22"/>
          <w:szCs w:val="22"/>
          <w:shd w:val="clear" w:color="auto" w:fill="FFFFFF"/>
        </w:rPr>
        <w:t>,</w:t>
      </w:r>
      <w:r>
        <w:rPr>
          <w:rFonts w:ascii="Calibri" w:hAnsi="Calibri" w:cs="Calibri"/>
          <w:sz w:val="22"/>
          <w:szCs w:val="22"/>
          <w:shd w:val="clear" w:color="auto" w:fill="FFFFFF"/>
        </w:rPr>
        <w:t xml:space="preserve"> conforme segue:</w:t>
      </w:r>
    </w:p>
    <w:tbl>
      <w:tblPr>
        <w:tblW w:w="4878" w:type="pct"/>
        <w:jc w:val="center"/>
        <w:tblCellMar>
          <w:left w:w="70" w:type="dxa"/>
          <w:right w:w="70" w:type="dxa"/>
        </w:tblCellMar>
        <w:tblLook w:val="04A0" w:firstRow="1" w:lastRow="0" w:firstColumn="1" w:lastColumn="0" w:noHBand="0" w:noVBand="1"/>
      </w:tblPr>
      <w:tblGrid>
        <w:gridCol w:w="2139"/>
        <w:gridCol w:w="2208"/>
        <w:gridCol w:w="1750"/>
        <w:gridCol w:w="2124"/>
        <w:gridCol w:w="1991"/>
      </w:tblGrid>
      <w:tr w:rsidR="00321669" w:rsidRPr="009303E0" w14:paraId="035B149A"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3A88DBFB" w14:textId="77777777" w:rsidR="00321669" w:rsidRPr="009303E0" w:rsidRDefault="00321669" w:rsidP="00670EF5">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AÇÕES</w:t>
            </w:r>
          </w:p>
        </w:tc>
        <w:tc>
          <w:tcPr>
            <w:tcW w:w="1081" w:type="pct"/>
            <w:tcBorders>
              <w:top w:val="nil"/>
              <w:left w:val="nil"/>
              <w:bottom w:val="single" w:sz="8" w:space="0" w:color="auto"/>
              <w:right w:val="nil"/>
            </w:tcBorders>
          </w:tcPr>
          <w:p w14:paraId="60FFBF61" w14:textId="4359EB15" w:rsidR="00321669" w:rsidRPr="009303E0" w:rsidRDefault="00321669" w:rsidP="00321669">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SALDO EM 31/12/2021</w:t>
            </w:r>
          </w:p>
        </w:tc>
        <w:tc>
          <w:tcPr>
            <w:tcW w:w="857" w:type="pct"/>
            <w:tcBorders>
              <w:top w:val="nil"/>
              <w:left w:val="nil"/>
              <w:bottom w:val="single" w:sz="8" w:space="0" w:color="auto"/>
              <w:right w:val="nil"/>
            </w:tcBorders>
          </w:tcPr>
          <w:p w14:paraId="149792B8" w14:textId="687430F6" w:rsidR="00321669" w:rsidRPr="009303E0" w:rsidRDefault="00CA0B3B" w:rsidP="00670EF5">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INGRESSO</w:t>
            </w:r>
          </w:p>
        </w:tc>
        <w:tc>
          <w:tcPr>
            <w:tcW w:w="1040" w:type="pct"/>
            <w:tcBorders>
              <w:top w:val="nil"/>
              <w:left w:val="nil"/>
              <w:bottom w:val="single" w:sz="8" w:space="0" w:color="auto"/>
              <w:right w:val="nil"/>
            </w:tcBorders>
            <w:shd w:val="clear" w:color="auto" w:fill="auto"/>
            <w:vAlign w:val="center"/>
          </w:tcPr>
          <w:p w14:paraId="74E1F34F" w14:textId="6B7F113C" w:rsidR="00321669" w:rsidRPr="009303E0" w:rsidRDefault="00842ACC" w:rsidP="00670EF5">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BAIXA/</w:t>
            </w:r>
            <w:r w:rsidR="00CA0B3B">
              <w:rPr>
                <w:rFonts w:asciiTheme="minorHAnsi" w:hAnsiTheme="minorHAnsi" w:cstheme="minorHAnsi"/>
                <w:b/>
                <w:bCs/>
                <w:color w:val="000000"/>
                <w:sz w:val="16"/>
                <w:szCs w:val="16"/>
              </w:rPr>
              <w:t>REVERSÃO</w:t>
            </w:r>
          </w:p>
        </w:tc>
        <w:tc>
          <w:tcPr>
            <w:tcW w:w="975" w:type="pct"/>
            <w:tcBorders>
              <w:top w:val="nil"/>
              <w:left w:val="nil"/>
              <w:bottom w:val="single" w:sz="8" w:space="0" w:color="auto"/>
              <w:right w:val="nil"/>
            </w:tcBorders>
            <w:shd w:val="clear" w:color="auto" w:fill="auto"/>
            <w:vAlign w:val="center"/>
            <w:hideMark/>
          </w:tcPr>
          <w:p w14:paraId="1B400DB8" w14:textId="5DB4F662" w:rsidR="00321669" w:rsidRPr="009303E0" w:rsidRDefault="00321669" w:rsidP="00670EF5">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 xml:space="preserve">   </w:t>
            </w:r>
            <w:r w:rsidRPr="009303E0">
              <w:rPr>
                <w:rFonts w:asciiTheme="minorHAnsi" w:hAnsiTheme="minorHAnsi" w:cstheme="minorHAnsi"/>
                <w:b/>
                <w:bCs/>
                <w:color w:val="000000"/>
                <w:sz w:val="16"/>
                <w:szCs w:val="16"/>
              </w:rPr>
              <w:t>SALDO EM 3</w:t>
            </w:r>
            <w:r>
              <w:rPr>
                <w:rFonts w:asciiTheme="minorHAnsi" w:hAnsiTheme="minorHAnsi" w:cstheme="minorHAnsi"/>
                <w:b/>
                <w:bCs/>
                <w:color w:val="000000"/>
                <w:sz w:val="16"/>
                <w:szCs w:val="16"/>
              </w:rPr>
              <w:t>0</w:t>
            </w:r>
            <w:r w:rsidRPr="009303E0">
              <w:rPr>
                <w:rFonts w:asciiTheme="minorHAnsi" w:hAnsiTheme="minorHAnsi" w:cstheme="minorHAnsi"/>
                <w:b/>
                <w:bCs/>
                <w:color w:val="000000"/>
                <w:sz w:val="16"/>
                <w:szCs w:val="16"/>
              </w:rPr>
              <w:t>/</w:t>
            </w:r>
            <w:r>
              <w:rPr>
                <w:rFonts w:asciiTheme="minorHAnsi" w:hAnsiTheme="minorHAnsi" w:cstheme="minorHAnsi"/>
                <w:b/>
                <w:bCs/>
                <w:color w:val="000000"/>
                <w:sz w:val="16"/>
                <w:szCs w:val="16"/>
              </w:rPr>
              <w:t>0</w:t>
            </w:r>
            <w:r w:rsidR="00A23C7D">
              <w:rPr>
                <w:rFonts w:asciiTheme="minorHAnsi" w:hAnsiTheme="minorHAnsi" w:cstheme="minorHAnsi"/>
                <w:b/>
                <w:bCs/>
                <w:color w:val="000000"/>
                <w:sz w:val="16"/>
                <w:szCs w:val="16"/>
              </w:rPr>
              <w:t>9</w:t>
            </w:r>
            <w:r w:rsidRPr="009303E0">
              <w:rPr>
                <w:rFonts w:asciiTheme="minorHAnsi" w:hAnsiTheme="minorHAnsi" w:cstheme="minorHAnsi"/>
                <w:b/>
                <w:bCs/>
                <w:color w:val="000000"/>
                <w:sz w:val="16"/>
                <w:szCs w:val="16"/>
              </w:rPr>
              <w:t>/202</w:t>
            </w:r>
            <w:r>
              <w:rPr>
                <w:rFonts w:asciiTheme="minorHAnsi" w:hAnsiTheme="minorHAnsi" w:cstheme="minorHAnsi"/>
                <w:b/>
                <w:bCs/>
                <w:color w:val="000000"/>
                <w:sz w:val="16"/>
                <w:szCs w:val="16"/>
              </w:rPr>
              <w:t>2</w:t>
            </w:r>
          </w:p>
        </w:tc>
      </w:tr>
      <w:tr w:rsidR="00CA0B3B" w:rsidRPr="009303E0" w14:paraId="77CAA2FD" w14:textId="77777777" w:rsidTr="00C553AE">
        <w:trPr>
          <w:trHeight w:val="227"/>
          <w:jc w:val="center"/>
        </w:trPr>
        <w:tc>
          <w:tcPr>
            <w:tcW w:w="1047" w:type="pct"/>
            <w:tcBorders>
              <w:top w:val="nil"/>
              <w:left w:val="nil"/>
              <w:bottom w:val="nil"/>
              <w:right w:val="nil"/>
            </w:tcBorders>
            <w:shd w:val="clear" w:color="auto" w:fill="auto"/>
            <w:noWrap/>
            <w:vAlign w:val="bottom"/>
            <w:hideMark/>
          </w:tcPr>
          <w:p w14:paraId="583219BB"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Desapropriações</w:t>
            </w:r>
          </w:p>
        </w:tc>
        <w:tc>
          <w:tcPr>
            <w:tcW w:w="1081" w:type="pct"/>
            <w:tcBorders>
              <w:top w:val="nil"/>
              <w:left w:val="nil"/>
              <w:bottom w:val="nil"/>
              <w:right w:val="nil"/>
            </w:tcBorders>
            <w:vAlign w:val="center"/>
          </w:tcPr>
          <w:p w14:paraId="00F1A302" w14:textId="02768D41"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62.109.631</w:t>
            </w:r>
          </w:p>
        </w:tc>
        <w:tc>
          <w:tcPr>
            <w:tcW w:w="857" w:type="pct"/>
            <w:tcBorders>
              <w:top w:val="nil"/>
              <w:left w:val="nil"/>
              <w:bottom w:val="nil"/>
              <w:right w:val="nil"/>
            </w:tcBorders>
          </w:tcPr>
          <w:p w14:paraId="75FDC806" w14:textId="092F8B71" w:rsidR="00CA0B3B" w:rsidRPr="009303E0" w:rsidRDefault="00F16E88" w:rsidP="00CA0B3B">
            <w:pPr>
              <w:jc w:val="right"/>
              <w:rPr>
                <w:rFonts w:asciiTheme="minorHAnsi" w:hAnsiTheme="minorHAnsi" w:cstheme="minorHAnsi"/>
                <w:color w:val="000000"/>
                <w:sz w:val="16"/>
                <w:szCs w:val="16"/>
              </w:rPr>
            </w:pPr>
            <w:r w:rsidRPr="00F16E88">
              <w:rPr>
                <w:rFonts w:asciiTheme="minorHAnsi" w:hAnsiTheme="minorHAnsi" w:cstheme="minorHAnsi"/>
                <w:color w:val="000000"/>
                <w:sz w:val="16"/>
                <w:szCs w:val="16"/>
              </w:rPr>
              <w:t>3</w:t>
            </w:r>
            <w:r>
              <w:rPr>
                <w:rFonts w:asciiTheme="minorHAnsi" w:hAnsiTheme="minorHAnsi" w:cstheme="minorHAnsi"/>
                <w:color w:val="000000"/>
                <w:sz w:val="16"/>
                <w:szCs w:val="16"/>
              </w:rPr>
              <w:t>.</w:t>
            </w:r>
            <w:r w:rsidRPr="00F16E88">
              <w:rPr>
                <w:rFonts w:asciiTheme="minorHAnsi" w:hAnsiTheme="minorHAnsi" w:cstheme="minorHAnsi"/>
                <w:color w:val="000000"/>
                <w:sz w:val="16"/>
                <w:szCs w:val="16"/>
              </w:rPr>
              <w:t>759</w:t>
            </w:r>
            <w:r>
              <w:rPr>
                <w:rFonts w:asciiTheme="minorHAnsi" w:hAnsiTheme="minorHAnsi" w:cstheme="minorHAnsi"/>
                <w:color w:val="000000"/>
                <w:sz w:val="16"/>
                <w:szCs w:val="16"/>
              </w:rPr>
              <w:t>.</w:t>
            </w:r>
            <w:r w:rsidRPr="00F16E88">
              <w:rPr>
                <w:rFonts w:asciiTheme="minorHAnsi" w:hAnsiTheme="minorHAnsi" w:cstheme="minorHAnsi"/>
                <w:color w:val="000000"/>
                <w:sz w:val="16"/>
                <w:szCs w:val="16"/>
              </w:rPr>
              <w:t>348</w:t>
            </w:r>
          </w:p>
        </w:tc>
        <w:tc>
          <w:tcPr>
            <w:tcW w:w="1040" w:type="pct"/>
            <w:tcBorders>
              <w:top w:val="nil"/>
              <w:left w:val="nil"/>
              <w:bottom w:val="nil"/>
              <w:right w:val="nil"/>
            </w:tcBorders>
            <w:shd w:val="clear" w:color="auto" w:fill="auto"/>
            <w:noWrap/>
            <w:vAlign w:val="center"/>
          </w:tcPr>
          <w:p w14:paraId="1807AB71" w14:textId="2A87516D"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r w:rsidR="00A23C7D">
              <w:rPr>
                <w:rFonts w:asciiTheme="minorHAnsi" w:hAnsiTheme="minorHAnsi" w:cstheme="minorHAnsi"/>
                <w:color w:val="000000"/>
                <w:sz w:val="16"/>
                <w:szCs w:val="16"/>
              </w:rPr>
              <w:t>5.750.949</w:t>
            </w:r>
            <w:r>
              <w:rPr>
                <w:rFonts w:asciiTheme="minorHAnsi" w:hAnsiTheme="minorHAnsi" w:cstheme="minorHAnsi"/>
                <w:color w:val="000000"/>
                <w:sz w:val="16"/>
                <w:szCs w:val="16"/>
              </w:rPr>
              <w:t>)</w:t>
            </w:r>
          </w:p>
        </w:tc>
        <w:tc>
          <w:tcPr>
            <w:tcW w:w="975" w:type="pct"/>
            <w:tcBorders>
              <w:top w:val="nil"/>
              <w:left w:val="nil"/>
              <w:bottom w:val="nil"/>
              <w:right w:val="nil"/>
            </w:tcBorders>
            <w:shd w:val="clear" w:color="auto" w:fill="auto"/>
            <w:noWrap/>
            <w:vAlign w:val="center"/>
            <w:hideMark/>
          </w:tcPr>
          <w:p w14:paraId="7948C56B" w14:textId="728C72F8" w:rsidR="00CA0B3B" w:rsidRPr="009303E0" w:rsidRDefault="00A23C7D"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60.118.030</w:t>
            </w:r>
          </w:p>
        </w:tc>
      </w:tr>
      <w:tr w:rsidR="00CA0B3B" w:rsidRPr="009303E0" w14:paraId="79BD33A9"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33DBAD56"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Trabalhistas</w:t>
            </w:r>
          </w:p>
        </w:tc>
        <w:tc>
          <w:tcPr>
            <w:tcW w:w="1081" w:type="pct"/>
            <w:tcBorders>
              <w:top w:val="nil"/>
              <w:left w:val="nil"/>
              <w:bottom w:val="nil"/>
              <w:right w:val="nil"/>
            </w:tcBorders>
            <w:vAlign w:val="center"/>
          </w:tcPr>
          <w:p w14:paraId="1BA165CB" w14:textId="1915A6A5"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47.815.572</w:t>
            </w:r>
          </w:p>
        </w:tc>
        <w:tc>
          <w:tcPr>
            <w:tcW w:w="857" w:type="pct"/>
            <w:tcBorders>
              <w:top w:val="nil"/>
              <w:left w:val="nil"/>
              <w:bottom w:val="nil"/>
              <w:right w:val="nil"/>
            </w:tcBorders>
          </w:tcPr>
          <w:p w14:paraId="35A6B4D6" w14:textId="16794F25" w:rsidR="00CA0B3B" w:rsidRPr="009303E0" w:rsidRDefault="00F16E88" w:rsidP="00CA0B3B">
            <w:pPr>
              <w:jc w:val="right"/>
              <w:rPr>
                <w:rFonts w:asciiTheme="minorHAnsi" w:hAnsiTheme="minorHAnsi" w:cstheme="minorHAnsi"/>
                <w:color w:val="000000"/>
                <w:sz w:val="16"/>
                <w:szCs w:val="16"/>
              </w:rPr>
            </w:pPr>
            <w:r w:rsidRPr="00F16E88">
              <w:rPr>
                <w:rFonts w:asciiTheme="minorHAnsi" w:hAnsiTheme="minorHAnsi" w:cstheme="minorHAnsi"/>
                <w:color w:val="000000"/>
                <w:sz w:val="16"/>
                <w:szCs w:val="16"/>
              </w:rPr>
              <w:t>20</w:t>
            </w:r>
            <w:r>
              <w:rPr>
                <w:rFonts w:asciiTheme="minorHAnsi" w:hAnsiTheme="minorHAnsi" w:cstheme="minorHAnsi"/>
                <w:color w:val="000000"/>
                <w:sz w:val="16"/>
                <w:szCs w:val="16"/>
              </w:rPr>
              <w:t>.</w:t>
            </w:r>
            <w:r w:rsidRPr="00F16E88">
              <w:rPr>
                <w:rFonts w:asciiTheme="minorHAnsi" w:hAnsiTheme="minorHAnsi" w:cstheme="minorHAnsi"/>
                <w:color w:val="000000"/>
                <w:sz w:val="16"/>
                <w:szCs w:val="16"/>
              </w:rPr>
              <w:t>298</w:t>
            </w:r>
            <w:r>
              <w:rPr>
                <w:rFonts w:asciiTheme="minorHAnsi" w:hAnsiTheme="minorHAnsi" w:cstheme="minorHAnsi"/>
                <w:color w:val="000000"/>
                <w:sz w:val="16"/>
                <w:szCs w:val="16"/>
              </w:rPr>
              <w:t>.</w:t>
            </w:r>
            <w:r w:rsidRPr="00F16E88">
              <w:rPr>
                <w:rFonts w:asciiTheme="minorHAnsi" w:hAnsiTheme="minorHAnsi" w:cstheme="minorHAnsi"/>
                <w:color w:val="000000"/>
                <w:sz w:val="16"/>
                <w:szCs w:val="16"/>
              </w:rPr>
              <w:t>026</w:t>
            </w:r>
          </w:p>
        </w:tc>
        <w:tc>
          <w:tcPr>
            <w:tcW w:w="1040" w:type="pct"/>
            <w:tcBorders>
              <w:top w:val="nil"/>
              <w:left w:val="nil"/>
              <w:bottom w:val="nil"/>
              <w:right w:val="nil"/>
            </w:tcBorders>
            <w:shd w:val="clear" w:color="auto" w:fill="auto"/>
            <w:noWrap/>
            <w:vAlign w:val="center"/>
          </w:tcPr>
          <w:p w14:paraId="0E3CE46B" w14:textId="3278FE55" w:rsidR="00CA0B3B" w:rsidRPr="009303E0" w:rsidRDefault="00A23C7D"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(1.941.664)</w:t>
            </w:r>
          </w:p>
        </w:tc>
        <w:tc>
          <w:tcPr>
            <w:tcW w:w="975" w:type="pct"/>
            <w:tcBorders>
              <w:top w:val="nil"/>
              <w:left w:val="nil"/>
              <w:bottom w:val="nil"/>
              <w:right w:val="nil"/>
            </w:tcBorders>
            <w:shd w:val="clear" w:color="auto" w:fill="auto"/>
            <w:noWrap/>
            <w:vAlign w:val="center"/>
            <w:hideMark/>
          </w:tcPr>
          <w:p w14:paraId="5113A567" w14:textId="69862A6E" w:rsidR="00CA0B3B" w:rsidRPr="009303E0" w:rsidRDefault="00A23C7D"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66.171.934</w:t>
            </w:r>
          </w:p>
        </w:tc>
      </w:tr>
      <w:tr w:rsidR="00CA0B3B" w:rsidRPr="009303E0" w14:paraId="4599CD9E"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6A73D307"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Cíveis</w:t>
            </w:r>
          </w:p>
        </w:tc>
        <w:tc>
          <w:tcPr>
            <w:tcW w:w="1081" w:type="pct"/>
            <w:tcBorders>
              <w:top w:val="nil"/>
              <w:left w:val="nil"/>
              <w:bottom w:val="nil"/>
              <w:right w:val="nil"/>
            </w:tcBorders>
            <w:vAlign w:val="center"/>
          </w:tcPr>
          <w:p w14:paraId="153B4587" w14:textId="6EA6CBFA"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1.860.944.791</w:t>
            </w:r>
          </w:p>
        </w:tc>
        <w:tc>
          <w:tcPr>
            <w:tcW w:w="857" w:type="pct"/>
            <w:tcBorders>
              <w:top w:val="nil"/>
              <w:left w:val="nil"/>
              <w:bottom w:val="nil"/>
              <w:right w:val="nil"/>
            </w:tcBorders>
          </w:tcPr>
          <w:p w14:paraId="222C8F2D" w14:textId="23941976" w:rsidR="00CA0B3B" w:rsidRPr="009303E0" w:rsidRDefault="00F16E88" w:rsidP="00CA0B3B">
            <w:pPr>
              <w:jc w:val="right"/>
              <w:rPr>
                <w:rFonts w:asciiTheme="minorHAnsi" w:hAnsiTheme="minorHAnsi" w:cstheme="minorHAnsi"/>
                <w:color w:val="000000"/>
                <w:sz w:val="16"/>
                <w:szCs w:val="16"/>
              </w:rPr>
            </w:pPr>
            <w:r w:rsidRPr="00F16E88">
              <w:rPr>
                <w:rFonts w:asciiTheme="minorHAnsi" w:hAnsiTheme="minorHAnsi" w:cstheme="minorHAnsi"/>
                <w:color w:val="000000"/>
                <w:sz w:val="16"/>
                <w:szCs w:val="16"/>
              </w:rPr>
              <w:t>1</w:t>
            </w:r>
            <w:r>
              <w:rPr>
                <w:rFonts w:asciiTheme="minorHAnsi" w:hAnsiTheme="minorHAnsi" w:cstheme="minorHAnsi"/>
                <w:color w:val="000000"/>
                <w:sz w:val="16"/>
                <w:szCs w:val="16"/>
              </w:rPr>
              <w:t>.</w:t>
            </w:r>
            <w:r w:rsidRPr="00F16E88">
              <w:rPr>
                <w:rFonts w:asciiTheme="minorHAnsi" w:hAnsiTheme="minorHAnsi" w:cstheme="minorHAnsi"/>
                <w:color w:val="000000"/>
                <w:sz w:val="16"/>
                <w:szCs w:val="16"/>
              </w:rPr>
              <w:t>222</w:t>
            </w:r>
            <w:r>
              <w:rPr>
                <w:rFonts w:asciiTheme="minorHAnsi" w:hAnsiTheme="minorHAnsi" w:cstheme="minorHAnsi"/>
                <w:color w:val="000000"/>
                <w:sz w:val="16"/>
                <w:szCs w:val="16"/>
              </w:rPr>
              <w:t>.</w:t>
            </w:r>
            <w:r w:rsidRPr="00F16E88">
              <w:rPr>
                <w:rFonts w:asciiTheme="minorHAnsi" w:hAnsiTheme="minorHAnsi" w:cstheme="minorHAnsi"/>
                <w:color w:val="000000"/>
                <w:sz w:val="16"/>
                <w:szCs w:val="16"/>
              </w:rPr>
              <w:t>763</w:t>
            </w:r>
          </w:p>
        </w:tc>
        <w:tc>
          <w:tcPr>
            <w:tcW w:w="1040" w:type="pct"/>
            <w:tcBorders>
              <w:top w:val="nil"/>
              <w:left w:val="nil"/>
              <w:bottom w:val="nil"/>
              <w:right w:val="nil"/>
            </w:tcBorders>
            <w:shd w:val="clear" w:color="auto" w:fill="auto"/>
            <w:noWrap/>
            <w:vAlign w:val="center"/>
          </w:tcPr>
          <w:p w14:paraId="54C4380A" w14:textId="4185EA90"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(46.112.820)</w:t>
            </w:r>
          </w:p>
        </w:tc>
        <w:tc>
          <w:tcPr>
            <w:tcW w:w="975" w:type="pct"/>
            <w:tcBorders>
              <w:top w:val="nil"/>
              <w:left w:val="nil"/>
              <w:bottom w:val="nil"/>
              <w:right w:val="nil"/>
            </w:tcBorders>
            <w:shd w:val="clear" w:color="auto" w:fill="auto"/>
            <w:noWrap/>
            <w:vAlign w:val="center"/>
            <w:hideMark/>
          </w:tcPr>
          <w:p w14:paraId="06A6BC7D" w14:textId="4B1192E8" w:rsidR="00CA0B3B" w:rsidRPr="009303E0" w:rsidRDefault="00A23C7D"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1.816.054.734</w:t>
            </w:r>
          </w:p>
        </w:tc>
      </w:tr>
      <w:tr w:rsidR="00CA0B3B" w:rsidRPr="009303E0" w14:paraId="0DE15F08"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387207CE"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Tributárias</w:t>
            </w:r>
          </w:p>
        </w:tc>
        <w:tc>
          <w:tcPr>
            <w:tcW w:w="1081" w:type="pct"/>
            <w:tcBorders>
              <w:top w:val="nil"/>
              <w:left w:val="nil"/>
              <w:bottom w:val="nil"/>
              <w:right w:val="nil"/>
            </w:tcBorders>
            <w:vAlign w:val="center"/>
          </w:tcPr>
          <w:p w14:paraId="43976F76" w14:textId="0FEC23F8"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434.727</w:t>
            </w:r>
          </w:p>
        </w:tc>
        <w:tc>
          <w:tcPr>
            <w:tcW w:w="857" w:type="pct"/>
            <w:tcBorders>
              <w:top w:val="nil"/>
              <w:left w:val="nil"/>
              <w:bottom w:val="nil"/>
              <w:right w:val="nil"/>
            </w:tcBorders>
          </w:tcPr>
          <w:p w14:paraId="42DBFE6F" w14:textId="3E495616"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911.048</w:t>
            </w:r>
          </w:p>
        </w:tc>
        <w:tc>
          <w:tcPr>
            <w:tcW w:w="1040" w:type="pct"/>
            <w:tcBorders>
              <w:top w:val="nil"/>
              <w:left w:val="nil"/>
              <w:bottom w:val="nil"/>
              <w:right w:val="nil"/>
            </w:tcBorders>
            <w:shd w:val="clear" w:color="auto" w:fill="auto"/>
            <w:noWrap/>
            <w:vAlign w:val="center"/>
          </w:tcPr>
          <w:p w14:paraId="5BF98945" w14:textId="1E78512D"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nil"/>
              <w:right w:val="nil"/>
            </w:tcBorders>
            <w:shd w:val="clear" w:color="auto" w:fill="auto"/>
            <w:noWrap/>
            <w:vAlign w:val="center"/>
            <w:hideMark/>
          </w:tcPr>
          <w:p w14:paraId="0F1403C5" w14:textId="0999B23A"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1.345.775</w:t>
            </w:r>
          </w:p>
        </w:tc>
      </w:tr>
      <w:tr w:rsidR="00CA0B3B" w:rsidRPr="009303E0" w14:paraId="19C9E837"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1A076DCE"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Previdenciárias</w:t>
            </w:r>
          </w:p>
        </w:tc>
        <w:tc>
          <w:tcPr>
            <w:tcW w:w="1081" w:type="pct"/>
            <w:tcBorders>
              <w:top w:val="nil"/>
              <w:left w:val="nil"/>
              <w:bottom w:val="single" w:sz="8" w:space="0" w:color="auto"/>
              <w:right w:val="nil"/>
            </w:tcBorders>
            <w:vAlign w:val="center"/>
          </w:tcPr>
          <w:p w14:paraId="2BF26FD1" w14:textId="712C952B"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258.198</w:t>
            </w:r>
          </w:p>
        </w:tc>
        <w:tc>
          <w:tcPr>
            <w:tcW w:w="857" w:type="pct"/>
            <w:tcBorders>
              <w:top w:val="nil"/>
              <w:left w:val="nil"/>
              <w:bottom w:val="single" w:sz="8" w:space="0" w:color="auto"/>
              <w:right w:val="nil"/>
            </w:tcBorders>
          </w:tcPr>
          <w:p w14:paraId="3DA5D722" w14:textId="05DFE708"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231.573</w:t>
            </w:r>
          </w:p>
        </w:tc>
        <w:tc>
          <w:tcPr>
            <w:tcW w:w="1040" w:type="pct"/>
            <w:tcBorders>
              <w:top w:val="nil"/>
              <w:left w:val="nil"/>
              <w:bottom w:val="single" w:sz="8" w:space="0" w:color="auto"/>
              <w:right w:val="nil"/>
            </w:tcBorders>
            <w:shd w:val="clear" w:color="auto" w:fill="auto"/>
            <w:noWrap/>
            <w:vAlign w:val="center"/>
          </w:tcPr>
          <w:p w14:paraId="5903567A" w14:textId="79AECD2F"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single" w:sz="8" w:space="0" w:color="auto"/>
              <w:right w:val="nil"/>
            </w:tcBorders>
            <w:shd w:val="clear" w:color="auto" w:fill="auto"/>
            <w:noWrap/>
            <w:vAlign w:val="center"/>
            <w:hideMark/>
          </w:tcPr>
          <w:p w14:paraId="70196879" w14:textId="414D5169"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489.771</w:t>
            </w:r>
          </w:p>
        </w:tc>
      </w:tr>
      <w:tr w:rsidR="00CA0B3B" w:rsidRPr="009303E0" w14:paraId="48AA5F2E"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71DE3C00" w14:textId="77777777" w:rsidR="00CA0B3B" w:rsidRPr="009303E0" w:rsidRDefault="00CA0B3B" w:rsidP="00CA0B3B">
            <w:pPr>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SALDO</w:t>
            </w:r>
          </w:p>
        </w:tc>
        <w:tc>
          <w:tcPr>
            <w:tcW w:w="1081" w:type="pct"/>
            <w:tcBorders>
              <w:top w:val="nil"/>
              <w:left w:val="nil"/>
              <w:bottom w:val="single" w:sz="8" w:space="0" w:color="auto"/>
              <w:right w:val="nil"/>
            </w:tcBorders>
          </w:tcPr>
          <w:p w14:paraId="5593A601" w14:textId="7A5CED27" w:rsidR="00CA0B3B" w:rsidRPr="009303E0" w:rsidRDefault="00CA0B3B" w:rsidP="00CA0B3B">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1.971.562.919</w:t>
            </w:r>
          </w:p>
        </w:tc>
        <w:tc>
          <w:tcPr>
            <w:tcW w:w="857" w:type="pct"/>
            <w:tcBorders>
              <w:top w:val="nil"/>
              <w:left w:val="nil"/>
              <w:bottom w:val="single" w:sz="8" w:space="0" w:color="auto"/>
              <w:right w:val="nil"/>
            </w:tcBorders>
          </w:tcPr>
          <w:p w14:paraId="58F1D3EE" w14:textId="7AC4C13E" w:rsidR="00CA0B3B" w:rsidRPr="009303E0" w:rsidRDefault="00A23C7D" w:rsidP="00CA0B3B">
            <w:pPr>
              <w:jc w:val="right"/>
              <w:rPr>
                <w:rFonts w:asciiTheme="minorHAnsi" w:hAnsiTheme="minorHAnsi" w:cstheme="minorHAnsi"/>
                <w:b/>
                <w:bCs/>
                <w:color w:val="000000"/>
                <w:sz w:val="16"/>
                <w:szCs w:val="16"/>
              </w:rPr>
            </w:pPr>
            <w:r w:rsidRPr="00A23C7D">
              <w:rPr>
                <w:rFonts w:asciiTheme="minorHAnsi" w:hAnsiTheme="minorHAnsi" w:cstheme="minorHAnsi"/>
                <w:b/>
                <w:bCs/>
                <w:color w:val="000000"/>
                <w:sz w:val="16"/>
                <w:szCs w:val="16"/>
              </w:rPr>
              <w:t>26</w:t>
            </w:r>
            <w:r>
              <w:rPr>
                <w:rFonts w:asciiTheme="minorHAnsi" w:hAnsiTheme="minorHAnsi" w:cstheme="minorHAnsi"/>
                <w:b/>
                <w:bCs/>
                <w:color w:val="000000"/>
                <w:sz w:val="16"/>
                <w:szCs w:val="16"/>
              </w:rPr>
              <w:t>.</w:t>
            </w:r>
            <w:r w:rsidRPr="00A23C7D">
              <w:rPr>
                <w:rFonts w:asciiTheme="minorHAnsi" w:hAnsiTheme="minorHAnsi" w:cstheme="minorHAnsi"/>
                <w:b/>
                <w:bCs/>
                <w:color w:val="000000"/>
                <w:sz w:val="16"/>
                <w:szCs w:val="16"/>
              </w:rPr>
              <w:t>422</w:t>
            </w:r>
            <w:r>
              <w:rPr>
                <w:rFonts w:asciiTheme="minorHAnsi" w:hAnsiTheme="minorHAnsi" w:cstheme="minorHAnsi"/>
                <w:b/>
                <w:bCs/>
                <w:color w:val="000000"/>
                <w:sz w:val="16"/>
                <w:szCs w:val="16"/>
              </w:rPr>
              <w:t>.</w:t>
            </w:r>
            <w:r w:rsidRPr="00A23C7D">
              <w:rPr>
                <w:rFonts w:asciiTheme="minorHAnsi" w:hAnsiTheme="minorHAnsi" w:cstheme="minorHAnsi"/>
                <w:b/>
                <w:bCs/>
                <w:color w:val="000000"/>
                <w:sz w:val="16"/>
                <w:szCs w:val="16"/>
              </w:rPr>
              <w:t>758</w:t>
            </w:r>
          </w:p>
        </w:tc>
        <w:tc>
          <w:tcPr>
            <w:tcW w:w="1040" w:type="pct"/>
            <w:tcBorders>
              <w:top w:val="nil"/>
              <w:left w:val="nil"/>
              <w:bottom w:val="single" w:sz="8" w:space="0" w:color="auto"/>
              <w:right w:val="nil"/>
            </w:tcBorders>
            <w:shd w:val="clear" w:color="auto" w:fill="auto"/>
            <w:noWrap/>
            <w:vAlign w:val="center"/>
          </w:tcPr>
          <w:p w14:paraId="73F969DA" w14:textId="4B79DF28" w:rsidR="00CA0B3B" w:rsidRPr="009303E0" w:rsidRDefault="00A11AC2"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(5</w:t>
            </w:r>
            <w:r w:rsidR="00A23C7D">
              <w:rPr>
                <w:rFonts w:asciiTheme="minorHAnsi" w:hAnsiTheme="minorHAnsi" w:cstheme="minorHAnsi"/>
                <w:b/>
                <w:bCs/>
                <w:color w:val="000000"/>
                <w:sz w:val="16"/>
                <w:szCs w:val="16"/>
              </w:rPr>
              <w:t>3</w:t>
            </w:r>
            <w:r>
              <w:rPr>
                <w:rFonts w:asciiTheme="minorHAnsi" w:hAnsiTheme="minorHAnsi" w:cstheme="minorHAnsi"/>
                <w:b/>
                <w:bCs/>
                <w:color w:val="000000"/>
                <w:sz w:val="16"/>
                <w:szCs w:val="16"/>
              </w:rPr>
              <w:t>.</w:t>
            </w:r>
            <w:r w:rsidR="00A23C7D">
              <w:rPr>
                <w:rFonts w:asciiTheme="minorHAnsi" w:hAnsiTheme="minorHAnsi" w:cstheme="minorHAnsi"/>
                <w:b/>
                <w:bCs/>
                <w:color w:val="000000"/>
                <w:sz w:val="16"/>
                <w:szCs w:val="16"/>
              </w:rPr>
              <w:t>805</w:t>
            </w:r>
            <w:r>
              <w:rPr>
                <w:rFonts w:asciiTheme="minorHAnsi" w:hAnsiTheme="minorHAnsi" w:cstheme="minorHAnsi"/>
                <w:b/>
                <w:bCs/>
                <w:color w:val="000000"/>
                <w:sz w:val="16"/>
                <w:szCs w:val="16"/>
              </w:rPr>
              <w:t>.</w:t>
            </w:r>
            <w:r w:rsidR="00A23C7D">
              <w:rPr>
                <w:rFonts w:asciiTheme="minorHAnsi" w:hAnsiTheme="minorHAnsi" w:cstheme="minorHAnsi"/>
                <w:b/>
                <w:bCs/>
                <w:color w:val="000000"/>
                <w:sz w:val="16"/>
                <w:szCs w:val="16"/>
              </w:rPr>
              <w:t>433</w:t>
            </w:r>
            <w:r>
              <w:rPr>
                <w:rFonts w:asciiTheme="minorHAnsi" w:hAnsiTheme="minorHAnsi" w:cstheme="minorHAnsi"/>
                <w:b/>
                <w:bCs/>
                <w:color w:val="000000"/>
                <w:sz w:val="16"/>
                <w:szCs w:val="16"/>
              </w:rPr>
              <w:t>)</w:t>
            </w:r>
          </w:p>
        </w:tc>
        <w:tc>
          <w:tcPr>
            <w:tcW w:w="975" w:type="pct"/>
            <w:tcBorders>
              <w:top w:val="nil"/>
              <w:left w:val="nil"/>
              <w:bottom w:val="single" w:sz="8" w:space="0" w:color="auto"/>
              <w:right w:val="nil"/>
            </w:tcBorders>
            <w:shd w:val="clear" w:color="auto" w:fill="auto"/>
            <w:noWrap/>
            <w:vAlign w:val="center"/>
            <w:hideMark/>
          </w:tcPr>
          <w:p w14:paraId="425EC4A2" w14:textId="26B38348" w:rsidR="00CA0B3B" w:rsidRPr="009303E0" w:rsidRDefault="00CA0B3B"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1.9</w:t>
            </w:r>
            <w:r w:rsidR="00A23C7D">
              <w:rPr>
                <w:rFonts w:asciiTheme="minorHAnsi" w:hAnsiTheme="minorHAnsi" w:cstheme="minorHAnsi"/>
                <w:b/>
                <w:bCs/>
                <w:color w:val="000000"/>
                <w:sz w:val="16"/>
                <w:szCs w:val="16"/>
              </w:rPr>
              <w:t>44</w:t>
            </w:r>
            <w:r>
              <w:rPr>
                <w:rFonts w:asciiTheme="minorHAnsi" w:hAnsiTheme="minorHAnsi" w:cstheme="minorHAnsi"/>
                <w:b/>
                <w:bCs/>
                <w:color w:val="000000"/>
                <w:sz w:val="16"/>
                <w:szCs w:val="16"/>
              </w:rPr>
              <w:t>.</w:t>
            </w:r>
            <w:r w:rsidR="00A23C7D">
              <w:rPr>
                <w:rFonts w:asciiTheme="minorHAnsi" w:hAnsiTheme="minorHAnsi" w:cstheme="minorHAnsi"/>
                <w:b/>
                <w:bCs/>
                <w:color w:val="000000"/>
                <w:sz w:val="16"/>
                <w:szCs w:val="16"/>
              </w:rPr>
              <w:t>1</w:t>
            </w:r>
            <w:r>
              <w:rPr>
                <w:rFonts w:asciiTheme="minorHAnsi" w:hAnsiTheme="minorHAnsi" w:cstheme="minorHAnsi"/>
                <w:b/>
                <w:bCs/>
                <w:color w:val="000000"/>
                <w:sz w:val="16"/>
                <w:szCs w:val="16"/>
              </w:rPr>
              <w:t>80.</w:t>
            </w:r>
            <w:r w:rsidR="00A23C7D">
              <w:rPr>
                <w:rFonts w:asciiTheme="minorHAnsi" w:hAnsiTheme="minorHAnsi" w:cstheme="minorHAnsi"/>
                <w:b/>
                <w:bCs/>
                <w:color w:val="000000"/>
                <w:sz w:val="16"/>
                <w:szCs w:val="16"/>
              </w:rPr>
              <w:t>244</w:t>
            </w:r>
          </w:p>
        </w:tc>
      </w:tr>
      <w:tr w:rsidR="00CA0B3B" w:rsidRPr="009303E0" w14:paraId="1601D5D2"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1E1E502A" w14:textId="2B4C29F7" w:rsidR="00CA0B3B" w:rsidRPr="009303E0" w:rsidRDefault="000F13E3" w:rsidP="00CA0B3B">
            <w:pPr>
              <w:rPr>
                <w:rFonts w:asciiTheme="minorHAnsi" w:hAnsiTheme="minorHAnsi" w:cstheme="minorHAnsi"/>
                <w:b/>
                <w:bCs/>
                <w:color w:val="000000"/>
                <w:sz w:val="16"/>
                <w:szCs w:val="16"/>
              </w:rPr>
            </w:pPr>
            <w:r>
              <w:rPr>
                <w:rFonts w:asciiTheme="minorHAnsi" w:hAnsiTheme="minorHAnsi" w:cstheme="minorHAnsi"/>
                <w:b/>
                <w:bCs/>
                <w:color w:val="000000"/>
                <w:sz w:val="16"/>
                <w:szCs w:val="16"/>
              </w:rPr>
              <w:t>Circulante</w:t>
            </w:r>
          </w:p>
        </w:tc>
        <w:tc>
          <w:tcPr>
            <w:tcW w:w="1081" w:type="pct"/>
            <w:tcBorders>
              <w:top w:val="nil"/>
              <w:left w:val="nil"/>
              <w:bottom w:val="single" w:sz="8" w:space="0" w:color="auto"/>
              <w:right w:val="nil"/>
            </w:tcBorders>
          </w:tcPr>
          <w:p w14:paraId="51BCAC8E" w14:textId="1BDBFF25" w:rsidR="00CA0B3B" w:rsidRPr="009303E0" w:rsidRDefault="00CA0B3B" w:rsidP="00CA0B3B">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79.197.230</w:t>
            </w:r>
          </w:p>
        </w:tc>
        <w:tc>
          <w:tcPr>
            <w:tcW w:w="857" w:type="pct"/>
            <w:tcBorders>
              <w:top w:val="nil"/>
              <w:left w:val="nil"/>
              <w:bottom w:val="single" w:sz="8" w:space="0" w:color="auto"/>
              <w:right w:val="nil"/>
            </w:tcBorders>
          </w:tcPr>
          <w:p w14:paraId="7217DEFF" w14:textId="4DEE0F31" w:rsidR="00CA0B3B" w:rsidRPr="009303E0" w:rsidRDefault="00A23C7D" w:rsidP="00CA0B3B">
            <w:pPr>
              <w:jc w:val="right"/>
              <w:rPr>
                <w:rFonts w:asciiTheme="minorHAnsi" w:hAnsiTheme="minorHAnsi" w:cstheme="minorHAnsi"/>
                <w:b/>
                <w:bCs/>
                <w:color w:val="000000"/>
                <w:sz w:val="16"/>
                <w:szCs w:val="16"/>
              </w:rPr>
            </w:pPr>
            <w:r w:rsidRPr="00A23C7D">
              <w:rPr>
                <w:rFonts w:asciiTheme="minorHAnsi" w:hAnsiTheme="minorHAnsi" w:cstheme="minorHAnsi"/>
                <w:b/>
                <w:bCs/>
                <w:color w:val="000000"/>
                <w:sz w:val="16"/>
                <w:szCs w:val="16"/>
              </w:rPr>
              <w:t>21</w:t>
            </w:r>
            <w:r>
              <w:rPr>
                <w:rFonts w:asciiTheme="minorHAnsi" w:hAnsiTheme="minorHAnsi" w:cstheme="minorHAnsi"/>
                <w:b/>
                <w:bCs/>
                <w:color w:val="000000"/>
                <w:sz w:val="16"/>
                <w:szCs w:val="16"/>
              </w:rPr>
              <w:t>.</w:t>
            </w:r>
            <w:r w:rsidRPr="00A23C7D">
              <w:rPr>
                <w:rFonts w:asciiTheme="minorHAnsi" w:hAnsiTheme="minorHAnsi" w:cstheme="minorHAnsi"/>
                <w:b/>
                <w:bCs/>
                <w:color w:val="000000"/>
                <w:sz w:val="16"/>
                <w:szCs w:val="16"/>
              </w:rPr>
              <w:t>587</w:t>
            </w:r>
            <w:r>
              <w:rPr>
                <w:rFonts w:asciiTheme="minorHAnsi" w:hAnsiTheme="minorHAnsi" w:cstheme="minorHAnsi"/>
                <w:b/>
                <w:bCs/>
                <w:color w:val="000000"/>
                <w:sz w:val="16"/>
                <w:szCs w:val="16"/>
              </w:rPr>
              <w:t>.</w:t>
            </w:r>
            <w:r w:rsidRPr="00A23C7D">
              <w:rPr>
                <w:rFonts w:asciiTheme="minorHAnsi" w:hAnsiTheme="minorHAnsi" w:cstheme="minorHAnsi"/>
                <w:b/>
                <w:bCs/>
                <w:color w:val="000000"/>
                <w:sz w:val="16"/>
                <w:szCs w:val="16"/>
              </w:rPr>
              <w:t>025</w:t>
            </w:r>
          </w:p>
        </w:tc>
        <w:tc>
          <w:tcPr>
            <w:tcW w:w="1040" w:type="pct"/>
            <w:tcBorders>
              <w:top w:val="nil"/>
              <w:left w:val="nil"/>
              <w:bottom w:val="single" w:sz="8" w:space="0" w:color="auto"/>
              <w:right w:val="nil"/>
            </w:tcBorders>
            <w:shd w:val="clear" w:color="auto" w:fill="auto"/>
            <w:noWrap/>
            <w:vAlign w:val="center"/>
          </w:tcPr>
          <w:p w14:paraId="1910B74C" w14:textId="569DF66D" w:rsidR="00CA0B3B" w:rsidRPr="009303E0" w:rsidRDefault="00EE2E70"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r w:rsidR="00A23C7D">
              <w:rPr>
                <w:rFonts w:asciiTheme="minorHAnsi" w:hAnsiTheme="minorHAnsi" w:cstheme="minorHAnsi"/>
                <w:b/>
                <w:bCs/>
                <w:color w:val="000000"/>
                <w:sz w:val="16"/>
                <w:szCs w:val="16"/>
              </w:rPr>
              <w:t>7.014.148</w:t>
            </w:r>
            <w:r>
              <w:rPr>
                <w:rFonts w:asciiTheme="minorHAnsi" w:hAnsiTheme="minorHAnsi" w:cstheme="minorHAnsi"/>
                <w:b/>
                <w:bCs/>
                <w:color w:val="000000"/>
                <w:sz w:val="16"/>
                <w:szCs w:val="16"/>
              </w:rPr>
              <w:t>)</w:t>
            </w:r>
          </w:p>
        </w:tc>
        <w:tc>
          <w:tcPr>
            <w:tcW w:w="975" w:type="pct"/>
            <w:tcBorders>
              <w:top w:val="nil"/>
              <w:left w:val="nil"/>
              <w:bottom w:val="single" w:sz="8" w:space="0" w:color="auto"/>
              <w:right w:val="nil"/>
            </w:tcBorders>
            <w:shd w:val="clear" w:color="auto" w:fill="auto"/>
            <w:noWrap/>
            <w:vAlign w:val="center"/>
            <w:hideMark/>
          </w:tcPr>
          <w:p w14:paraId="31549C6D" w14:textId="19E7F97D" w:rsidR="00CA0B3B" w:rsidRPr="009303E0" w:rsidRDefault="004F7BE6"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93.770.107</w:t>
            </w:r>
          </w:p>
        </w:tc>
      </w:tr>
      <w:tr w:rsidR="00CA0B3B" w:rsidRPr="009303E0" w14:paraId="06682A9A"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5F74930F"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Desapropriações</w:t>
            </w:r>
          </w:p>
        </w:tc>
        <w:tc>
          <w:tcPr>
            <w:tcW w:w="1081" w:type="pct"/>
            <w:tcBorders>
              <w:top w:val="nil"/>
              <w:left w:val="nil"/>
              <w:bottom w:val="nil"/>
              <w:right w:val="nil"/>
            </w:tcBorders>
            <w:vAlign w:val="center"/>
          </w:tcPr>
          <w:p w14:paraId="5296BB22" w14:textId="535ED4DE"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18.748.049</w:t>
            </w:r>
          </w:p>
        </w:tc>
        <w:tc>
          <w:tcPr>
            <w:tcW w:w="857" w:type="pct"/>
            <w:tcBorders>
              <w:top w:val="nil"/>
              <w:left w:val="nil"/>
              <w:bottom w:val="nil"/>
              <w:right w:val="nil"/>
            </w:tcBorders>
          </w:tcPr>
          <w:p w14:paraId="6A1630F4" w14:textId="114363B6" w:rsidR="00CA0B3B" w:rsidRPr="009303E0" w:rsidRDefault="00A23C7D" w:rsidP="00CA0B3B">
            <w:pPr>
              <w:jc w:val="right"/>
              <w:rPr>
                <w:rFonts w:asciiTheme="minorHAnsi" w:hAnsiTheme="minorHAnsi" w:cstheme="minorHAnsi"/>
                <w:color w:val="000000"/>
                <w:sz w:val="16"/>
                <w:szCs w:val="16"/>
              </w:rPr>
            </w:pPr>
            <w:r w:rsidRPr="00A23C7D">
              <w:rPr>
                <w:rFonts w:asciiTheme="minorHAnsi" w:hAnsiTheme="minorHAnsi" w:cstheme="minorHAnsi"/>
                <w:color w:val="000000"/>
                <w:sz w:val="16"/>
                <w:szCs w:val="16"/>
              </w:rPr>
              <w:t>3</w:t>
            </w:r>
            <w:r>
              <w:rPr>
                <w:rFonts w:asciiTheme="minorHAnsi" w:hAnsiTheme="minorHAnsi" w:cstheme="minorHAnsi"/>
                <w:color w:val="000000"/>
                <w:sz w:val="16"/>
                <w:szCs w:val="16"/>
              </w:rPr>
              <w:t>.</w:t>
            </w:r>
            <w:r w:rsidRPr="00A23C7D">
              <w:rPr>
                <w:rFonts w:asciiTheme="minorHAnsi" w:hAnsiTheme="minorHAnsi" w:cstheme="minorHAnsi"/>
                <w:color w:val="000000"/>
                <w:sz w:val="16"/>
                <w:szCs w:val="16"/>
              </w:rPr>
              <w:t>759</w:t>
            </w:r>
            <w:r>
              <w:rPr>
                <w:rFonts w:asciiTheme="minorHAnsi" w:hAnsiTheme="minorHAnsi" w:cstheme="minorHAnsi"/>
                <w:color w:val="000000"/>
                <w:sz w:val="16"/>
                <w:szCs w:val="16"/>
              </w:rPr>
              <w:t>.</w:t>
            </w:r>
            <w:r w:rsidRPr="00A23C7D">
              <w:rPr>
                <w:rFonts w:asciiTheme="minorHAnsi" w:hAnsiTheme="minorHAnsi" w:cstheme="minorHAnsi"/>
                <w:color w:val="000000"/>
                <w:sz w:val="16"/>
                <w:szCs w:val="16"/>
              </w:rPr>
              <w:t>348</w:t>
            </w:r>
          </w:p>
        </w:tc>
        <w:tc>
          <w:tcPr>
            <w:tcW w:w="1040" w:type="pct"/>
            <w:tcBorders>
              <w:top w:val="nil"/>
              <w:left w:val="nil"/>
              <w:bottom w:val="nil"/>
              <w:right w:val="nil"/>
            </w:tcBorders>
            <w:shd w:val="clear" w:color="auto" w:fill="auto"/>
            <w:noWrap/>
            <w:vAlign w:val="center"/>
          </w:tcPr>
          <w:p w14:paraId="0C036C77" w14:textId="41C54659" w:rsidR="00CA0B3B" w:rsidRPr="009303E0" w:rsidRDefault="00FB6AAC"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(4.</w:t>
            </w:r>
            <w:r w:rsidR="00A23C7D">
              <w:rPr>
                <w:rFonts w:asciiTheme="minorHAnsi" w:hAnsiTheme="minorHAnsi" w:cstheme="minorHAnsi"/>
                <w:color w:val="000000"/>
                <w:sz w:val="16"/>
                <w:szCs w:val="16"/>
              </w:rPr>
              <w:t>352.593</w:t>
            </w:r>
            <w:r>
              <w:rPr>
                <w:rFonts w:asciiTheme="minorHAnsi" w:hAnsiTheme="minorHAnsi" w:cstheme="minorHAnsi"/>
                <w:color w:val="000000"/>
                <w:sz w:val="16"/>
                <w:szCs w:val="16"/>
              </w:rPr>
              <w:t>)</w:t>
            </w:r>
          </w:p>
        </w:tc>
        <w:tc>
          <w:tcPr>
            <w:tcW w:w="975" w:type="pct"/>
            <w:tcBorders>
              <w:top w:val="nil"/>
              <w:left w:val="nil"/>
              <w:bottom w:val="nil"/>
              <w:right w:val="nil"/>
            </w:tcBorders>
            <w:shd w:val="clear" w:color="auto" w:fill="auto"/>
            <w:noWrap/>
            <w:vAlign w:val="center"/>
            <w:hideMark/>
          </w:tcPr>
          <w:p w14:paraId="7A64C1B5" w14:textId="05FD7F5C" w:rsidR="00CA0B3B" w:rsidRPr="009303E0" w:rsidRDefault="00A23C7D"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18.154.804</w:t>
            </w:r>
          </w:p>
        </w:tc>
      </w:tr>
      <w:tr w:rsidR="00CA0B3B" w:rsidRPr="009303E0" w14:paraId="2AC1AC25"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65371482"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Trabalhistas</w:t>
            </w:r>
          </w:p>
        </w:tc>
        <w:tc>
          <w:tcPr>
            <w:tcW w:w="1081" w:type="pct"/>
            <w:tcBorders>
              <w:top w:val="nil"/>
              <w:left w:val="nil"/>
              <w:bottom w:val="nil"/>
              <w:right w:val="nil"/>
            </w:tcBorders>
            <w:vAlign w:val="center"/>
          </w:tcPr>
          <w:p w14:paraId="3FFE25B2" w14:textId="78192ABA"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44.752.144</w:t>
            </w:r>
          </w:p>
        </w:tc>
        <w:tc>
          <w:tcPr>
            <w:tcW w:w="857" w:type="pct"/>
            <w:tcBorders>
              <w:top w:val="nil"/>
              <w:left w:val="nil"/>
              <w:bottom w:val="nil"/>
              <w:right w:val="nil"/>
            </w:tcBorders>
          </w:tcPr>
          <w:p w14:paraId="5347DD34" w14:textId="3B7A9ADB" w:rsidR="00CA0B3B" w:rsidRPr="009303E0" w:rsidRDefault="00A23C7D"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17.827.677</w:t>
            </w:r>
          </w:p>
        </w:tc>
        <w:tc>
          <w:tcPr>
            <w:tcW w:w="1040" w:type="pct"/>
            <w:tcBorders>
              <w:top w:val="nil"/>
              <w:left w:val="nil"/>
              <w:bottom w:val="nil"/>
              <w:right w:val="nil"/>
            </w:tcBorders>
            <w:shd w:val="clear" w:color="auto" w:fill="auto"/>
            <w:noWrap/>
            <w:vAlign w:val="center"/>
          </w:tcPr>
          <w:p w14:paraId="0BBF28B9" w14:textId="5B4612CD" w:rsidR="00CA0B3B" w:rsidRPr="009303E0" w:rsidRDefault="00A23C7D"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(1.655.478)</w:t>
            </w:r>
          </w:p>
        </w:tc>
        <w:tc>
          <w:tcPr>
            <w:tcW w:w="975" w:type="pct"/>
            <w:tcBorders>
              <w:top w:val="nil"/>
              <w:left w:val="nil"/>
              <w:bottom w:val="nil"/>
              <w:right w:val="nil"/>
            </w:tcBorders>
            <w:shd w:val="clear" w:color="auto" w:fill="auto"/>
            <w:noWrap/>
            <w:vAlign w:val="center"/>
            <w:hideMark/>
          </w:tcPr>
          <w:p w14:paraId="3F89F67B" w14:textId="2B6AF601" w:rsidR="00CA0B3B" w:rsidRPr="009303E0" w:rsidRDefault="00A23C7D"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60.924.343</w:t>
            </w:r>
          </w:p>
        </w:tc>
      </w:tr>
      <w:tr w:rsidR="00CA0B3B" w:rsidRPr="009303E0" w14:paraId="0AC136A9"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62F5CAA6"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Cíveis</w:t>
            </w:r>
          </w:p>
        </w:tc>
        <w:tc>
          <w:tcPr>
            <w:tcW w:w="1081" w:type="pct"/>
            <w:tcBorders>
              <w:top w:val="nil"/>
              <w:left w:val="nil"/>
              <w:bottom w:val="nil"/>
              <w:right w:val="nil"/>
            </w:tcBorders>
            <w:vAlign w:val="center"/>
          </w:tcPr>
          <w:p w14:paraId="5335CAC6" w14:textId="788918DA"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15.697.037</w:t>
            </w:r>
          </w:p>
        </w:tc>
        <w:tc>
          <w:tcPr>
            <w:tcW w:w="857" w:type="pct"/>
            <w:tcBorders>
              <w:top w:val="nil"/>
              <w:left w:val="nil"/>
              <w:bottom w:val="nil"/>
              <w:right w:val="nil"/>
            </w:tcBorders>
          </w:tcPr>
          <w:p w14:paraId="55AA3B36" w14:textId="5B5B4E25" w:rsidR="00CA0B3B" w:rsidRPr="009303E0" w:rsidRDefault="00A23C7D"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1040" w:type="pct"/>
            <w:tcBorders>
              <w:top w:val="nil"/>
              <w:left w:val="nil"/>
              <w:bottom w:val="nil"/>
              <w:right w:val="nil"/>
            </w:tcBorders>
            <w:shd w:val="clear" w:color="auto" w:fill="auto"/>
            <w:noWrap/>
            <w:vAlign w:val="center"/>
          </w:tcPr>
          <w:p w14:paraId="074C44C6" w14:textId="087CDE38" w:rsidR="00CA0B3B" w:rsidRPr="009303E0" w:rsidRDefault="00FB6AAC"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(1.006.076)</w:t>
            </w:r>
          </w:p>
        </w:tc>
        <w:tc>
          <w:tcPr>
            <w:tcW w:w="975" w:type="pct"/>
            <w:tcBorders>
              <w:top w:val="nil"/>
              <w:left w:val="nil"/>
              <w:bottom w:val="nil"/>
              <w:right w:val="nil"/>
            </w:tcBorders>
            <w:shd w:val="clear" w:color="auto" w:fill="auto"/>
            <w:noWrap/>
            <w:vAlign w:val="center"/>
            <w:hideMark/>
          </w:tcPr>
          <w:p w14:paraId="13F72132" w14:textId="025AFC54"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14.690.96</w:t>
            </w:r>
            <w:r w:rsidR="004F7BE6">
              <w:rPr>
                <w:rFonts w:asciiTheme="minorHAnsi" w:hAnsiTheme="minorHAnsi" w:cstheme="minorHAnsi"/>
                <w:color w:val="000000"/>
                <w:sz w:val="16"/>
                <w:szCs w:val="16"/>
              </w:rPr>
              <w:t>0</w:t>
            </w:r>
          </w:p>
        </w:tc>
      </w:tr>
      <w:tr w:rsidR="00CA0B3B" w:rsidRPr="009303E0" w14:paraId="79BF709F"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315AAD6A"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Tributárias</w:t>
            </w:r>
          </w:p>
        </w:tc>
        <w:tc>
          <w:tcPr>
            <w:tcW w:w="1081" w:type="pct"/>
            <w:tcBorders>
              <w:top w:val="nil"/>
              <w:left w:val="nil"/>
              <w:bottom w:val="nil"/>
              <w:right w:val="nil"/>
            </w:tcBorders>
            <w:vAlign w:val="center"/>
          </w:tcPr>
          <w:p w14:paraId="0B30FCCF" w14:textId="3E8B69FE"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57" w:type="pct"/>
            <w:tcBorders>
              <w:top w:val="nil"/>
              <w:left w:val="nil"/>
              <w:bottom w:val="nil"/>
              <w:right w:val="nil"/>
            </w:tcBorders>
          </w:tcPr>
          <w:p w14:paraId="018C47A1" w14:textId="02523C17" w:rsidR="00CA0B3B" w:rsidRPr="009303E0" w:rsidRDefault="00A23C7D"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1040" w:type="pct"/>
            <w:tcBorders>
              <w:top w:val="nil"/>
              <w:left w:val="nil"/>
              <w:bottom w:val="nil"/>
              <w:right w:val="nil"/>
            </w:tcBorders>
            <w:shd w:val="clear" w:color="auto" w:fill="auto"/>
            <w:noWrap/>
            <w:vAlign w:val="center"/>
          </w:tcPr>
          <w:p w14:paraId="6D896325" w14:textId="4CE8F3B5"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nil"/>
              <w:right w:val="nil"/>
            </w:tcBorders>
            <w:shd w:val="clear" w:color="auto" w:fill="auto"/>
            <w:noWrap/>
            <w:vAlign w:val="center"/>
            <w:hideMark/>
          </w:tcPr>
          <w:p w14:paraId="4AAD69C4" w14:textId="77777777"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r>
      <w:tr w:rsidR="00CA0B3B" w:rsidRPr="009303E0" w14:paraId="518EB004"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40507D98"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Previdenciárias</w:t>
            </w:r>
          </w:p>
        </w:tc>
        <w:tc>
          <w:tcPr>
            <w:tcW w:w="1081" w:type="pct"/>
            <w:tcBorders>
              <w:top w:val="nil"/>
              <w:left w:val="nil"/>
              <w:bottom w:val="single" w:sz="8" w:space="0" w:color="auto"/>
              <w:right w:val="nil"/>
            </w:tcBorders>
            <w:vAlign w:val="center"/>
          </w:tcPr>
          <w:p w14:paraId="7197D2F6" w14:textId="056E066D"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c>
          <w:tcPr>
            <w:tcW w:w="857" w:type="pct"/>
            <w:tcBorders>
              <w:top w:val="nil"/>
              <w:left w:val="nil"/>
              <w:bottom w:val="single" w:sz="8" w:space="0" w:color="auto"/>
              <w:right w:val="nil"/>
            </w:tcBorders>
          </w:tcPr>
          <w:p w14:paraId="3064B08B" w14:textId="20E9DB20" w:rsidR="00CA0B3B" w:rsidRPr="009303E0" w:rsidRDefault="00A23C7D"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c>
          <w:tcPr>
            <w:tcW w:w="1040" w:type="pct"/>
            <w:tcBorders>
              <w:top w:val="nil"/>
              <w:left w:val="nil"/>
              <w:bottom w:val="single" w:sz="8" w:space="0" w:color="auto"/>
              <w:right w:val="nil"/>
            </w:tcBorders>
            <w:shd w:val="clear" w:color="auto" w:fill="auto"/>
            <w:noWrap/>
            <w:vAlign w:val="center"/>
          </w:tcPr>
          <w:p w14:paraId="1BA3FA1F" w14:textId="37C648F0"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single" w:sz="8" w:space="0" w:color="auto"/>
              <w:right w:val="nil"/>
            </w:tcBorders>
            <w:shd w:val="clear" w:color="auto" w:fill="auto"/>
            <w:noWrap/>
            <w:vAlign w:val="center"/>
            <w:hideMark/>
          </w:tcPr>
          <w:p w14:paraId="7CBF4A34" w14:textId="77777777"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0</w:t>
            </w:r>
          </w:p>
        </w:tc>
      </w:tr>
      <w:tr w:rsidR="00CA0B3B" w:rsidRPr="009303E0" w14:paraId="6DD33B6C"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6A035E7F" w14:textId="2207B5B2" w:rsidR="00CA0B3B" w:rsidRPr="009303E0" w:rsidRDefault="000F13E3" w:rsidP="00CA0B3B">
            <w:pPr>
              <w:rPr>
                <w:rFonts w:asciiTheme="minorHAnsi" w:hAnsiTheme="minorHAnsi" w:cstheme="minorHAnsi"/>
                <w:b/>
                <w:bCs/>
                <w:color w:val="000000"/>
                <w:sz w:val="16"/>
                <w:szCs w:val="16"/>
              </w:rPr>
            </w:pPr>
            <w:r>
              <w:rPr>
                <w:rFonts w:asciiTheme="minorHAnsi" w:hAnsiTheme="minorHAnsi" w:cstheme="minorHAnsi"/>
                <w:b/>
                <w:bCs/>
                <w:color w:val="000000"/>
                <w:sz w:val="16"/>
                <w:szCs w:val="16"/>
              </w:rPr>
              <w:t>Não Circulante</w:t>
            </w:r>
          </w:p>
        </w:tc>
        <w:tc>
          <w:tcPr>
            <w:tcW w:w="1081" w:type="pct"/>
            <w:tcBorders>
              <w:top w:val="nil"/>
              <w:left w:val="nil"/>
              <w:bottom w:val="single" w:sz="8" w:space="0" w:color="auto"/>
              <w:right w:val="nil"/>
            </w:tcBorders>
          </w:tcPr>
          <w:p w14:paraId="5609EC45" w14:textId="3A21D854" w:rsidR="00CA0B3B" w:rsidRPr="009303E0" w:rsidRDefault="00CA0B3B" w:rsidP="00CA0B3B">
            <w:pPr>
              <w:jc w:val="right"/>
              <w:rPr>
                <w:rFonts w:asciiTheme="minorHAnsi" w:hAnsiTheme="minorHAnsi" w:cstheme="minorHAnsi"/>
                <w:b/>
                <w:bCs/>
                <w:color w:val="000000"/>
                <w:sz w:val="16"/>
                <w:szCs w:val="16"/>
              </w:rPr>
            </w:pPr>
            <w:r w:rsidRPr="009303E0">
              <w:rPr>
                <w:rFonts w:asciiTheme="minorHAnsi" w:hAnsiTheme="minorHAnsi" w:cstheme="minorHAnsi"/>
                <w:b/>
                <w:bCs/>
                <w:color w:val="000000"/>
                <w:sz w:val="16"/>
                <w:szCs w:val="16"/>
              </w:rPr>
              <w:t>1.892.365.689</w:t>
            </w:r>
          </w:p>
        </w:tc>
        <w:tc>
          <w:tcPr>
            <w:tcW w:w="857" w:type="pct"/>
            <w:tcBorders>
              <w:top w:val="nil"/>
              <w:left w:val="nil"/>
              <w:bottom w:val="single" w:sz="8" w:space="0" w:color="auto"/>
              <w:right w:val="nil"/>
            </w:tcBorders>
          </w:tcPr>
          <w:p w14:paraId="16EF4B8B" w14:textId="2D957C65" w:rsidR="00CA0B3B" w:rsidRPr="009303E0" w:rsidRDefault="00A23C7D"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4.835.733</w:t>
            </w:r>
          </w:p>
        </w:tc>
        <w:tc>
          <w:tcPr>
            <w:tcW w:w="1040" w:type="pct"/>
            <w:tcBorders>
              <w:top w:val="nil"/>
              <w:left w:val="nil"/>
              <w:bottom w:val="single" w:sz="8" w:space="0" w:color="auto"/>
              <w:right w:val="nil"/>
            </w:tcBorders>
            <w:shd w:val="clear" w:color="auto" w:fill="auto"/>
            <w:noWrap/>
            <w:vAlign w:val="center"/>
          </w:tcPr>
          <w:p w14:paraId="158DB717" w14:textId="277F920B" w:rsidR="00CA0B3B" w:rsidRPr="009303E0" w:rsidRDefault="00EE2E70"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(46.</w:t>
            </w:r>
            <w:r w:rsidR="004F7BE6">
              <w:rPr>
                <w:rFonts w:asciiTheme="minorHAnsi" w:hAnsiTheme="minorHAnsi" w:cstheme="minorHAnsi"/>
                <w:b/>
                <w:bCs/>
                <w:color w:val="000000"/>
                <w:sz w:val="16"/>
                <w:szCs w:val="16"/>
              </w:rPr>
              <w:t>791.286</w:t>
            </w:r>
            <w:r>
              <w:rPr>
                <w:rFonts w:asciiTheme="minorHAnsi" w:hAnsiTheme="minorHAnsi" w:cstheme="minorHAnsi"/>
                <w:b/>
                <w:bCs/>
                <w:color w:val="000000"/>
                <w:sz w:val="16"/>
                <w:szCs w:val="16"/>
              </w:rPr>
              <w:t>)</w:t>
            </w:r>
          </w:p>
        </w:tc>
        <w:tc>
          <w:tcPr>
            <w:tcW w:w="975" w:type="pct"/>
            <w:tcBorders>
              <w:top w:val="nil"/>
              <w:left w:val="nil"/>
              <w:bottom w:val="single" w:sz="8" w:space="0" w:color="auto"/>
              <w:right w:val="nil"/>
            </w:tcBorders>
            <w:shd w:val="clear" w:color="auto" w:fill="auto"/>
            <w:noWrap/>
            <w:vAlign w:val="center"/>
            <w:hideMark/>
          </w:tcPr>
          <w:p w14:paraId="78B5B44F" w14:textId="5DAC491A" w:rsidR="00CA0B3B" w:rsidRPr="009303E0" w:rsidRDefault="00CA0B3B" w:rsidP="00CA0B3B">
            <w:pPr>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w:t>
            </w:r>
            <w:r w:rsidR="004F7BE6">
              <w:rPr>
                <w:rFonts w:asciiTheme="minorHAnsi" w:hAnsiTheme="minorHAnsi" w:cstheme="minorHAnsi"/>
                <w:b/>
                <w:bCs/>
                <w:color w:val="000000"/>
                <w:sz w:val="16"/>
                <w:szCs w:val="16"/>
              </w:rPr>
              <w:t>850.410.137</w:t>
            </w:r>
          </w:p>
        </w:tc>
      </w:tr>
      <w:tr w:rsidR="00CA0B3B" w:rsidRPr="009303E0" w14:paraId="04DDEADA"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5B9BA0D5"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Desapropriações</w:t>
            </w:r>
          </w:p>
        </w:tc>
        <w:tc>
          <w:tcPr>
            <w:tcW w:w="1081" w:type="pct"/>
            <w:tcBorders>
              <w:top w:val="nil"/>
              <w:left w:val="nil"/>
              <w:bottom w:val="nil"/>
              <w:right w:val="nil"/>
            </w:tcBorders>
            <w:vAlign w:val="center"/>
          </w:tcPr>
          <w:p w14:paraId="59EA64A2" w14:textId="072E2AD4"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43.361.582</w:t>
            </w:r>
          </w:p>
        </w:tc>
        <w:tc>
          <w:tcPr>
            <w:tcW w:w="857" w:type="pct"/>
            <w:tcBorders>
              <w:top w:val="nil"/>
              <w:left w:val="nil"/>
              <w:bottom w:val="nil"/>
              <w:right w:val="nil"/>
            </w:tcBorders>
          </w:tcPr>
          <w:p w14:paraId="13D8B70B" w14:textId="142201F0"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1040" w:type="pct"/>
            <w:tcBorders>
              <w:top w:val="nil"/>
              <w:left w:val="nil"/>
              <w:bottom w:val="nil"/>
              <w:right w:val="nil"/>
            </w:tcBorders>
            <w:shd w:val="clear" w:color="auto" w:fill="auto"/>
            <w:noWrap/>
            <w:vAlign w:val="center"/>
          </w:tcPr>
          <w:p w14:paraId="621F4451" w14:textId="6EC7D3DA"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w:t>
            </w:r>
            <w:r w:rsidR="004F7BE6">
              <w:rPr>
                <w:rFonts w:asciiTheme="minorHAnsi" w:hAnsiTheme="minorHAnsi" w:cstheme="minorHAnsi"/>
                <w:color w:val="000000"/>
                <w:sz w:val="16"/>
                <w:szCs w:val="16"/>
              </w:rPr>
              <w:t>398.356</w:t>
            </w:r>
            <w:r>
              <w:rPr>
                <w:rFonts w:asciiTheme="minorHAnsi" w:hAnsiTheme="minorHAnsi" w:cstheme="minorHAnsi"/>
                <w:color w:val="000000"/>
                <w:sz w:val="16"/>
                <w:szCs w:val="16"/>
              </w:rPr>
              <w:t>)</w:t>
            </w:r>
          </w:p>
        </w:tc>
        <w:tc>
          <w:tcPr>
            <w:tcW w:w="975" w:type="pct"/>
            <w:tcBorders>
              <w:top w:val="nil"/>
              <w:left w:val="nil"/>
              <w:bottom w:val="nil"/>
              <w:right w:val="nil"/>
            </w:tcBorders>
            <w:shd w:val="clear" w:color="auto" w:fill="auto"/>
            <w:noWrap/>
            <w:vAlign w:val="center"/>
            <w:hideMark/>
          </w:tcPr>
          <w:p w14:paraId="648CB3E3" w14:textId="744FAA85"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4</w:t>
            </w:r>
            <w:r w:rsidR="004F7BE6">
              <w:rPr>
                <w:rFonts w:asciiTheme="minorHAnsi" w:hAnsiTheme="minorHAnsi" w:cstheme="minorHAnsi"/>
                <w:color w:val="000000"/>
                <w:sz w:val="16"/>
                <w:szCs w:val="16"/>
              </w:rPr>
              <w:t>1.963.226</w:t>
            </w:r>
          </w:p>
        </w:tc>
      </w:tr>
      <w:tr w:rsidR="00CA0B3B" w:rsidRPr="009303E0" w14:paraId="29E02C3A"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50876970"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Trabalhistas</w:t>
            </w:r>
          </w:p>
        </w:tc>
        <w:tc>
          <w:tcPr>
            <w:tcW w:w="1081" w:type="pct"/>
            <w:tcBorders>
              <w:top w:val="nil"/>
              <w:left w:val="nil"/>
              <w:bottom w:val="nil"/>
              <w:right w:val="nil"/>
            </w:tcBorders>
            <w:vAlign w:val="center"/>
          </w:tcPr>
          <w:p w14:paraId="3AD06104" w14:textId="112DC6C8"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3.063.428</w:t>
            </w:r>
          </w:p>
        </w:tc>
        <w:tc>
          <w:tcPr>
            <w:tcW w:w="857" w:type="pct"/>
            <w:tcBorders>
              <w:top w:val="nil"/>
              <w:left w:val="nil"/>
              <w:bottom w:val="nil"/>
              <w:right w:val="nil"/>
            </w:tcBorders>
          </w:tcPr>
          <w:p w14:paraId="2EA86DCD" w14:textId="7993C9CE" w:rsidR="00CA0B3B" w:rsidRPr="009303E0" w:rsidRDefault="00A23C7D"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2.470.349</w:t>
            </w:r>
          </w:p>
        </w:tc>
        <w:tc>
          <w:tcPr>
            <w:tcW w:w="1040" w:type="pct"/>
            <w:tcBorders>
              <w:top w:val="nil"/>
              <w:left w:val="nil"/>
              <w:bottom w:val="nil"/>
              <w:right w:val="nil"/>
            </w:tcBorders>
            <w:shd w:val="clear" w:color="auto" w:fill="auto"/>
            <w:noWrap/>
            <w:vAlign w:val="center"/>
          </w:tcPr>
          <w:p w14:paraId="6BFD26D5" w14:textId="422D255E" w:rsidR="00CA0B3B" w:rsidRPr="009303E0" w:rsidRDefault="004F7BE6"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(286.186)</w:t>
            </w:r>
          </w:p>
        </w:tc>
        <w:tc>
          <w:tcPr>
            <w:tcW w:w="975" w:type="pct"/>
            <w:tcBorders>
              <w:top w:val="nil"/>
              <w:left w:val="nil"/>
              <w:bottom w:val="nil"/>
              <w:right w:val="nil"/>
            </w:tcBorders>
            <w:shd w:val="clear" w:color="auto" w:fill="auto"/>
            <w:noWrap/>
            <w:vAlign w:val="center"/>
            <w:hideMark/>
          </w:tcPr>
          <w:p w14:paraId="69C79D08" w14:textId="65810534" w:rsidR="00CA0B3B" w:rsidRPr="009303E0" w:rsidRDefault="004F7BE6"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5.247.592</w:t>
            </w:r>
          </w:p>
        </w:tc>
      </w:tr>
      <w:tr w:rsidR="00CA0B3B" w:rsidRPr="009303E0" w14:paraId="10EF661C"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180D6B43"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Cíveis</w:t>
            </w:r>
          </w:p>
        </w:tc>
        <w:tc>
          <w:tcPr>
            <w:tcW w:w="1081" w:type="pct"/>
            <w:tcBorders>
              <w:top w:val="nil"/>
              <w:left w:val="nil"/>
              <w:bottom w:val="nil"/>
              <w:right w:val="nil"/>
            </w:tcBorders>
            <w:vAlign w:val="center"/>
          </w:tcPr>
          <w:p w14:paraId="534B9326" w14:textId="242FB03D"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1.845.247.754</w:t>
            </w:r>
          </w:p>
        </w:tc>
        <w:tc>
          <w:tcPr>
            <w:tcW w:w="857" w:type="pct"/>
            <w:tcBorders>
              <w:top w:val="nil"/>
              <w:left w:val="nil"/>
              <w:bottom w:val="nil"/>
              <w:right w:val="nil"/>
            </w:tcBorders>
          </w:tcPr>
          <w:p w14:paraId="3E52791E" w14:textId="581D3985" w:rsidR="00CA0B3B" w:rsidRPr="009303E0" w:rsidRDefault="00A23C7D"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1.222.763</w:t>
            </w:r>
          </w:p>
        </w:tc>
        <w:tc>
          <w:tcPr>
            <w:tcW w:w="1040" w:type="pct"/>
            <w:tcBorders>
              <w:top w:val="nil"/>
              <w:left w:val="nil"/>
              <w:bottom w:val="nil"/>
              <w:right w:val="nil"/>
            </w:tcBorders>
            <w:shd w:val="clear" w:color="auto" w:fill="auto"/>
            <w:noWrap/>
            <w:vAlign w:val="center"/>
          </w:tcPr>
          <w:p w14:paraId="3CE24B55" w14:textId="0EBFD2A5"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(45.106.744)</w:t>
            </w:r>
          </w:p>
        </w:tc>
        <w:tc>
          <w:tcPr>
            <w:tcW w:w="975" w:type="pct"/>
            <w:tcBorders>
              <w:top w:val="nil"/>
              <w:left w:val="nil"/>
              <w:bottom w:val="nil"/>
              <w:right w:val="nil"/>
            </w:tcBorders>
            <w:shd w:val="clear" w:color="auto" w:fill="auto"/>
            <w:noWrap/>
            <w:vAlign w:val="center"/>
            <w:hideMark/>
          </w:tcPr>
          <w:p w14:paraId="5070C2D6" w14:textId="49EDA2CF"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1.8</w:t>
            </w:r>
            <w:r>
              <w:rPr>
                <w:rFonts w:asciiTheme="minorHAnsi" w:hAnsiTheme="minorHAnsi" w:cstheme="minorHAnsi"/>
                <w:color w:val="000000"/>
                <w:sz w:val="16"/>
                <w:szCs w:val="16"/>
              </w:rPr>
              <w:t>0</w:t>
            </w:r>
            <w:r w:rsidR="004F7BE6">
              <w:rPr>
                <w:rFonts w:asciiTheme="minorHAnsi" w:hAnsiTheme="minorHAnsi" w:cstheme="minorHAnsi"/>
                <w:color w:val="000000"/>
                <w:sz w:val="16"/>
                <w:szCs w:val="16"/>
              </w:rPr>
              <w:t>1.363.773</w:t>
            </w:r>
          </w:p>
        </w:tc>
      </w:tr>
      <w:tr w:rsidR="00CA0B3B" w:rsidRPr="009303E0" w14:paraId="35BD049F" w14:textId="77777777" w:rsidTr="00C553AE">
        <w:trPr>
          <w:trHeight w:val="227"/>
          <w:jc w:val="center"/>
        </w:trPr>
        <w:tc>
          <w:tcPr>
            <w:tcW w:w="1047" w:type="pct"/>
            <w:tcBorders>
              <w:top w:val="nil"/>
              <w:left w:val="nil"/>
              <w:bottom w:val="nil"/>
              <w:right w:val="nil"/>
            </w:tcBorders>
            <w:shd w:val="clear" w:color="auto" w:fill="auto"/>
            <w:noWrap/>
            <w:vAlign w:val="center"/>
            <w:hideMark/>
          </w:tcPr>
          <w:p w14:paraId="4B2CF5E5"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Tributárias</w:t>
            </w:r>
          </w:p>
        </w:tc>
        <w:tc>
          <w:tcPr>
            <w:tcW w:w="1081" w:type="pct"/>
            <w:tcBorders>
              <w:top w:val="nil"/>
              <w:left w:val="nil"/>
              <w:bottom w:val="nil"/>
              <w:right w:val="nil"/>
            </w:tcBorders>
            <w:vAlign w:val="center"/>
          </w:tcPr>
          <w:p w14:paraId="119AC785" w14:textId="5488D5DF"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434.727</w:t>
            </w:r>
          </w:p>
        </w:tc>
        <w:tc>
          <w:tcPr>
            <w:tcW w:w="857" w:type="pct"/>
            <w:tcBorders>
              <w:top w:val="nil"/>
              <w:left w:val="nil"/>
              <w:bottom w:val="nil"/>
              <w:right w:val="nil"/>
            </w:tcBorders>
          </w:tcPr>
          <w:p w14:paraId="19660252" w14:textId="1BE69E07"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911.048</w:t>
            </w:r>
          </w:p>
        </w:tc>
        <w:tc>
          <w:tcPr>
            <w:tcW w:w="1040" w:type="pct"/>
            <w:tcBorders>
              <w:top w:val="nil"/>
              <w:left w:val="nil"/>
              <w:bottom w:val="nil"/>
              <w:right w:val="nil"/>
            </w:tcBorders>
            <w:shd w:val="clear" w:color="auto" w:fill="auto"/>
            <w:noWrap/>
            <w:vAlign w:val="center"/>
          </w:tcPr>
          <w:p w14:paraId="692B13EC" w14:textId="169A58A9"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nil"/>
              <w:right w:val="nil"/>
            </w:tcBorders>
            <w:shd w:val="clear" w:color="auto" w:fill="auto"/>
            <w:noWrap/>
            <w:vAlign w:val="center"/>
            <w:hideMark/>
          </w:tcPr>
          <w:p w14:paraId="34A84071" w14:textId="21DF7779"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1.345.775</w:t>
            </w:r>
          </w:p>
        </w:tc>
      </w:tr>
      <w:tr w:rsidR="00CA0B3B" w:rsidRPr="009303E0" w14:paraId="69575DB5" w14:textId="77777777" w:rsidTr="00C553AE">
        <w:trPr>
          <w:trHeight w:val="227"/>
          <w:jc w:val="center"/>
        </w:trPr>
        <w:tc>
          <w:tcPr>
            <w:tcW w:w="1047" w:type="pct"/>
            <w:tcBorders>
              <w:top w:val="nil"/>
              <w:left w:val="nil"/>
              <w:bottom w:val="single" w:sz="8" w:space="0" w:color="auto"/>
              <w:right w:val="nil"/>
            </w:tcBorders>
            <w:shd w:val="clear" w:color="auto" w:fill="auto"/>
            <w:noWrap/>
            <w:vAlign w:val="center"/>
            <w:hideMark/>
          </w:tcPr>
          <w:p w14:paraId="2F670BDF" w14:textId="77777777" w:rsidR="00CA0B3B" w:rsidRPr="009303E0" w:rsidRDefault="00CA0B3B" w:rsidP="00CA0B3B">
            <w:pPr>
              <w:rPr>
                <w:rFonts w:asciiTheme="minorHAnsi" w:hAnsiTheme="minorHAnsi" w:cstheme="minorHAnsi"/>
                <w:color w:val="000000"/>
                <w:sz w:val="16"/>
                <w:szCs w:val="16"/>
              </w:rPr>
            </w:pPr>
            <w:r w:rsidRPr="009303E0">
              <w:rPr>
                <w:rFonts w:asciiTheme="minorHAnsi" w:hAnsiTheme="minorHAnsi" w:cstheme="minorHAnsi"/>
                <w:color w:val="000000"/>
                <w:sz w:val="16"/>
                <w:szCs w:val="16"/>
              </w:rPr>
              <w:t>Previdenciárias</w:t>
            </w:r>
          </w:p>
        </w:tc>
        <w:tc>
          <w:tcPr>
            <w:tcW w:w="1081" w:type="pct"/>
            <w:tcBorders>
              <w:top w:val="nil"/>
              <w:left w:val="nil"/>
              <w:bottom w:val="single" w:sz="8" w:space="0" w:color="auto"/>
              <w:right w:val="nil"/>
            </w:tcBorders>
            <w:vAlign w:val="center"/>
          </w:tcPr>
          <w:p w14:paraId="5FF806EC" w14:textId="2081B151" w:rsidR="00CA0B3B" w:rsidRPr="009303E0" w:rsidRDefault="00CA0B3B" w:rsidP="00CA0B3B">
            <w:pPr>
              <w:jc w:val="right"/>
              <w:rPr>
                <w:rFonts w:asciiTheme="minorHAnsi" w:hAnsiTheme="minorHAnsi" w:cstheme="minorHAnsi"/>
                <w:color w:val="000000"/>
                <w:sz w:val="16"/>
                <w:szCs w:val="16"/>
              </w:rPr>
            </w:pPr>
            <w:r w:rsidRPr="009303E0">
              <w:rPr>
                <w:rFonts w:asciiTheme="minorHAnsi" w:hAnsiTheme="minorHAnsi" w:cstheme="minorHAnsi"/>
                <w:color w:val="000000"/>
                <w:sz w:val="16"/>
                <w:szCs w:val="16"/>
              </w:rPr>
              <w:t>258.198</w:t>
            </w:r>
          </w:p>
        </w:tc>
        <w:tc>
          <w:tcPr>
            <w:tcW w:w="857" w:type="pct"/>
            <w:tcBorders>
              <w:top w:val="nil"/>
              <w:left w:val="nil"/>
              <w:bottom w:val="single" w:sz="8" w:space="0" w:color="auto"/>
              <w:right w:val="nil"/>
            </w:tcBorders>
          </w:tcPr>
          <w:p w14:paraId="6B60CE4C" w14:textId="6C0BAA8A"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231.573</w:t>
            </w:r>
          </w:p>
        </w:tc>
        <w:tc>
          <w:tcPr>
            <w:tcW w:w="1040" w:type="pct"/>
            <w:tcBorders>
              <w:top w:val="nil"/>
              <w:left w:val="nil"/>
              <w:bottom w:val="single" w:sz="8" w:space="0" w:color="auto"/>
              <w:right w:val="nil"/>
            </w:tcBorders>
            <w:shd w:val="clear" w:color="auto" w:fill="auto"/>
            <w:noWrap/>
            <w:vAlign w:val="center"/>
          </w:tcPr>
          <w:p w14:paraId="02EC58CF" w14:textId="3A480DDB" w:rsidR="00CA0B3B" w:rsidRPr="009303E0" w:rsidRDefault="00EE2E70"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w:t>
            </w:r>
          </w:p>
        </w:tc>
        <w:tc>
          <w:tcPr>
            <w:tcW w:w="975" w:type="pct"/>
            <w:tcBorders>
              <w:top w:val="nil"/>
              <w:left w:val="nil"/>
              <w:bottom w:val="single" w:sz="8" w:space="0" w:color="auto"/>
              <w:right w:val="nil"/>
            </w:tcBorders>
            <w:shd w:val="clear" w:color="auto" w:fill="auto"/>
            <w:noWrap/>
            <w:vAlign w:val="center"/>
            <w:hideMark/>
          </w:tcPr>
          <w:p w14:paraId="4017BA6A" w14:textId="5AC7C795" w:rsidR="00CA0B3B" w:rsidRPr="009303E0" w:rsidRDefault="00CA0B3B" w:rsidP="00CA0B3B">
            <w:pPr>
              <w:jc w:val="right"/>
              <w:rPr>
                <w:rFonts w:asciiTheme="minorHAnsi" w:hAnsiTheme="minorHAnsi" w:cstheme="minorHAnsi"/>
                <w:color w:val="000000"/>
                <w:sz w:val="16"/>
                <w:szCs w:val="16"/>
              </w:rPr>
            </w:pPr>
            <w:r>
              <w:rPr>
                <w:rFonts w:asciiTheme="minorHAnsi" w:hAnsiTheme="minorHAnsi" w:cstheme="minorHAnsi"/>
                <w:color w:val="000000"/>
                <w:sz w:val="16"/>
                <w:szCs w:val="16"/>
              </w:rPr>
              <w:t>489.771</w:t>
            </w:r>
          </w:p>
        </w:tc>
      </w:tr>
    </w:tbl>
    <w:p w14:paraId="30F339BD" w14:textId="378278A3" w:rsidR="005D7B2E" w:rsidRPr="00BD2A00" w:rsidRDefault="005D7B2E" w:rsidP="00937ED9">
      <w:pPr>
        <w:numPr>
          <w:ilvl w:val="0"/>
          <w:numId w:val="26"/>
        </w:numPr>
        <w:spacing w:before="120" w:after="120"/>
        <w:ind w:left="567" w:right="-142" w:hanging="567"/>
        <w:jc w:val="both"/>
        <w:rPr>
          <w:rFonts w:ascii="Calibri" w:hAnsi="Calibri" w:cs="Calibri"/>
          <w:sz w:val="22"/>
          <w:szCs w:val="22"/>
          <w:u w:val="single"/>
        </w:rPr>
      </w:pPr>
      <w:r w:rsidRPr="00BD2A00">
        <w:rPr>
          <w:rFonts w:ascii="Calibri" w:hAnsi="Calibri" w:cs="Calibri"/>
          <w:sz w:val="22"/>
          <w:szCs w:val="22"/>
          <w:u w:val="single"/>
        </w:rPr>
        <w:t xml:space="preserve">Contingências </w:t>
      </w:r>
      <w:r w:rsidR="00FE1F7E">
        <w:rPr>
          <w:rFonts w:ascii="Calibri" w:hAnsi="Calibri" w:cs="Calibri"/>
          <w:sz w:val="22"/>
          <w:szCs w:val="22"/>
          <w:u w:val="single"/>
        </w:rPr>
        <w:t xml:space="preserve">de Ações </w:t>
      </w:r>
      <w:r w:rsidRPr="00BD2A00">
        <w:rPr>
          <w:rFonts w:ascii="Calibri" w:hAnsi="Calibri" w:cs="Calibri"/>
          <w:sz w:val="22"/>
          <w:szCs w:val="22"/>
          <w:u w:val="single"/>
        </w:rPr>
        <w:t>Cíveis:</w:t>
      </w:r>
    </w:p>
    <w:p w14:paraId="7DFAC373" w14:textId="764620D0" w:rsidR="00D974C8" w:rsidRDefault="005D7B2E" w:rsidP="00937ED9">
      <w:pPr>
        <w:spacing w:after="120"/>
        <w:ind w:right="57"/>
        <w:jc w:val="both"/>
        <w:rPr>
          <w:rFonts w:ascii="Calibri" w:hAnsi="Calibri" w:cs="Calibri"/>
          <w:sz w:val="22"/>
          <w:szCs w:val="22"/>
        </w:rPr>
      </w:pPr>
      <w:r w:rsidRPr="00BD2A00">
        <w:rPr>
          <w:rFonts w:ascii="Calibri" w:hAnsi="Calibri" w:cs="Calibri"/>
          <w:sz w:val="22"/>
          <w:szCs w:val="22"/>
        </w:rPr>
        <w:t>Em relação aos processos cíveis, tem-se que as temáticas mais recorrentes</w:t>
      </w:r>
      <w:r w:rsidR="00AD6E75" w:rsidRPr="00BD2A00">
        <w:rPr>
          <w:rFonts w:ascii="Calibri" w:hAnsi="Calibri" w:cs="Calibri"/>
          <w:sz w:val="22"/>
          <w:szCs w:val="22"/>
        </w:rPr>
        <w:t xml:space="preserve"> </w:t>
      </w:r>
      <w:r w:rsidRPr="00BD2A00">
        <w:rPr>
          <w:rFonts w:ascii="Calibri" w:hAnsi="Calibri" w:cs="Calibri"/>
          <w:sz w:val="22"/>
          <w:szCs w:val="22"/>
        </w:rPr>
        <w:t xml:space="preserve">são as de Ações Indenizatórias ou Ações de Cobrança, </w:t>
      </w:r>
      <w:r w:rsidR="00AD6E75" w:rsidRPr="00BD2A00">
        <w:rPr>
          <w:rFonts w:ascii="Calibri" w:hAnsi="Calibri" w:cs="Calibri"/>
          <w:sz w:val="22"/>
          <w:szCs w:val="22"/>
        </w:rPr>
        <w:t>as</w:t>
      </w:r>
      <w:r w:rsidRPr="00BD2A00">
        <w:rPr>
          <w:rFonts w:ascii="Calibri" w:hAnsi="Calibri" w:cs="Calibri"/>
          <w:sz w:val="22"/>
          <w:szCs w:val="22"/>
        </w:rPr>
        <w:t xml:space="preserve"> quais dizem respeito, notadamente, no primeiro caso a indenizações por danos supostamente causados aos imóveis dos autores pela construção da ferrovia e quanto às de cobrança, às questões contratuais mais diversas, desde cobranças de medições de contratos, requerimento de valores supostamente não pagos em execuções contratuais, cobrança de reajustes, questionamentos de glosas e outros. </w:t>
      </w:r>
    </w:p>
    <w:p w14:paraId="7B65C8B1" w14:textId="5F3736A7" w:rsidR="001D610C" w:rsidRPr="008D21F0" w:rsidRDefault="001D610C" w:rsidP="00937ED9">
      <w:pPr>
        <w:spacing w:after="120"/>
        <w:ind w:right="57"/>
        <w:jc w:val="both"/>
        <w:rPr>
          <w:rFonts w:ascii="Calibri" w:hAnsi="Calibri" w:cs="Calibri"/>
          <w:sz w:val="22"/>
          <w:szCs w:val="22"/>
        </w:rPr>
      </w:pPr>
      <w:r w:rsidRPr="008D21F0">
        <w:rPr>
          <w:rFonts w:ascii="Calibri" w:hAnsi="Calibri" w:cs="Calibri"/>
          <w:sz w:val="22"/>
          <w:szCs w:val="22"/>
        </w:rPr>
        <w:t xml:space="preserve">As principais ações com riscos de prováveis perdas são das varas cíveis, </w:t>
      </w:r>
      <w:r w:rsidR="00B81002" w:rsidRPr="008D21F0">
        <w:rPr>
          <w:rFonts w:ascii="Calibri" w:hAnsi="Calibri" w:cs="Calibri"/>
          <w:sz w:val="22"/>
          <w:szCs w:val="22"/>
        </w:rPr>
        <w:t xml:space="preserve">dentre </w:t>
      </w:r>
      <w:r w:rsidRPr="008D21F0">
        <w:rPr>
          <w:rFonts w:ascii="Calibri" w:hAnsi="Calibri" w:cs="Calibri"/>
          <w:sz w:val="22"/>
          <w:szCs w:val="22"/>
        </w:rPr>
        <w:t>as quais se destacam:</w:t>
      </w:r>
    </w:p>
    <w:p w14:paraId="325D0D15" w14:textId="5BB76639" w:rsidR="004F0040" w:rsidRPr="004F0040" w:rsidRDefault="004F0040" w:rsidP="004F0040">
      <w:pPr>
        <w:pStyle w:val="PargrafodaLista"/>
        <w:numPr>
          <w:ilvl w:val="0"/>
          <w:numId w:val="43"/>
        </w:numPr>
        <w:spacing w:after="120"/>
        <w:ind w:right="57"/>
        <w:jc w:val="both"/>
        <w:rPr>
          <w:rFonts w:ascii="Calibri" w:hAnsi="Calibri" w:cs="Calibri"/>
          <w:sz w:val="22"/>
          <w:szCs w:val="22"/>
        </w:rPr>
      </w:pPr>
      <w:r w:rsidRPr="004F0040">
        <w:rPr>
          <w:rFonts w:ascii="Calibri" w:hAnsi="Calibri" w:cs="Calibri"/>
          <w:sz w:val="22"/>
          <w:szCs w:val="22"/>
        </w:rPr>
        <w:t xml:space="preserve">0034224-66.2009.4.01.3400: Trata-se de ação ajuizada em desfavor da </w:t>
      </w:r>
      <w:r w:rsidR="00B406C5">
        <w:rPr>
          <w:rFonts w:ascii="Calibri" w:hAnsi="Calibri" w:cs="Calibri"/>
          <w:sz w:val="22"/>
          <w:szCs w:val="22"/>
        </w:rPr>
        <w:t>Infra S.A.</w:t>
      </w:r>
      <w:r w:rsidRPr="004F0040">
        <w:rPr>
          <w:rFonts w:ascii="Calibri" w:hAnsi="Calibri" w:cs="Calibri"/>
          <w:sz w:val="22"/>
          <w:szCs w:val="22"/>
        </w:rPr>
        <w:t xml:space="preserve"> em que se pleiteia o reequilíbrio econômico-financeiro do Contrato 022/2006. Pendem de julgamento a ação e diversos petitórios recursais. Valor provável da provisão da contingência R$1.059.979.423,63.</w:t>
      </w:r>
    </w:p>
    <w:p w14:paraId="36CBBA91" w14:textId="77777777" w:rsidR="004F0040" w:rsidRPr="004F0040" w:rsidRDefault="004F0040" w:rsidP="004F0040">
      <w:pPr>
        <w:pStyle w:val="PargrafodaLista"/>
        <w:numPr>
          <w:ilvl w:val="0"/>
          <w:numId w:val="43"/>
        </w:numPr>
        <w:spacing w:after="120"/>
        <w:ind w:right="57"/>
        <w:jc w:val="both"/>
        <w:rPr>
          <w:rFonts w:ascii="Calibri" w:hAnsi="Calibri" w:cs="Calibri"/>
          <w:sz w:val="22"/>
          <w:szCs w:val="22"/>
        </w:rPr>
      </w:pPr>
      <w:r w:rsidRPr="004F0040">
        <w:rPr>
          <w:rFonts w:ascii="Calibri" w:hAnsi="Calibri" w:cs="Calibri"/>
          <w:sz w:val="22"/>
          <w:szCs w:val="22"/>
        </w:rPr>
        <w:lastRenderedPageBreak/>
        <w:t>0009921-41.2016.4.01.3400:  Trata-se da recomposição do equilíbrio econômico-financeiro do contrato nº 054/2010. Encontra-se em fase de produção de provas. Valor provável da provisão da contingência R$202.069.472,66.</w:t>
      </w:r>
    </w:p>
    <w:p w14:paraId="40C12D25" w14:textId="07594F35" w:rsidR="004F0040" w:rsidRPr="004F0040" w:rsidRDefault="004F0040" w:rsidP="004F0040">
      <w:pPr>
        <w:pStyle w:val="PargrafodaLista"/>
        <w:numPr>
          <w:ilvl w:val="0"/>
          <w:numId w:val="43"/>
        </w:numPr>
        <w:spacing w:after="120"/>
        <w:ind w:right="57"/>
        <w:jc w:val="both"/>
        <w:rPr>
          <w:rFonts w:ascii="Calibri" w:hAnsi="Calibri" w:cs="Calibri"/>
          <w:sz w:val="22"/>
          <w:szCs w:val="22"/>
        </w:rPr>
      </w:pPr>
      <w:r w:rsidRPr="004F0040">
        <w:rPr>
          <w:rFonts w:ascii="Calibri" w:hAnsi="Calibri" w:cs="Calibri"/>
          <w:sz w:val="22"/>
          <w:szCs w:val="22"/>
        </w:rPr>
        <w:t xml:space="preserve">1018694-24.2017.4.01.3400: Trata-se de ressarcimento de equilíbrio financeiro, em que a autora alega que houve descumprimento de obrigações contratuais e do cronograma por parte da </w:t>
      </w:r>
      <w:r w:rsidR="00B406C5">
        <w:rPr>
          <w:rFonts w:ascii="Calibri" w:hAnsi="Calibri" w:cs="Calibri"/>
          <w:sz w:val="22"/>
          <w:szCs w:val="22"/>
        </w:rPr>
        <w:t>Infra S.A</w:t>
      </w:r>
      <w:r w:rsidR="00D60F6A">
        <w:rPr>
          <w:rFonts w:ascii="Calibri" w:hAnsi="Calibri" w:cs="Calibri"/>
          <w:sz w:val="22"/>
          <w:szCs w:val="22"/>
        </w:rPr>
        <w:t>.</w:t>
      </w:r>
      <w:r w:rsidRPr="004F0040">
        <w:rPr>
          <w:rFonts w:ascii="Calibri" w:hAnsi="Calibri" w:cs="Calibri"/>
          <w:sz w:val="22"/>
          <w:szCs w:val="22"/>
        </w:rPr>
        <w:t xml:space="preserve"> Valor provável da provisão da contingência R$ 165.618.651,85.</w:t>
      </w:r>
    </w:p>
    <w:p w14:paraId="7F2313CF" w14:textId="184004AD" w:rsidR="001D610C" w:rsidRPr="008D21F0" w:rsidRDefault="004F0040" w:rsidP="004F0040">
      <w:pPr>
        <w:pStyle w:val="PargrafodaLista"/>
        <w:numPr>
          <w:ilvl w:val="0"/>
          <w:numId w:val="43"/>
        </w:numPr>
        <w:spacing w:after="120"/>
        <w:ind w:right="57"/>
        <w:jc w:val="both"/>
        <w:rPr>
          <w:rFonts w:ascii="Calibri" w:hAnsi="Calibri" w:cs="Calibri"/>
          <w:sz w:val="22"/>
          <w:szCs w:val="22"/>
        </w:rPr>
      </w:pPr>
      <w:r w:rsidRPr="004F0040">
        <w:rPr>
          <w:rFonts w:ascii="Calibri" w:hAnsi="Calibri" w:cs="Calibri"/>
          <w:sz w:val="22"/>
          <w:szCs w:val="22"/>
        </w:rPr>
        <w:t>0060773-69.2016.4.01.3400: Trata-se reequilíbrio econômico-financeiro do contrato 007/2014. Valor provável da provisão da contingência R$ 122.248.435,57</w:t>
      </w:r>
      <w:r>
        <w:rPr>
          <w:rFonts w:ascii="Calibri" w:hAnsi="Calibri" w:cs="Calibri"/>
          <w:sz w:val="22"/>
          <w:szCs w:val="22"/>
        </w:rPr>
        <w:t>.</w:t>
      </w:r>
    </w:p>
    <w:p w14:paraId="18291109" w14:textId="67557983" w:rsidR="005D7B2E" w:rsidRPr="008D21F0" w:rsidRDefault="005D7B2E" w:rsidP="00937ED9">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Contingências</w:t>
      </w:r>
      <w:r w:rsidR="00FE1F7E" w:rsidRPr="008D21F0">
        <w:rPr>
          <w:rFonts w:ascii="Calibri" w:hAnsi="Calibri" w:cs="Calibri"/>
          <w:sz w:val="22"/>
          <w:szCs w:val="22"/>
          <w:u w:val="single"/>
        </w:rPr>
        <w:t xml:space="preserve"> de Ações </w:t>
      </w:r>
      <w:r w:rsidRPr="008D21F0">
        <w:rPr>
          <w:rFonts w:ascii="Calibri" w:hAnsi="Calibri" w:cs="Calibri"/>
          <w:sz w:val="22"/>
          <w:szCs w:val="22"/>
          <w:u w:val="single"/>
        </w:rPr>
        <w:t xml:space="preserve">Trabalhistas: </w:t>
      </w:r>
    </w:p>
    <w:p w14:paraId="7A7F3C4A" w14:textId="57A012C3" w:rsidR="005D7B2E" w:rsidRPr="008D21F0" w:rsidRDefault="005D7B2E" w:rsidP="00937ED9">
      <w:pPr>
        <w:spacing w:after="120"/>
        <w:ind w:right="57"/>
        <w:jc w:val="both"/>
        <w:rPr>
          <w:rFonts w:ascii="Calibri" w:hAnsi="Calibri" w:cs="Calibri"/>
          <w:sz w:val="22"/>
          <w:szCs w:val="22"/>
        </w:rPr>
      </w:pPr>
      <w:r w:rsidRPr="008D21F0">
        <w:rPr>
          <w:rFonts w:ascii="Calibri" w:hAnsi="Calibri" w:cs="Calibri"/>
          <w:sz w:val="22"/>
          <w:szCs w:val="22"/>
        </w:rPr>
        <w:t xml:space="preserve">As ações judiciais denominadas de reclamações trabalhistas constituem controvérsias entre os sujeitos da relação de trabalho, frequentemente empregador e empregado, submetidas à resolução jurisdicional. No âmbito da </w:t>
      </w:r>
      <w:r w:rsidR="00D60F6A">
        <w:rPr>
          <w:rFonts w:ascii="Calibri" w:hAnsi="Calibri" w:cs="Calibri"/>
          <w:sz w:val="22"/>
          <w:szCs w:val="22"/>
        </w:rPr>
        <w:t>Infra</w:t>
      </w:r>
      <w:r w:rsidR="00B406C5">
        <w:rPr>
          <w:rFonts w:ascii="Calibri" w:hAnsi="Calibri" w:cs="Calibri"/>
          <w:sz w:val="22"/>
          <w:szCs w:val="22"/>
        </w:rPr>
        <w:t xml:space="preserve"> S.A.</w:t>
      </w:r>
      <w:r w:rsidRPr="008D21F0">
        <w:rPr>
          <w:rFonts w:ascii="Calibri" w:hAnsi="Calibri" w:cs="Calibri"/>
          <w:sz w:val="22"/>
          <w:szCs w:val="22"/>
        </w:rPr>
        <w:t xml:space="preserve">, esses processos são divididos em dois grandes grupos: o primeiro, formado por empregados efetivos que geralmente demandam o judiciário em razão de algum direito trabalhista específico ou supostos descumprimentos do Plano de Cargos e Salários a que se vinculam; e o segundo, por empregados das empresas que mantêm ou mantiveram contratos de fornecimento de mão de obra com a </w:t>
      </w:r>
      <w:r w:rsidR="00D60F6A">
        <w:rPr>
          <w:rFonts w:ascii="Calibri" w:hAnsi="Calibri" w:cs="Calibri"/>
          <w:sz w:val="22"/>
          <w:szCs w:val="22"/>
        </w:rPr>
        <w:t>Infra</w:t>
      </w:r>
      <w:r w:rsidR="00B406C5">
        <w:rPr>
          <w:rFonts w:ascii="Calibri" w:hAnsi="Calibri" w:cs="Calibri"/>
          <w:sz w:val="22"/>
          <w:szCs w:val="22"/>
        </w:rPr>
        <w:t xml:space="preserve"> S.A</w:t>
      </w:r>
      <w:r w:rsidR="00D60F6A">
        <w:rPr>
          <w:rFonts w:ascii="Calibri" w:hAnsi="Calibri" w:cs="Calibri"/>
          <w:sz w:val="22"/>
          <w:szCs w:val="22"/>
        </w:rPr>
        <w:t>.</w:t>
      </w:r>
      <w:r w:rsidRPr="008D21F0">
        <w:rPr>
          <w:rFonts w:ascii="Calibri" w:hAnsi="Calibri" w:cs="Calibri"/>
          <w:sz w:val="22"/>
          <w:szCs w:val="22"/>
        </w:rPr>
        <w:t xml:space="preserve"> Nestes últimos, a </w:t>
      </w:r>
      <w:r w:rsidR="00D60F6A">
        <w:rPr>
          <w:rFonts w:ascii="Calibri" w:hAnsi="Calibri" w:cs="Calibri"/>
          <w:sz w:val="22"/>
          <w:szCs w:val="22"/>
        </w:rPr>
        <w:t>Infra</w:t>
      </w:r>
      <w:r w:rsidR="00B406C5">
        <w:rPr>
          <w:rFonts w:ascii="Calibri" w:hAnsi="Calibri" w:cs="Calibri"/>
          <w:sz w:val="22"/>
          <w:szCs w:val="22"/>
        </w:rPr>
        <w:t xml:space="preserve"> S.A.</w:t>
      </w:r>
      <w:r w:rsidRPr="008D21F0">
        <w:rPr>
          <w:rFonts w:ascii="Calibri" w:hAnsi="Calibri" w:cs="Calibri"/>
          <w:sz w:val="22"/>
          <w:szCs w:val="22"/>
        </w:rPr>
        <w:t xml:space="preserve"> é demandada de forma subsidiária.</w:t>
      </w:r>
    </w:p>
    <w:p w14:paraId="7E38E1A8" w14:textId="4B0C2AC8" w:rsidR="005D7B2E" w:rsidRPr="008D21F0" w:rsidRDefault="005D7B2E" w:rsidP="00937ED9">
      <w:pPr>
        <w:spacing w:after="120"/>
        <w:ind w:right="57"/>
        <w:jc w:val="both"/>
        <w:rPr>
          <w:rFonts w:ascii="Calibri" w:hAnsi="Calibri" w:cs="Calibri"/>
          <w:sz w:val="22"/>
          <w:szCs w:val="22"/>
        </w:rPr>
      </w:pPr>
      <w:r w:rsidRPr="008D21F0">
        <w:rPr>
          <w:rFonts w:ascii="Calibri" w:hAnsi="Calibri" w:cs="Calibri"/>
          <w:sz w:val="22"/>
          <w:szCs w:val="22"/>
        </w:rPr>
        <w:t xml:space="preserve">A temática de responsabilidade subsidiária trabalhista é a mais recorrente no universo quantitativo e diz respeito ao descumprimento, pelas Contratadas da </w:t>
      </w:r>
      <w:r w:rsidR="00D60F6A">
        <w:rPr>
          <w:rFonts w:ascii="Calibri" w:hAnsi="Calibri" w:cs="Calibri"/>
          <w:sz w:val="22"/>
          <w:szCs w:val="22"/>
        </w:rPr>
        <w:t>Infra</w:t>
      </w:r>
      <w:r w:rsidR="00B406C5">
        <w:rPr>
          <w:rFonts w:ascii="Calibri" w:hAnsi="Calibri" w:cs="Calibri"/>
          <w:sz w:val="22"/>
          <w:szCs w:val="22"/>
        </w:rPr>
        <w:t xml:space="preserve"> S.A.</w:t>
      </w:r>
      <w:r w:rsidRPr="008D21F0">
        <w:rPr>
          <w:rFonts w:ascii="Calibri" w:hAnsi="Calibri" w:cs="Calibri"/>
          <w:sz w:val="22"/>
          <w:szCs w:val="22"/>
        </w:rPr>
        <w:t xml:space="preserve">, das obrigações trabalhistas em face aos seus próprios empregados mobilizados para prestação de serviços em contratos firmados com a </w:t>
      </w:r>
      <w:r w:rsidR="00787F70" w:rsidRPr="008D21F0">
        <w:rPr>
          <w:rFonts w:ascii="Calibri" w:hAnsi="Calibri" w:cs="Calibri"/>
          <w:sz w:val="22"/>
          <w:szCs w:val="22"/>
        </w:rPr>
        <w:t>Estatal</w:t>
      </w:r>
      <w:r w:rsidRPr="008D21F0">
        <w:rPr>
          <w:rFonts w:ascii="Calibri" w:hAnsi="Calibri" w:cs="Calibri"/>
          <w:sz w:val="22"/>
          <w:szCs w:val="22"/>
        </w:rPr>
        <w:t xml:space="preserve">, implicando na inclusão da </w:t>
      </w:r>
      <w:r w:rsidR="00D60F6A">
        <w:rPr>
          <w:rFonts w:ascii="Calibri" w:hAnsi="Calibri" w:cs="Calibri"/>
          <w:sz w:val="22"/>
          <w:szCs w:val="22"/>
        </w:rPr>
        <w:t>Infra</w:t>
      </w:r>
      <w:r w:rsidR="00B406C5">
        <w:rPr>
          <w:rFonts w:ascii="Calibri" w:hAnsi="Calibri" w:cs="Calibri"/>
          <w:sz w:val="22"/>
          <w:szCs w:val="22"/>
        </w:rPr>
        <w:t xml:space="preserve"> S.A.</w:t>
      </w:r>
      <w:r w:rsidRPr="008D21F0">
        <w:rPr>
          <w:rFonts w:ascii="Calibri" w:hAnsi="Calibri" w:cs="Calibri"/>
          <w:sz w:val="22"/>
          <w:szCs w:val="22"/>
        </w:rPr>
        <w:t> como responsável subsidiariamente no polo passivo dessas demandas judiciais.</w:t>
      </w:r>
    </w:p>
    <w:p w14:paraId="6735F71F" w14:textId="0DA32569" w:rsidR="00F80F84" w:rsidRPr="008D21F0" w:rsidRDefault="00F80F84" w:rsidP="00937ED9">
      <w:pPr>
        <w:spacing w:after="120"/>
        <w:ind w:right="57"/>
        <w:jc w:val="both"/>
        <w:rPr>
          <w:rFonts w:ascii="Calibri" w:hAnsi="Calibri" w:cs="Calibri"/>
          <w:sz w:val="22"/>
          <w:szCs w:val="22"/>
        </w:rPr>
      </w:pPr>
      <w:r w:rsidRPr="008D21F0">
        <w:rPr>
          <w:rFonts w:ascii="Calibri" w:hAnsi="Calibri" w:cs="Calibri"/>
          <w:sz w:val="22"/>
          <w:szCs w:val="22"/>
        </w:rPr>
        <w:t xml:space="preserve">Além do quadro dito </w:t>
      </w:r>
      <w:r w:rsidR="00D60F6A">
        <w:rPr>
          <w:rFonts w:ascii="Calibri" w:hAnsi="Calibri" w:cs="Calibri"/>
          <w:sz w:val="22"/>
          <w:szCs w:val="22"/>
        </w:rPr>
        <w:t>Infra</w:t>
      </w:r>
      <w:r w:rsidR="00B406C5">
        <w:rPr>
          <w:rFonts w:ascii="Calibri" w:hAnsi="Calibri" w:cs="Calibri"/>
          <w:sz w:val="22"/>
          <w:szCs w:val="22"/>
        </w:rPr>
        <w:t xml:space="preserve"> S.A.</w:t>
      </w:r>
      <w:r w:rsidRPr="008D21F0">
        <w:rPr>
          <w:rFonts w:ascii="Calibri" w:hAnsi="Calibri" w:cs="Calibri"/>
          <w:sz w:val="22"/>
          <w:szCs w:val="22"/>
        </w:rPr>
        <w:t xml:space="preserve">, a Estatal sucedeu ao longo dos anos obrigações de empresas extintas, como GEIPOT e RFFSA, absorvendo o quadro de pessoal dessas empresas que passaram a compor, dentro das suas particularidades, também o seu quadro efetivo. Necessário explanar que, quando da extinção da Empresa Brasileira de Planejamento de Transportes </w:t>
      </w:r>
      <w:r w:rsidR="00AD6E75" w:rsidRPr="008D21F0">
        <w:rPr>
          <w:rFonts w:ascii="Calibri" w:hAnsi="Calibri" w:cs="Calibri"/>
          <w:sz w:val="22"/>
          <w:szCs w:val="22"/>
        </w:rPr>
        <w:t>(</w:t>
      </w:r>
      <w:r w:rsidRPr="008D21F0">
        <w:rPr>
          <w:rFonts w:ascii="Calibri" w:hAnsi="Calibri" w:cs="Calibri"/>
          <w:sz w:val="22"/>
          <w:szCs w:val="22"/>
        </w:rPr>
        <w:t>GEIPOT</w:t>
      </w:r>
      <w:r w:rsidR="00AD6E75" w:rsidRPr="008D21F0">
        <w:rPr>
          <w:rFonts w:ascii="Calibri" w:hAnsi="Calibri" w:cs="Calibri"/>
          <w:sz w:val="22"/>
          <w:szCs w:val="22"/>
        </w:rPr>
        <w:t>)</w:t>
      </w:r>
      <w:r w:rsidRPr="008D21F0">
        <w:rPr>
          <w:rFonts w:ascii="Calibri" w:hAnsi="Calibri" w:cs="Calibri"/>
          <w:sz w:val="22"/>
          <w:szCs w:val="22"/>
        </w:rPr>
        <w:t xml:space="preserve">, a transferência dos seus empregados ao quadro especial da </w:t>
      </w:r>
      <w:r w:rsidR="00D60F6A">
        <w:rPr>
          <w:rFonts w:ascii="Calibri" w:hAnsi="Calibri" w:cs="Calibri"/>
          <w:sz w:val="22"/>
          <w:szCs w:val="22"/>
        </w:rPr>
        <w:t>Infra</w:t>
      </w:r>
      <w:r w:rsidR="00B406C5">
        <w:rPr>
          <w:rFonts w:ascii="Calibri" w:hAnsi="Calibri" w:cs="Calibri"/>
          <w:sz w:val="22"/>
          <w:szCs w:val="22"/>
        </w:rPr>
        <w:t xml:space="preserve"> S.A.</w:t>
      </w:r>
      <w:r w:rsidRPr="008D21F0">
        <w:rPr>
          <w:rFonts w:ascii="Calibri" w:hAnsi="Calibri" w:cs="Calibri"/>
          <w:sz w:val="22"/>
          <w:szCs w:val="22"/>
        </w:rPr>
        <w:t xml:space="preserve"> ocorreu por força do artigo 26 da Lei nº 11.772/2008, que previu a vedação de comunicação aos planos de cargos e salários da </w:t>
      </w:r>
      <w:r w:rsidR="00D60F6A">
        <w:rPr>
          <w:rFonts w:ascii="Calibri" w:hAnsi="Calibri" w:cs="Calibri"/>
          <w:sz w:val="22"/>
          <w:szCs w:val="22"/>
        </w:rPr>
        <w:t>Infra</w:t>
      </w:r>
      <w:r w:rsidR="00B406C5">
        <w:rPr>
          <w:rFonts w:ascii="Calibri" w:hAnsi="Calibri" w:cs="Calibri"/>
          <w:sz w:val="22"/>
          <w:szCs w:val="22"/>
        </w:rPr>
        <w:t xml:space="preserve"> S.A</w:t>
      </w:r>
      <w:r w:rsidR="00D60F6A">
        <w:rPr>
          <w:rFonts w:ascii="Calibri" w:hAnsi="Calibri" w:cs="Calibri"/>
          <w:sz w:val="22"/>
          <w:szCs w:val="22"/>
        </w:rPr>
        <w:t>.</w:t>
      </w:r>
      <w:r w:rsidRPr="008D21F0">
        <w:rPr>
          <w:rFonts w:ascii="Calibri" w:hAnsi="Calibri" w:cs="Calibri"/>
          <w:sz w:val="22"/>
          <w:szCs w:val="22"/>
        </w:rPr>
        <w:t xml:space="preserve"> Embora pacificada na legislação, a questão foi objeto de diversas judicializações face à Estatal, que se amparava nos ditames legais para lograr êxito no judiciário. Ademais, os empregados do extinto </w:t>
      </w:r>
      <w:r w:rsidR="00AD6E75" w:rsidRPr="008D21F0">
        <w:rPr>
          <w:rFonts w:ascii="Calibri" w:hAnsi="Calibri" w:cs="Calibri"/>
          <w:sz w:val="22"/>
          <w:szCs w:val="22"/>
        </w:rPr>
        <w:t>GEIPOT</w:t>
      </w:r>
      <w:r w:rsidRPr="008D21F0">
        <w:rPr>
          <w:rFonts w:ascii="Calibri" w:hAnsi="Calibri" w:cs="Calibri"/>
          <w:sz w:val="22"/>
          <w:szCs w:val="22"/>
        </w:rPr>
        <w:t xml:space="preserve"> também ingressaram com outros pleitos, muitos deles já arquivados, dos quais destacam-se os de incorporação de gratificação, cessão de empregados, plano de saúde e cumprimento do Plano de Cargos e Salários.</w:t>
      </w:r>
    </w:p>
    <w:p w14:paraId="1C563B4D" w14:textId="5BEBED53" w:rsidR="005D7B2E" w:rsidRDefault="00F80F84" w:rsidP="00937ED9">
      <w:pPr>
        <w:spacing w:after="120"/>
        <w:ind w:right="57"/>
        <w:jc w:val="both"/>
        <w:rPr>
          <w:rFonts w:ascii="Calibri" w:hAnsi="Calibri" w:cs="Calibri"/>
          <w:sz w:val="22"/>
          <w:szCs w:val="22"/>
        </w:rPr>
      </w:pPr>
      <w:r w:rsidRPr="008D21F0">
        <w:rPr>
          <w:rFonts w:ascii="Calibri" w:hAnsi="Calibri" w:cs="Calibri"/>
          <w:sz w:val="22"/>
          <w:szCs w:val="22"/>
        </w:rPr>
        <w:t xml:space="preserve">Quanto à Rede Ferroviária Federal S/A </w:t>
      </w:r>
      <w:r w:rsidR="00AD6E75" w:rsidRPr="008D21F0">
        <w:rPr>
          <w:rFonts w:ascii="Calibri" w:hAnsi="Calibri" w:cs="Calibri"/>
          <w:sz w:val="22"/>
          <w:szCs w:val="22"/>
        </w:rPr>
        <w:t>(</w:t>
      </w:r>
      <w:r w:rsidRPr="008D21F0">
        <w:rPr>
          <w:rFonts w:ascii="Calibri" w:hAnsi="Calibri" w:cs="Calibri"/>
          <w:sz w:val="22"/>
          <w:szCs w:val="22"/>
        </w:rPr>
        <w:t>RFFSA</w:t>
      </w:r>
      <w:r w:rsidR="00AD6E75" w:rsidRPr="008D21F0">
        <w:rPr>
          <w:rFonts w:ascii="Calibri" w:hAnsi="Calibri" w:cs="Calibri"/>
          <w:sz w:val="22"/>
          <w:szCs w:val="22"/>
        </w:rPr>
        <w:t>)</w:t>
      </w:r>
      <w:r w:rsidRPr="008D21F0">
        <w:rPr>
          <w:rFonts w:ascii="Calibri" w:hAnsi="Calibri" w:cs="Calibri"/>
          <w:sz w:val="22"/>
          <w:szCs w:val="22"/>
        </w:rPr>
        <w:t xml:space="preserve">, a alteração do contrato de trabalho com a sucessão trabalhista se deu por força da Lei nº 11.483/2007 e as principais judicializações dessa categoria contemplam pedidos para manutenção dos empregados nas cidades em que laboravam à época da Inventariança. Ademais, também foram propostas ações requerendo equiparação salarial aos empregados da </w:t>
      </w:r>
      <w:r w:rsidR="00D60F6A">
        <w:rPr>
          <w:rFonts w:ascii="Calibri" w:hAnsi="Calibri" w:cs="Calibri"/>
          <w:sz w:val="22"/>
          <w:szCs w:val="22"/>
        </w:rPr>
        <w:t>Infra</w:t>
      </w:r>
      <w:r w:rsidR="00B406C5">
        <w:rPr>
          <w:rFonts w:ascii="Calibri" w:hAnsi="Calibri" w:cs="Calibri"/>
          <w:sz w:val="22"/>
          <w:szCs w:val="22"/>
        </w:rPr>
        <w:t xml:space="preserve"> S.A</w:t>
      </w:r>
      <w:r w:rsidRPr="008D21F0">
        <w:rPr>
          <w:rFonts w:ascii="Calibri" w:hAnsi="Calibri" w:cs="Calibri"/>
          <w:sz w:val="22"/>
          <w:szCs w:val="22"/>
        </w:rPr>
        <w:t>. De igual modo à legislação aplicada ao GEIPOT, há óbice nas demandas apresentadas em razão do disposto no §2º, art. 17 da Lei nº 11.48</w:t>
      </w:r>
      <w:r w:rsidR="00214011" w:rsidRPr="008D21F0">
        <w:rPr>
          <w:rFonts w:ascii="Calibri" w:hAnsi="Calibri" w:cs="Calibri"/>
          <w:sz w:val="22"/>
          <w:szCs w:val="22"/>
        </w:rPr>
        <w:t xml:space="preserve">3, de 31 de maio de </w:t>
      </w:r>
      <w:r w:rsidRPr="008D21F0">
        <w:rPr>
          <w:rFonts w:ascii="Calibri" w:hAnsi="Calibri" w:cs="Calibri"/>
          <w:sz w:val="22"/>
          <w:szCs w:val="22"/>
        </w:rPr>
        <w:t xml:space="preserve">2007, que veda a comunicação dos Planos de Cargos e Salários da </w:t>
      </w:r>
      <w:r w:rsidR="00D60F6A">
        <w:rPr>
          <w:rFonts w:ascii="Calibri" w:hAnsi="Calibri" w:cs="Calibri"/>
          <w:sz w:val="22"/>
          <w:szCs w:val="22"/>
        </w:rPr>
        <w:t>Infra</w:t>
      </w:r>
      <w:r w:rsidR="00B406C5">
        <w:rPr>
          <w:rFonts w:ascii="Calibri" w:hAnsi="Calibri" w:cs="Calibri"/>
          <w:sz w:val="22"/>
          <w:szCs w:val="22"/>
        </w:rPr>
        <w:t xml:space="preserve"> S.A</w:t>
      </w:r>
      <w:r w:rsidRPr="008D21F0">
        <w:rPr>
          <w:rFonts w:ascii="Calibri" w:hAnsi="Calibri" w:cs="Calibri"/>
          <w:sz w:val="22"/>
          <w:szCs w:val="22"/>
        </w:rPr>
        <w:t>. </w:t>
      </w:r>
    </w:p>
    <w:p w14:paraId="2F656C1D" w14:textId="46CB1EEE" w:rsidR="004F0040" w:rsidRDefault="004F0040" w:rsidP="004F0040">
      <w:pPr>
        <w:spacing w:after="120"/>
        <w:ind w:right="57"/>
        <w:jc w:val="both"/>
        <w:rPr>
          <w:rFonts w:ascii="Calibri" w:hAnsi="Calibri" w:cs="Calibri"/>
          <w:sz w:val="22"/>
          <w:szCs w:val="22"/>
        </w:rPr>
      </w:pPr>
      <w:r w:rsidRPr="004F0040">
        <w:rPr>
          <w:rFonts w:ascii="Calibri" w:hAnsi="Calibri" w:cs="Calibri"/>
          <w:sz w:val="22"/>
          <w:szCs w:val="22"/>
        </w:rPr>
        <w:t>As principais ações com riscos de prováveis perdas são das varas trabalhistas, dentre as quais se destacam:</w:t>
      </w:r>
    </w:p>
    <w:p w14:paraId="60F157AB" w14:textId="3415FE6B" w:rsidR="004F0040" w:rsidRPr="00281671" w:rsidRDefault="004F0040" w:rsidP="00107845">
      <w:pPr>
        <w:pStyle w:val="PargrafodaLista"/>
        <w:numPr>
          <w:ilvl w:val="0"/>
          <w:numId w:val="48"/>
        </w:numPr>
        <w:spacing w:after="120"/>
        <w:ind w:left="851" w:right="57" w:hanging="425"/>
        <w:jc w:val="both"/>
        <w:rPr>
          <w:rFonts w:ascii="Calibri" w:hAnsi="Calibri" w:cs="Calibri"/>
          <w:sz w:val="22"/>
          <w:szCs w:val="22"/>
        </w:rPr>
      </w:pPr>
      <w:r w:rsidRPr="00281671">
        <w:rPr>
          <w:rFonts w:ascii="Calibri" w:hAnsi="Calibri" w:cs="Calibri"/>
          <w:sz w:val="22"/>
          <w:szCs w:val="22"/>
        </w:rPr>
        <w:t>0002602-09.2014.5.03.0181: Trata-se de Embargos de Terceiros para discutir a Titularidade de Crédito Remanescente (Cessão Fiduciária) referente ao contrato 053/2010. Valor provável da provisão da contingência R$ 10.398.125,87.</w:t>
      </w:r>
    </w:p>
    <w:p w14:paraId="7DC2C53F" w14:textId="045CBB39" w:rsidR="00281671" w:rsidRDefault="00281671" w:rsidP="00107845">
      <w:pPr>
        <w:pStyle w:val="PargrafodaLista"/>
        <w:numPr>
          <w:ilvl w:val="0"/>
          <w:numId w:val="48"/>
        </w:numPr>
        <w:spacing w:after="120"/>
        <w:ind w:left="851" w:right="57" w:hanging="425"/>
        <w:jc w:val="both"/>
        <w:rPr>
          <w:rFonts w:ascii="Calibri" w:hAnsi="Calibri" w:cs="Calibri"/>
          <w:sz w:val="22"/>
          <w:szCs w:val="22"/>
        </w:rPr>
      </w:pPr>
      <w:r w:rsidRPr="004F0040">
        <w:rPr>
          <w:rFonts w:ascii="Calibri" w:hAnsi="Calibri" w:cs="Calibri"/>
          <w:sz w:val="22"/>
          <w:szCs w:val="22"/>
        </w:rPr>
        <w:t>0012183-63.2017.5.18.0201: Trata-se da reclamação da autora requerendo indenização por doença ocupacional. Valor provável da provisão da contingência R$ 2.463.524,00.</w:t>
      </w:r>
    </w:p>
    <w:p w14:paraId="748720E4" w14:textId="72034645" w:rsidR="00281671" w:rsidRDefault="00281671" w:rsidP="00107845">
      <w:pPr>
        <w:pStyle w:val="PargrafodaLista"/>
        <w:numPr>
          <w:ilvl w:val="0"/>
          <w:numId w:val="48"/>
        </w:numPr>
        <w:spacing w:after="120"/>
        <w:ind w:left="851" w:right="57" w:hanging="425"/>
        <w:jc w:val="both"/>
        <w:rPr>
          <w:rFonts w:ascii="Calibri" w:hAnsi="Calibri" w:cs="Calibri"/>
          <w:sz w:val="22"/>
          <w:szCs w:val="22"/>
        </w:rPr>
      </w:pPr>
      <w:r w:rsidRPr="004F0040">
        <w:rPr>
          <w:rFonts w:ascii="Calibri" w:hAnsi="Calibri" w:cs="Calibri"/>
          <w:sz w:val="22"/>
          <w:szCs w:val="22"/>
        </w:rPr>
        <w:t>0163600-69.2005.5.01.0003: Trata-se de Ação de Cumprimento visando o pagamento dos reajustes contidos em convenções coletivas do trabalho de 2001,2002e2003. Valor provável da provisão da contingência R$18.000.000,00.</w:t>
      </w:r>
    </w:p>
    <w:p w14:paraId="0908575B" w14:textId="2FF592BD" w:rsidR="004F0040" w:rsidRPr="00281671" w:rsidRDefault="00281671" w:rsidP="00107845">
      <w:pPr>
        <w:pStyle w:val="PargrafodaLista"/>
        <w:numPr>
          <w:ilvl w:val="0"/>
          <w:numId w:val="48"/>
        </w:numPr>
        <w:spacing w:after="120"/>
        <w:ind w:left="851" w:right="57" w:hanging="425"/>
        <w:jc w:val="both"/>
        <w:rPr>
          <w:rFonts w:ascii="Calibri" w:hAnsi="Calibri" w:cs="Calibri"/>
          <w:sz w:val="22"/>
          <w:szCs w:val="22"/>
        </w:rPr>
      </w:pPr>
      <w:r w:rsidRPr="004F0040">
        <w:rPr>
          <w:rFonts w:ascii="Calibri" w:hAnsi="Calibri" w:cs="Calibri"/>
          <w:sz w:val="22"/>
          <w:szCs w:val="22"/>
        </w:rPr>
        <w:lastRenderedPageBreak/>
        <w:t xml:space="preserve">0166100-75.1991.5.01.0011: Execução de Contribuição Previdenciária referente pagamento de execução efetuado pela </w:t>
      </w:r>
      <w:r w:rsidR="00B406C5">
        <w:rPr>
          <w:rFonts w:ascii="Calibri" w:hAnsi="Calibri" w:cs="Calibri"/>
          <w:sz w:val="22"/>
          <w:szCs w:val="22"/>
        </w:rPr>
        <w:t>Infra S.A.</w:t>
      </w:r>
      <w:r w:rsidRPr="004F0040">
        <w:rPr>
          <w:rFonts w:ascii="Calibri" w:hAnsi="Calibri" w:cs="Calibri"/>
          <w:sz w:val="22"/>
          <w:szCs w:val="22"/>
        </w:rPr>
        <w:t>, de reclamação em que o SINTRACONST-RIO pleiteava diferenças salariais devidas aos empregados substituídos (PSC 88, atual 2007). Valor provável da provisão da contingência R$ 6.139.245,68</w:t>
      </w:r>
      <w:r>
        <w:rPr>
          <w:rFonts w:ascii="Calibri" w:hAnsi="Calibri" w:cs="Calibri"/>
          <w:sz w:val="22"/>
          <w:szCs w:val="22"/>
        </w:rPr>
        <w:t>.</w:t>
      </w:r>
    </w:p>
    <w:p w14:paraId="59AF9BAF" w14:textId="31708044" w:rsidR="002A23EE" w:rsidRPr="008D21F0" w:rsidRDefault="002A23EE" w:rsidP="002A23EE">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 xml:space="preserve">Contingências de </w:t>
      </w:r>
      <w:r w:rsidR="00FE1F7E" w:rsidRPr="008D21F0">
        <w:rPr>
          <w:rFonts w:ascii="Calibri" w:hAnsi="Calibri" w:cs="Calibri"/>
          <w:sz w:val="22"/>
          <w:szCs w:val="22"/>
          <w:u w:val="single"/>
        </w:rPr>
        <w:t xml:space="preserve">Ações de </w:t>
      </w:r>
      <w:r w:rsidRPr="008D21F0">
        <w:rPr>
          <w:rFonts w:ascii="Calibri" w:hAnsi="Calibri" w:cs="Calibri"/>
          <w:sz w:val="22"/>
          <w:szCs w:val="22"/>
          <w:u w:val="single"/>
        </w:rPr>
        <w:t xml:space="preserve">Desapropriações: </w:t>
      </w:r>
    </w:p>
    <w:p w14:paraId="21ED8DEE" w14:textId="6AD06970" w:rsidR="00FE1F7E" w:rsidRPr="008D21F0" w:rsidRDefault="00CB405C" w:rsidP="00FE1F7E">
      <w:pPr>
        <w:spacing w:after="120"/>
        <w:ind w:right="57"/>
        <w:jc w:val="both"/>
        <w:rPr>
          <w:rFonts w:ascii="Calibri" w:hAnsi="Calibri" w:cs="Calibri"/>
          <w:sz w:val="22"/>
          <w:szCs w:val="22"/>
        </w:rPr>
      </w:pPr>
      <w:r w:rsidRPr="008D21F0">
        <w:rPr>
          <w:rFonts w:ascii="Calibri" w:hAnsi="Calibri" w:cs="Calibri"/>
          <w:sz w:val="22"/>
          <w:szCs w:val="22"/>
        </w:rPr>
        <w:t>Os processos de desapropriação são medidas</w:t>
      </w:r>
      <w:r w:rsidR="00FE1F7E" w:rsidRPr="008D21F0">
        <w:rPr>
          <w:rFonts w:ascii="Calibri" w:hAnsi="Calibri" w:cs="Calibri"/>
          <w:sz w:val="22"/>
          <w:szCs w:val="22"/>
        </w:rPr>
        <w:t xml:space="preserve"> </w:t>
      </w:r>
      <w:r w:rsidRPr="008D21F0">
        <w:rPr>
          <w:rFonts w:ascii="Calibri" w:hAnsi="Calibri" w:cs="Calibri"/>
          <w:sz w:val="22"/>
          <w:szCs w:val="22"/>
        </w:rPr>
        <w:t xml:space="preserve">judiciais necessárias à obtenção de imóveis para implantar </w:t>
      </w:r>
      <w:r w:rsidR="00E11BEF">
        <w:rPr>
          <w:rFonts w:ascii="Calibri" w:hAnsi="Calibri" w:cs="Calibri"/>
          <w:sz w:val="22"/>
          <w:szCs w:val="22"/>
        </w:rPr>
        <w:t>Infra</w:t>
      </w:r>
      <w:r w:rsidRPr="008D21F0">
        <w:rPr>
          <w:rFonts w:ascii="Calibri" w:hAnsi="Calibri" w:cs="Calibri"/>
          <w:sz w:val="22"/>
          <w:szCs w:val="22"/>
        </w:rPr>
        <w:t xml:space="preserve">estrutura ferroviária, objeto social da estatal </w:t>
      </w:r>
      <w:r w:rsidR="00B406C5">
        <w:rPr>
          <w:rFonts w:ascii="Calibri" w:hAnsi="Calibri" w:cs="Calibri"/>
          <w:sz w:val="22"/>
          <w:szCs w:val="22"/>
        </w:rPr>
        <w:t>Infra S.A</w:t>
      </w:r>
      <w:r w:rsidRPr="008D21F0">
        <w:rPr>
          <w:rFonts w:ascii="Calibri" w:hAnsi="Calibri" w:cs="Calibri"/>
          <w:sz w:val="22"/>
          <w:szCs w:val="22"/>
        </w:rPr>
        <w:t xml:space="preserve">. Portanto, são parte da atividade fim da companhia. Regulamentada pelo Decreto Lei nº 3.365/1941, a desapropriação por utilidade pública se inicia como um processo administrativo e, a depender da concordância ou não do expropriado com o valor do bem avaliado, torna-se um processo judicial. A Administração avalia os imóveis que necessita expropriar para implantar a </w:t>
      </w:r>
      <w:r w:rsidR="00E11BEF">
        <w:rPr>
          <w:rFonts w:ascii="Calibri" w:hAnsi="Calibri" w:cs="Calibri"/>
          <w:sz w:val="22"/>
          <w:szCs w:val="22"/>
        </w:rPr>
        <w:t>Infra</w:t>
      </w:r>
      <w:r w:rsidRPr="008D21F0">
        <w:rPr>
          <w:rFonts w:ascii="Calibri" w:hAnsi="Calibri" w:cs="Calibri"/>
          <w:sz w:val="22"/>
          <w:szCs w:val="22"/>
        </w:rPr>
        <w:t xml:space="preserve">estrutura e oferece um valor indenizatório ao proprietário que, aceitando, lavra-se escritura e resta constituída a propriedade da Administração. </w:t>
      </w:r>
    </w:p>
    <w:p w14:paraId="2A603F2C" w14:textId="25DA2C03" w:rsidR="00CB405C" w:rsidRDefault="00CB405C" w:rsidP="00FE1F7E">
      <w:pPr>
        <w:spacing w:after="120"/>
        <w:ind w:right="57"/>
        <w:jc w:val="both"/>
        <w:rPr>
          <w:rFonts w:ascii="Calibri" w:hAnsi="Calibri" w:cs="Calibri"/>
          <w:sz w:val="22"/>
          <w:szCs w:val="22"/>
        </w:rPr>
      </w:pPr>
      <w:r w:rsidRPr="008D21F0">
        <w:rPr>
          <w:rFonts w:ascii="Calibri" w:hAnsi="Calibri" w:cs="Calibri"/>
          <w:sz w:val="22"/>
          <w:szCs w:val="22"/>
        </w:rPr>
        <w:t xml:space="preserve">Negando-se o expropriado, a Administração ajuíza uma ação de desapropriação por utilidade pública. </w:t>
      </w:r>
    </w:p>
    <w:p w14:paraId="157321E0" w14:textId="37554B35" w:rsidR="00FE1F7E" w:rsidRPr="008D21F0" w:rsidRDefault="00FE1F7E" w:rsidP="001D610C">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 xml:space="preserve">Contingências de </w:t>
      </w:r>
      <w:r w:rsidR="001D610C" w:rsidRPr="008D21F0">
        <w:rPr>
          <w:rFonts w:ascii="Calibri" w:hAnsi="Calibri" w:cs="Calibri"/>
          <w:sz w:val="22"/>
          <w:szCs w:val="22"/>
          <w:u w:val="single"/>
        </w:rPr>
        <w:t>Ações Tributárias</w:t>
      </w:r>
      <w:r w:rsidRPr="008D21F0">
        <w:rPr>
          <w:rFonts w:ascii="Calibri" w:hAnsi="Calibri" w:cs="Calibri"/>
          <w:sz w:val="22"/>
          <w:szCs w:val="22"/>
          <w:u w:val="single"/>
        </w:rPr>
        <w:t xml:space="preserve">: </w:t>
      </w:r>
    </w:p>
    <w:p w14:paraId="57C8503D" w14:textId="68864D2B" w:rsidR="001D610C" w:rsidRDefault="001D610C" w:rsidP="001D610C">
      <w:pPr>
        <w:spacing w:after="120"/>
        <w:ind w:right="57"/>
        <w:jc w:val="both"/>
        <w:rPr>
          <w:rFonts w:ascii="Calibri" w:hAnsi="Calibri" w:cs="Calibri"/>
          <w:sz w:val="22"/>
          <w:szCs w:val="22"/>
        </w:rPr>
      </w:pPr>
      <w:r w:rsidRPr="008D21F0">
        <w:rPr>
          <w:rFonts w:ascii="Calibri" w:hAnsi="Calibri" w:cs="Calibri"/>
          <w:sz w:val="22"/>
          <w:szCs w:val="22"/>
        </w:rPr>
        <w:t>As ações</w:t>
      </w:r>
      <w:r w:rsidR="00CB405C" w:rsidRPr="008D21F0">
        <w:rPr>
          <w:rFonts w:ascii="Calibri" w:hAnsi="Calibri" w:cs="Calibri"/>
          <w:sz w:val="22"/>
          <w:szCs w:val="22"/>
        </w:rPr>
        <w:t xml:space="preserve"> tributárias</w:t>
      </w:r>
      <w:r w:rsidRPr="008D21F0">
        <w:rPr>
          <w:rFonts w:ascii="Calibri" w:hAnsi="Calibri" w:cs="Calibri"/>
          <w:sz w:val="22"/>
          <w:szCs w:val="22"/>
        </w:rPr>
        <w:t>, e</w:t>
      </w:r>
      <w:r w:rsidR="00CB405C" w:rsidRPr="008D21F0">
        <w:rPr>
          <w:rFonts w:ascii="Calibri" w:hAnsi="Calibri" w:cs="Calibri"/>
          <w:sz w:val="22"/>
          <w:szCs w:val="22"/>
        </w:rPr>
        <w:t xml:space="preserve">ssencialmente, versam sobre ações em que a </w:t>
      </w:r>
      <w:r w:rsidR="00B406C5">
        <w:rPr>
          <w:rFonts w:ascii="Calibri" w:hAnsi="Calibri" w:cs="Calibri"/>
          <w:sz w:val="22"/>
          <w:szCs w:val="22"/>
        </w:rPr>
        <w:t>Infra S.A.</w:t>
      </w:r>
      <w:r w:rsidR="00CB405C" w:rsidRPr="008D21F0">
        <w:rPr>
          <w:rFonts w:ascii="Calibri" w:hAnsi="Calibri" w:cs="Calibri"/>
          <w:sz w:val="22"/>
          <w:szCs w:val="22"/>
        </w:rPr>
        <w:t xml:space="preserve"> requer o reconhecimento da não incidência</w:t>
      </w:r>
      <w:r w:rsidR="00CB405C" w:rsidRPr="001D610C">
        <w:rPr>
          <w:rFonts w:ascii="Calibri" w:hAnsi="Calibri" w:cs="Calibri"/>
          <w:sz w:val="22"/>
          <w:szCs w:val="22"/>
        </w:rPr>
        <w:t xml:space="preserve"> de determinado tributo a que é compelida a pagar, assim como a restituição de valores que entende terem sido pagos </w:t>
      </w:r>
      <w:r w:rsidR="00CB405C" w:rsidRPr="008D21F0">
        <w:rPr>
          <w:rFonts w:ascii="Calibri" w:hAnsi="Calibri" w:cs="Calibri"/>
          <w:sz w:val="22"/>
          <w:szCs w:val="22"/>
        </w:rPr>
        <w:t>indevidamente. Por outro lado, quando figura como parte ré, em geral as ações versam sobre execuções fiscais para cobrança de créditos tributários referentes a um determinado tributo.</w:t>
      </w:r>
    </w:p>
    <w:p w14:paraId="1AB2FB73" w14:textId="698964C1" w:rsidR="00281671" w:rsidRDefault="00281671" w:rsidP="00281671">
      <w:pPr>
        <w:spacing w:after="120"/>
        <w:ind w:right="57"/>
        <w:jc w:val="both"/>
        <w:rPr>
          <w:rFonts w:ascii="Calibri" w:hAnsi="Calibri" w:cs="Calibri"/>
          <w:sz w:val="22"/>
          <w:szCs w:val="22"/>
        </w:rPr>
      </w:pPr>
      <w:r w:rsidRPr="00281671">
        <w:rPr>
          <w:rFonts w:ascii="Calibri" w:hAnsi="Calibri" w:cs="Calibri"/>
          <w:sz w:val="22"/>
          <w:szCs w:val="22"/>
        </w:rPr>
        <w:t>As principais provisões prováveis tributárias são:</w:t>
      </w:r>
    </w:p>
    <w:p w14:paraId="6964B272" w14:textId="4B5F805E" w:rsidR="00281671" w:rsidRPr="00107845" w:rsidRDefault="00107845" w:rsidP="00107845">
      <w:pPr>
        <w:pStyle w:val="PargrafodaLista"/>
        <w:numPr>
          <w:ilvl w:val="0"/>
          <w:numId w:val="49"/>
        </w:numPr>
        <w:spacing w:after="120"/>
        <w:ind w:left="851" w:right="57" w:hanging="425"/>
        <w:jc w:val="both"/>
        <w:rPr>
          <w:rFonts w:ascii="Calibri" w:hAnsi="Calibri" w:cs="Calibri"/>
          <w:sz w:val="22"/>
          <w:szCs w:val="22"/>
        </w:rPr>
      </w:pPr>
      <w:r w:rsidRPr="00107845">
        <w:rPr>
          <w:rFonts w:ascii="Calibri" w:hAnsi="Calibri" w:cs="Calibri"/>
          <w:sz w:val="22"/>
          <w:szCs w:val="22"/>
        </w:rPr>
        <w:t>1005464-23.2019.4.01.3309. Trata-se de ação anulatória de ISS pelo município de Ibiassuncê-BA. Valor provável da provisão da contingência R$ R$ 1.105.829,47.</w:t>
      </w:r>
      <w:r w:rsidR="00281671" w:rsidRPr="00107845">
        <w:rPr>
          <w:rFonts w:ascii="Calibri" w:hAnsi="Calibri" w:cs="Calibri"/>
          <w:sz w:val="22"/>
          <w:szCs w:val="22"/>
        </w:rPr>
        <w:tab/>
      </w:r>
    </w:p>
    <w:p w14:paraId="037314A6" w14:textId="39F682B9" w:rsidR="001D610C" w:rsidRPr="008D21F0" w:rsidRDefault="001D610C" w:rsidP="001D610C">
      <w:pPr>
        <w:numPr>
          <w:ilvl w:val="0"/>
          <w:numId w:val="26"/>
        </w:numPr>
        <w:spacing w:before="120" w:after="120"/>
        <w:ind w:left="567" w:right="-142" w:hanging="567"/>
        <w:jc w:val="both"/>
        <w:rPr>
          <w:rFonts w:ascii="Calibri" w:hAnsi="Calibri" w:cs="Calibri"/>
          <w:sz w:val="22"/>
          <w:szCs w:val="22"/>
          <w:u w:val="single"/>
        </w:rPr>
      </w:pPr>
      <w:r w:rsidRPr="008D21F0">
        <w:rPr>
          <w:rFonts w:ascii="Calibri" w:hAnsi="Calibri" w:cs="Calibri"/>
          <w:sz w:val="22"/>
          <w:szCs w:val="22"/>
          <w:u w:val="single"/>
        </w:rPr>
        <w:t xml:space="preserve">Contingências de Ações Previdenciárias: </w:t>
      </w:r>
    </w:p>
    <w:p w14:paraId="4B7AD5D0" w14:textId="18520FA5" w:rsidR="007D6164" w:rsidRDefault="001D610C" w:rsidP="00EC17B2">
      <w:pPr>
        <w:spacing w:after="120"/>
        <w:ind w:right="57"/>
        <w:jc w:val="both"/>
        <w:rPr>
          <w:rFonts w:ascii="Calibri" w:hAnsi="Calibri" w:cs="Calibri"/>
          <w:sz w:val="22"/>
          <w:szCs w:val="22"/>
        </w:rPr>
      </w:pPr>
      <w:r w:rsidRPr="008D21F0">
        <w:rPr>
          <w:rFonts w:ascii="Calibri" w:hAnsi="Calibri" w:cs="Calibri"/>
          <w:sz w:val="22"/>
          <w:szCs w:val="22"/>
        </w:rPr>
        <w:t>Nas</w:t>
      </w:r>
      <w:r w:rsidR="00CB405C" w:rsidRPr="008D21F0">
        <w:rPr>
          <w:rFonts w:ascii="Calibri" w:hAnsi="Calibri" w:cs="Calibri"/>
          <w:sz w:val="22"/>
          <w:szCs w:val="22"/>
        </w:rPr>
        <w:t xml:space="preserve"> ações de natureza previdenciária acompanhadas pela </w:t>
      </w:r>
      <w:r w:rsidR="00B406C5">
        <w:rPr>
          <w:rFonts w:ascii="Calibri" w:hAnsi="Calibri" w:cs="Calibri"/>
          <w:sz w:val="22"/>
          <w:szCs w:val="22"/>
        </w:rPr>
        <w:t>Infra S.A.</w:t>
      </w:r>
      <w:r w:rsidR="00CB405C" w:rsidRPr="008D21F0">
        <w:rPr>
          <w:rFonts w:ascii="Calibri" w:hAnsi="Calibri" w:cs="Calibri"/>
          <w:sz w:val="22"/>
          <w:szCs w:val="22"/>
        </w:rPr>
        <w:t xml:space="preserve"> a parte autora pleiteia, da União, a complementação dos vencimentos de aposentadoria (Lei nº 10.233/200) em relação aos valores atualmente pagos ao pessoal do quadro da </w:t>
      </w:r>
      <w:r w:rsidR="00B406C5">
        <w:rPr>
          <w:rFonts w:ascii="Calibri" w:hAnsi="Calibri" w:cs="Calibri"/>
          <w:sz w:val="22"/>
          <w:szCs w:val="22"/>
        </w:rPr>
        <w:t>Infra S.A.</w:t>
      </w:r>
      <w:r w:rsidR="00CB405C" w:rsidRPr="008D21F0">
        <w:rPr>
          <w:rFonts w:ascii="Calibri" w:hAnsi="Calibri" w:cs="Calibri"/>
          <w:sz w:val="22"/>
          <w:szCs w:val="22"/>
        </w:rPr>
        <w:t xml:space="preserve">, estatal que absorveu os empregados ativos da extinta RFFSA (Lei nº 11.483/2007). Não obstante a responsável pela eventual complementação de aposentadoria seja a União, os pedidos direcionados à </w:t>
      </w:r>
      <w:r w:rsidR="00B406C5">
        <w:rPr>
          <w:rFonts w:ascii="Calibri" w:hAnsi="Calibri" w:cs="Calibri"/>
          <w:sz w:val="22"/>
          <w:szCs w:val="22"/>
        </w:rPr>
        <w:t>Infra S.A.</w:t>
      </w:r>
      <w:r w:rsidR="00CB405C" w:rsidRPr="008D21F0">
        <w:rPr>
          <w:rFonts w:ascii="Calibri" w:hAnsi="Calibri" w:cs="Calibri"/>
          <w:sz w:val="22"/>
          <w:szCs w:val="22"/>
        </w:rPr>
        <w:t xml:space="preserve"> resumem-se, basicamente, à apresentação de documentos relativos ao seu quadro de pessoal, como meio de confirmar e calcular esta possível complementação. </w:t>
      </w:r>
    </w:p>
    <w:p w14:paraId="7DEBC2A6" w14:textId="6BBDAE94" w:rsidR="00281671" w:rsidRPr="00281671" w:rsidRDefault="00281671" w:rsidP="00281671">
      <w:pPr>
        <w:spacing w:after="120"/>
        <w:ind w:right="57"/>
        <w:jc w:val="both"/>
        <w:rPr>
          <w:rFonts w:ascii="Calibri" w:hAnsi="Calibri" w:cs="Calibri"/>
          <w:sz w:val="22"/>
          <w:szCs w:val="22"/>
        </w:rPr>
      </w:pPr>
      <w:r w:rsidRPr="00281671">
        <w:rPr>
          <w:rFonts w:ascii="Calibri" w:hAnsi="Calibri" w:cs="Calibri"/>
          <w:sz w:val="22"/>
          <w:szCs w:val="22"/>
        </w:rPr>
        <w:t xml:space="preserve">As principais provisões prováveis </w:t>
      </w:r>
      <w:r>
        <w:rPr>
          <w:rFonts w:ascii="Calibri" w:hAnsi="Calibri" w:cs="Calibri"/>
          <w:sz w:val="22"/>
          <w:szCs w:val="22"/>
        </w:rPr>
        <w:t>previdenciárias</w:t>
      </w:r>
      <w:r w:rsidRPr="00281671">
        <w:rPr>
          <w:rFonts w:ascii="Calibri" w:hAnsi="Calibri" w:cs="Calibri"/>
          <w:sz w:val="22"/>
          <w:szCs w:val="22"/>
        </w:rPr>
        <w:t xml:space="preserve"> são:</w:t>
      </w:r>
    </w:p>
    <w:p w14:paraId="22D4ADA4" w14:textId="4C769E04" w:rsidR="00281671" w:rsidRPr="00281671" w:rsidRDefault="00281671" w:rsidP="00107845">
      <w:pPr>
        <w:pStyle w:val="PargrafodaLista"/>
        <w:spacing w:after="120"/>
        <w:ind w:left="851" w:right="57" w:hanging="425"/>
        <w:jc w:val="both"/>
        <w:rPr>
          <w:rFonts w:ascii="Calibri" w:hAnsi="Calibri" w:cs="Calibri"/>
          <w:sz w:val="22"/>
          <w:szCs w:val="22"/>
        </w:rPr>
      </w:pPr>
      <w:r w:rsidRPr="00281671">
        <w:rPr>
          <w:rFonts w:ascii="Calibri" w:hAnsi="Calibri" w:cs="Calibri"/>
          <w:sz w:val="22"/>
          <w:szCs w:val="22"/>
        </w:rPr>
        <w:t>a)</w:t>
      </w:r>
      <w:r w:rsidRPr="00281671">
        <w:rPr>
          <w:rFonts w:ascii="Calibri" w:hAnsi="Calibri" w:cs="Calibri"/>
          <w:sz w:val="22"/>
          <w:szCs w:val="22"/>
        </w:rPr>
        <w:tab/>
        <w:t xml:space="preserve">0044589-52.2013.4.01.3300. Trata-se de pleito para que a União/INSS proceda com a complementação de aposentadoria conforme remuneração do pessoal da ativa da </w:t>
      </w:r>
      <w:r w:rsidR="00B406C5">
        <w:rPr>
          <w:rFonts w:ascii="Calibri" w:hAnsi="Calibri" w:cs="Calibri"/>
          <w:sz w:val="22"/>
          <w:szCs w:val="22"/>
        </w:rPr>
        <w:t>Infra S.A</w:t>
      </w:r>
      <w:r w:rsidR="00D60F6A">
        <w:rPr>
          <w:rFonts w:ascii="Calibri" w:hAnsi="Calibri" w:cs="Calibri"/>
          <w:sz w:val="22"/>
          <w:szCs w:val="22"/>
        </w:rPr>
        <w:t>.</w:t>
      </w:r>
      <w:r w:rsidRPr="00281671">
        <w:rPr>
          <w:rFonts w:ascii="Calibri" w:hAnsi="Calibri" w:cs="Calibri"/>
          <w:sz w:val="22"/>
          <w:szCs w:val="22"/>
        </w:rPr>
        <w:t xml:space="preserve"> Valor provável da provisão da contingência R$ 100.000,00.</w:t>
      </w:r>
    </w:p>
    <w:p w14:paraId="54162C44" w14:textId="04A0047C" w:rsidR="00281671" w:rsidRPr="00281671" w:rsidRDefault="00281671" w:rsidP="00107845">
      <w:pPr>
        <w:pStyle w:val="PargrafodaLista"/>
        <w:spacing w:after="120"/>
        <w:ind w:left="851" w:right="57" w:hanging="425"/>
        <w:jc w:val="both"/>
        <w:rPr>
          <w:rFonts w:ascii="Calibri" w:hAnsi="Calibri" w:cs="Calibri"/>
          <w:sz w:val="22"/>
          <w:szCs w:val="22"/>
        </w:rPr>
      </w:pPr>
      <w:r w:rsidRPr="00281671">
        <w:rPr>
          <w:rFonts w:ascii="Calibri" w:hAnsi="Calibri" w:cs="Calibri"/>
          <w:sz w:val="22"/>
          <w:szCs w:val="22"/>
        </w:rPr>
        <w:t>b)</w:t>
      </w:r>
      <w:r w:rsidRPr="00281671">
        <w:rPr>
          <w:rFonts w:ascii="Calibri" w:hAnsi="Calibri" w:cs="Calibri"/>
          <w:sz w:val="22"/>
          <w:szCs w:val="22"/>
        </w:rPr>
        <w:tab/>
        <w:t xml:space="preserve">5000627-71.2021.4.03.6107. Trata-se de pleito para que a União/INSS proceda com a complementação de aposentadoria com equiparação no quadro ativo da </w:t>
      </w:r>
      <w:r w:rsidR="00B406C5">
        <w:rPr>
          <w:rFonts w:ascii="Calibri" w:hAnsi="Calibri" w:cs="Calibri"/>
          <w:sz w:val="22"/>
          <w:szCs w:val="22"/>
        </w:rPr>
        <w:t>Infra S.A</w:t>
      </w:r>
      <w:r w:rsidR="00D60F6A">
        <w:rPr>
          <w:rFonts w:ascii="Calibri" w:hAnsi="Calibri" w:cs="Calibri"/>
          <w:sz w:val="22"/>
          <w:szCs w:val="22"/>
        </w:rPr>
        <w:t>.</w:t>
      </w:r>
      <w:r w:rsidRPr="00281671">
        <w:rPr>
          <w:rFonts w:ascii="Calibri" w:hAnsi="Calibri" w:cs="Calibri"/>
          <w:sz w:val="22"/>
          <w:szCs w:val="22"/>
        </w:rPr>
        <w:t xml:space="preserve"> Valor provável da provisão da contingência R$ 231.573,00</w:t>
      </w:r>
      <w:r>
        <w:rPr>
          <w:rFonts w:ascii="Calibri" w:hAnsi="Calibri" w:cs="Calibri"/>
          <w:sz w:val="22"/>
          <w:szCs w:val="22"/>
        </w:rPr>
        <w:t>.</w:t>
      </w:r>
    </w:p>
    <w:p w14:paraId="786C8CA2" w14:textId="71AD15AD" w:rsidR="00281671" w:rsidRPr="00EC17B2" w:rsidRDefault="00281671" w:rsidP="00107845">
      <w:pPr>
        <w:pStyle w:val="PargrafodaLista"/>
        <w:spacing w:after="120"/>
        <w:ind w:left="851" w:right="57" w:hanging="425"/>
        <w:jc w:val="both"/>
        <w:rPr>
          <w:rFonts w:ascii="Calibri" w:hAnsi="Calibri" w:cs="Calibri"/>
          <w:sz w:val="22"/>
          <w:szCs w:val="22"/>
        </w:rPr>
      </w:pPr>
      <w:r w:rsidRPr="00281671">
        <w:rPr>
          <w:rFonts w:ascii="Calibri" w:hAnsi="Calibri" w:cs="Calibri"/>
          <w:sz w:val="22"/>
          <w:szCs w:val="22"/>
        </w:rPr>
        <w:t>c)</w:t>
      </w:r>
      <w:r w:rsidRPr="00281671">
        <w:rPr>
          <w:rFonts w:ascii="Calibri" w:hAnsi="Calibri" w:cs="Calibri"/>
          <w:sz w:val="22"/>
          <w:szCs w:val="22"/>
        </w:rPr>
        <w:tab/>
        <w:t>5001880-31.2020.4.03.6107. Autor requer pagamento de diferenças referentes à complementação de aposentadoria com base na Lei nº 8.186/91. Valor provável da provisão da contingência R$108.197,88.</w:t>
      </w:r>
    </w:p>
    <w:p w14:paraId="47D0A773" w14:textId="7E15FD5B" w:rsidR="004F7BE6" w:rsidRPr="002E2B5B" w:rsidRDefault="004F7BE6" w:rsidP="004F7BE6">
      <w:pPr>
        <w:pStyle w:val="Textoembloco"/>
        <w:spacing w:after="120" w:line="240" w:lineRule="auto"/>
        <w:ind w:left="0" w:right="57"/>
        <w:rPr>
          <w:rFonts w:ascii="Calibri" w:hAnsi="Calibri" w:cs="Calibri"/>
          <w:sz w:val="22"/>
          <w:szCs w:val="22"/>
          <w:shd w:val="clear" w:color="auto" w:fill="FFFFFF"/>
        </w:rPr>
      </w:pPr>
      <w:r w:rsidRPr="00614FEA">
        <w:rPr>
          <w:rFonts w:ascii="Calibri" w:hAnsi="Calibri" w:cs="Calibri"/>
          <w:sz w:val="22"/>
          <w:szCs w:val="22"/>
          <w:shd w:val="clear" w:color="auto" w:fill="FFFFFF"/>
        </w:rPr>
        <w:t xml:space="preserve">Do </w:t>
      </w:r>
      <w:r>
        <w:rPr>
          <w:rFonts w:ascii="Calibri" w:hAnsi="Calibri" w:cs="Calibri"/>
          <w:sz w:val="22"/>
          <w:szCs w:val="22"/>
          <w:shd w:val="clear" w:color="auto" w:fill="FFFFFF"/>
        </w:rPr>
        <w:t xml:space="preserve">saldo </w:t>
      </w:r>
      <w:r w:rsidRPr="00614FEA">
        <w:rPr>
          <w:rFonts w:ascii="Calibri" w:hAnsi="Calibri" w:cs="Calibri"/>
          <w:sz w:val="22"/>
          <w:szCs w:val="22"/>
          <w:shd w:val="clear" w:color="auto" w:fill="FFFFFF"/>
        </w:rPr>
        <w:t xml:space="preserve">total de </w:t>
      </w:r>
      <w:r>
        <w:rPr>
          <w:rFonts w:ascii="Calibri" w:hAnsi="Calibri" w:cs="Calibri"/>
          <w:sz w:val="22"/>
          <w:szCs w:val="22"/>
          <w:shd w:val="clear" w:color="auto" w:fill="FFFFFF"/>
        </w:rPr>
        <w:t xml:space="preserve">Provisões para Contingências Judiciais, R$ 2,73 milhões são oriundos da incorporação </w:t>
      </w:r>
      <w:r w:rsidRPr="00614FEA">
        <w:rPr>
          <w:rFonts w:ascii="Calibri" w:hAnsi="Calibri" w:cs="Calibri"/>
          <w:sz w:val="22"/>
          <w:szCs w:val="22"/>
          <w:shd w:val="clear" w:color="auto" w:fill="FFFFFF"/>
        </w:rPr>
        <w:t>da EPL.</w:t>
      </w:r>
    </w:p>
    <w:p w14:paraId="6247DB0B" w14:textId="313FA34B" w:rsidR="007D6164" w:rsidRPr="008D21F0" w:rsidRDefault="007D6164" w:rsidP="00937ED9">
      <w:pPr>
        <w:spacing w:after="120"/>
        <w:ind w:right="57"/>
        <w:jc w:val="both"/>
        <w:rPr>
          <w:rFonts w:ascii="Calibri" w:hAnsi="Calibri" w:cs="Calibri"/>
          <w:b/>
          <w:bCs/>
          <w:sz w:val="22"/>
          <w:szCs w:val="22"/>
        </w:rPr>
      </w:pPr>
      <w:r w:rsidRPr="008D21F0">
        <w:rPr>
          <w:rFonts w:ascii="Calibri" w:hAnsi="Calibri" w:cs="Calibri"/>
          <w:b/>
          <w:bCs/>
          <w:sz w:val="22"/>
          <w:szCs w:val="22"/>
        </w:rPr>
        <w:t xml:space="preserve">b.3) Ações com Riscos de Perdas Possíveis: </w:t>
      </w:r>
    </w:p>
    <w:p w14:paraId="332DC70D" w14:textId="63A4C277" w:rsidR="00970EA8" w:rsidRPr="008D21F0" w:rsidRDefault="00970EA8" w:rsidP="00937ED9">
      <w:pPr>
        <w:spacing w:after="120"/>
        <w:ind w:right="57"/>
        <w:jc w:val="both"/>
        <w:rPr>
          <w:rFonts w:ascii="Calibri" w:hAnsi="Calibri" w:cs="Calibri"/>
          <w:sz w:val="22"/>
          <w:szCs w:val="22"/>
        </w:rPr>
      </w:pPr>
      <w:r w:rsidRPr="008D21F0">
        <w:rPr>
          <w:rFonts w:ascii="Calibri" w:hAnsi="Calibri" w:cs="Calibri"/>
          <w:sz w:val="22"/>
          <w:szCs w:val="22"/>
        </w:rPr>
        <w:t xml:space="preserve">Conforme Item n° 86 do CPC 25 - Provisões, Passivos Contingentes e Ativos Contingentes; “a entidade deve divulgar para cada classe de passivo contingente na data do balanço, uma breve descrição da natureza do passivo contingente...”. Assim, os processos judiciais impetrados contra a </w:t>
      </w:r>
      <w:r w:rsidR="00D60F6A">
        <w:rPr>
          <w:rFonts w:ascii="Calibri" w:hAnsi="Calibri" w:cs="Calibri"/>
          <w:sz w:val="22"/>
          <w:szCs w:val="22"/>
        </w:rPr>
        <w:t>Infra</w:t>
      </w:r>
      <w:r w:rsidR="00B406C5">
        <w:rPr>
          <w:rFonts w:ascii="Calibri" w:hAnsi="Calibri" w:cs="Calibri"/>
          <w:sz w:val="22"/>
          <w:szCs w:val="22"/>
        </w:rPr>
        <w:t xml:space="preserve"> S.A.</w:t>
      </w:r>
      <w:r w:rsidRPr="008D21F0">
        <w:rPr>
          <w:rFonts w:ascii="Calibri" w:hAnsi="Calibri" w:cs="Calibri"/>
          <w:sz w:val="22"/>
          <w:szCs w:val="22"/>
        </w:rPr>
        <w:t xml:space="preserve">, a extinta RFFSA e o GEIPOT, classificados </w:t>
      </w:r>
      <w:r w:rsidRPr="008D21F0">
        <w:rPr>
          <w:rFonts w:ascii="Calibri" w:hAnsi="Calibri" w:cs="Calibri"/>
          <w:sz w:val="22"/>
          <w:szCs w:val="22"/>
        </w:rPr>
        <w:lastRenderedPageBreak/>
        <w:t>pela Assessoria Jurídica como obrigações “possíveis”, não foram contabilizados, apenas divulgados em Nota Explicativa.</w:t>
      </w:r>
    </w:p>
    <w:p w14:paraId="7E39FB89" w14:textId="61B546BE" w:rsidR="00977AD1" w:rsidRPr="008D21F0" w:rsidRDefault="00970EA8" w:rsidP="00937ED9">
      <w:pPr>
        <w:spacing w:after="120"/>
        <w:ind w:right="57"/>
        <w:jc w:val="both"/>
        <w:rPr>
          <w:rFonts w:ascii="Calibri" w:hAnsi="Calibri" w:cs="Calibri"/>
          <w:sz w:val="22"/>
          <w:szCs w:val="22"/>
        </w:rPr>
      </w:pPr>
      <w:r w:rsidRPr="008D21F0">
        <w:rPr>
          <w:rFonts w:ascii="Calibri" w:hAnsi="Calibri" w:cs="Calibri"/>
          <w:sz w:val="22"/>
          <w:szCs w:val="22"/>
        </w:rPr>
        <w:t xml:space="preserve">Os processos judiciais classificados com “possível” risco de perda, apresentaram os seguintes saldos em </w:t>
      </w:r>
      <w:r w:rsidR="00255AD7" w:rsidRPr="008D21F0">
        <w:rPr>
          <w:rFonts w:ascii="Calibri" w:hAnsi="Calibri" w:cs="Calibri"/>
          <w:sz w:val="22"/>
          <w:szCs w:val="22"/>
        </w:rPr>
        <w:t>3</w:t>
      </w:r>
      <w:r w:rsidR="004E3A39">
        <w:rPr>
          <w:rFonts w:ascii="Calibri" w:hAnsi="Calibri" w:cs="Calibri"/>
          <w:sz w:val="22"/>
          <w:szCs w:val="22"/>
        </w:rPr>
        <w:t>0</w:t>
      </w:r>
      <w:r w:rsidR="00255AD7" w:rsidRPr="008D21F0">
        <w:rPr>
          <w:rFonts w:ascii="Calibri" w:hAnsi="Calibri" w:cs="Calibri"/>
          <w:sz w:val="22"/>
          <w:szCs w:val="22"/>
        </w:rPr>
        <w:t xml:space="preserve"> de </w:t>
      </w:r>
      <w:r w:rsidR="004F7BE6">
        <w:rPr>
          <w:rFonts w:ascii="Calibri" w:hAnsi="Calibri" w:cs="Calibri"/>
          <w:sz w:val="22"/>
          <w:szCs w:val="22"/>
        </w:rPr>
        <w:t>setembr</w:t>
      </w:r>
      <w:r w:rsidR="00294296">
        <w:rPr>
          <w:rFonts w:ascii="Calibri" w:hAnsi="Calibri" w:cs="Calibri"/>
          <w:sz w:val="22"/>
          <w:szCs w:val="22"/>
        </w:rPr>
        <w:t>o</w:t>
      </w:r>
      <w:r w:rsidRPr="008D21F0">
        <w:rPr>
          <w:rFonts w:ascii="Calibri" w:hAnsi="Calibri" w:cs="Calibri"/>
          <w:sz w:val="22"/>
          <w:szCs w:val="22"/>
        </w:rPr>
        <w:t xml:space="preserve"> de 20</w:t>
      </w:r>
      <w:r w:rsidR="00B632AC" w:rsidRPr="008D21F0">
        <w:rPr>
          <w:rFonts w:ascii="Calibri" w:hAnsi="Calibri" w:cs="Calibri"/>
          <w:sz w:val="22"/>
          <w:szCs w:val="22"/>
        </w:rPr>
        <w:t>2</w:t>
      </w:r>
      <w:r w:rsidR="00294296">
        <w:rPr>
          <w:rFonts w:ascii="Calibri" w:hAnsi="Calibri" w:cs="Calibri"/>
          <w:sz w:val="22"/>
          <w:szCs w:val="22"/>
        </w:rPr>
        <w:t>2</w:t>
      </w:r>
      <w:r w:rsidRPr="008D21F0">
        <w:rPr>
          <w:rFonts w:ascii="Calibri" w:hAnsi="Calibri" w:cs="Calibri"/>
          <w:sz w:val="22"/>
          <w:szCs w:val="22"/>
        </w:rPr>
        <w:t>:</w:t>
      </w:r>
    </w:p>
    <w:tbl>
      <w:tblPr>
        <w:tblW w:w="5001" w:type="pct"/>
        <w:tblCellMar>
          <w:left w:w="70" w:type="dxa"/>
          <w:right w:w="70" w:type="dxa"/>
        </w:tblCellMar>
        <w:tblLook w:val="04A0" w:firstRow="1" w:lastRow="0" w:firstColumn="1" w:lastColumn="0" w:noHBand="0" w:noVBand="1"/>
      </w:tblPr>
      <w:tblGrid>
        <w:gridCol w:w="2338"/>
        <w:gridCol w:w="4466"/>
        <w:gridCol w:w="1843"/>
        <w:gridCol w:w="1822"/>
      </w:tblGrid>
      <w:tr w:rsidR="00B632AC" w:rsidRPr="008D21F0" w14:paraId="30EBC64F" w14:textId="77777777" w:rsidTr="009303E0">
        <w:trPr>
          <w:trHeight w:hRule="exact" w:val="227"/>
        </w:trPr>
        <w:tc>
          <w:tcPr>
            <w:tcW w:w="1117" w:type="pct"/>
            <w:tcBorders>
              <w:top w:val="nil"/>
              <w:left w:val="nil"/>
              <w:bottom w:val="single" w:sz="8" w:space="0" w:color="auto"/>
              <w:right w:val="nil"/>
            </w:tcBorders>
            <w:shd w:val="clear" w:color="auto" w:fill="auto"/>
            <w:noWrap/>
            <w:vAlign w:val="bottom"/>
            <w:hideMark/>
          </w:tcPr>
          <w:p w14:paraId="1173B15B" w14:textId="5D0F68BA" w:rsidR="00B632AC" w:rsidRPr="00C514C3" w:rsidRDefault="009303E0" w:rsidP="00937ED9">
            <w:pPr>
              <w:spacing w:after="120"/>
              <w:rPr>
                <w:rFonts w:ascii="Calibri" w:hAnsi="Calibri" w:cs="Calibri"/>
                <w:b/>
                <w:bCs/>
                <w:color w:val="000000"/>
                <w:sz w:val="16"/>
                <w:szCs w:val="16"/>
              </w:rPr>
            </w:pPr>
            <w:r w:rsidRPr="00C514C3">
              <w:rPr>
                <w:rFonts w:ascii="Calibri" w:hAnsi="Calibri" w:cs="Calibri"/>
                <w:b/>
                <w:bCs/>
                <w:color w:val="000000"/>
                <w:sz w:val="16"/>
                <w:szCs w:val="16"/>
              </w:rPr>
              <w:t>AÇÕES</w:t>
            </w:r>
          </w:p>
        </w:tc>
        <w:tc>
          <w:tcPr>
            <w:tcW w:w="2133" w:type="pct"/>
            <w:tcBorders>
              <w:top w:val="nil"/>
              <w:left w:val="nil"/>
              <w:bottom w:val="single" w:sz="8" w:space="0" w:color="auto"/>
              <w:right w:val="nil"/>
            </w:tcBorders>
            <w:shd w:val="clear" w:color="auto" w:fill="auto"/>
            <w:vAlign w:val="bottom"/>
          </w:tcPr>
          <w:p w14:paraId="1E67A9D5" w14:textId="77777777" w:rsidR="00B632AC" w:rsidRPr="00C514C3" w:rsidRDefault="00B632AC" w:rsidP="00937ED9">
            <w:pPr>
              <w:spacing w:after="120"/>
              <w:jc w:val="right"/>
              <w:rPr>
                <w:rFonts w:ascii="Calibri" w:hAnsi="Calibri" w:cs="Calibri"/>
                <w:b/>
                <w:bCs/>
                <w:color w:val="000000"/>
                <w:sz w:val="16"/>
                <w:szCs w:val="16"/>
              </w:rPr>
            </w:pPr>
          </w:p>
        </w:tc>
        <w:tc>
          <w:tcPr>
            <w:tcW w:w="880" w:type="pct"/>
            <w:tcBorders>
              <w:top w:val="nil"/>
              <w:left w:val="nil"/>
              <w:bottom w:val="single" w:sz="8" w:space="0" w:color="auto"/>
              <w:right w:val="nil"/>
            </w:tcBorders>
            <w:shd w:val="clear" w:color="auto" w:fill="auto"/>
            <w:vAlign w:val="bottom"/>
          </w:tcPr>
          <w:p w14:paraId="09EB0595" w14:textId="448F83FB" w:rsidR="00B632AC" w:rsidRPr="00C514C3" w:rsidRDefault="00B632AC" w:rsidP="00937ED9">
            <w:pPr>
              <w:spacing w:after="120"/>
              <w:jc w:val="right"/>
              <w:rPr>
                <w:rFonts w:ascii="Calibri" w:hAnsi="Calibri" w:cs="Calibri"/>
                <w:b/>
                <w:bCs/>
                <w:color w:val="000000"/>
                <w:sz w:val="16"/>
                <w:szCs w:val="16"/>
              </w:rPr>
            </w:pPr>
          </w:p>
        </w:tc>
        <w:tc>
          <w:tcPr>
            <w:tcW w:w="870" w:type="pct"/>
            <w:tcBorders>
              <w:top w:val="nil"/>
              <w:left w:val="nil"/>
              <w:bottom w:val="single" w:sz="8" w:space="0" w:color="auto"/>
              <w:right w:val="nil"/>
            </w:tcBorders>
            <w:vAlign w:val="bottom"/>
          </w:tcPr>
          <w:p w14:paraId="1841D742" w14:textId="51AAF913" w:rsidR="00B632AC" w:rsidRPr="00C514C3" w:rsidRDefault="003364DA" w:rsidP="00937ED9">
            <w:pPr>
              <w:spacing w:after="120"/>
              <w:jc w:val="right"/>
              <w:rPr>
                <w:rFonts w:ascii="Calibri" w:hAnsi="Calibri" w:cs="Calibri"/>
                <w:b/>
                <w:bCs/>
                <w:color w:val="000000"/>
                <w:sz w:val="16"/>
                <w:szCs w:val="16"/>
              </w:rPr>
            </w:pPr>
            <w:r w:rsidRPr="00C514C3">
              <w:rPr>
                <w:rFonts w:ascii="Calibri" w:hAnsi="Calibri" w:cs="Calibri"/>
                <w:b/>
                <w:bCs/>
                <w:color w:val="000000"/>
                <w:sz w:val="16"/>
                <w:szCs w:val="16"/>
              </w:rPr>
              <w:t>3</w:t>
            </w:r>
            <w:r w:rsidR="004E3A39">
              <w:rPr>
                <w:rFonts w:ascii="Calibri" w:hAnsi="Calibri" w:cs="Calibri"/>
                <w:b/>
                <w:bCs/>
                <w:color w:val="000000"/>
                <w:sz w:val="16"/>
                <w:szCs w:val="16"/>
              </w:rPr>
              <w:t>0</w:t>
            </w:r>
            <w:r w:rsidR="00255AD7" w:rsidRPr="00C514C3">
              <w:rPr>
                <w:rFonts w:ascii="Calibri" w:hAnsi="Calibri" w:cs="Calibri"/>
                <w:b/>
                <w:bCs/>
                <w:color w:val="000000"/>
                <w:sz w:val="16"/>
                <w:szCs w:val="16"/>
              </w:rPr>
              <w:t>/</w:t>
            </w:r>
            <w:r w:rsidR="00294296" w:rsidRPr="00C514C3">
              <w:rPr>
                <w:rFonts w:ascii="Calibri" w:hAnsi="Calibri" w:cs="Calibri"/>
                <w:b/>
                <w:bCs/>
                <w:color w:val="000000"/>
                <w:sz w:val="16"/>
                <w:szCs w:val="16"/>
              </w:rPr>
              <w:t>0</w:t>
            </w:r>
            <w:r w:rsidR="00581990">
              <w:rPr>
                <w:rFonts w:ascii="Calibri" w:hAnsi="Calibri" w:cs="Calibri"/>
                <w:b/>
                <w:bCs/>
                <w:color w:val="000000"/>
                <w:sz w:val="16"/>
                <w:szCs w:val="16"/>
              </w:rPr>
              <w:t>9</w:t>
            </w:r>
            <w:r w:rsidR="00255AD7" w:rsidRPr="00C514C3">
              <w:rPr>
                <w:rFonts w:ascii="Calibri" w:hAnsi="Calibri" w:cs="Calibri"/>
                <w:b/>
                <w:bCs/>
                <w:color w:val="000000"/>
                <w:sz w:val="16"/>
                <w:szCs w:val="16"/>
              </w:rPr>
              <w:t>/202</w:t>
            </w:r>
            <w:r w:rsidR="00294296" w:rsidRPr="00C514C3">
              <w:rPr>
                <w:rFonts w:ascii="Calibri" w:hAnsi="Calibri" w:cs="Calibri"/>
                <w:b/>
                <w:bCs/>
                <w:color w:val="000000"/>
                <w:sz w:val="16"/>
                <w:szCs w:val="16"/>
              </w:rPr>
              <w:t>2</w:t>
            </w:r>
          </w:p>
        </w:tc>
      </w:tr>
      <w:tr w:rsidR="00B632AC" w:rsidRPr="008D21F0" w14:paraId="6F509C99" w14:textId="77777777" w:rsidTr="009303E0">
        <w:trPr>
          <w:trHeight w:hRule="exact" w:val="227"/>
        </w:trPr>
        <w:tc>
          <w:tcPr>
            <w:tcW w:w="1117" w:type="pct"/>
            <w:tcBorders>
              <w:top w:val="nil"/>
              <w:left w:val="nil"/>
              <w:bottom w:val="nil"/>
              <w:right w:val="nil"/>
            </w:tcBorders>
            <w:shd w:val="clear" w:color="auto" w:fill="auto"/>
            <w:noWrap/>
            <w:vAlign w:val="center"/>
            <w:hideMark/>
          </w:tcPr>
          <w:p w14:paraId="60239B8A" w14:textId="21C60C7D" w:rsidR="00B632AC"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Desapropriações</w:t>
            </w:r>
          </w:p>
        </w:tc>
        <w:tc>
          <w:tcPr>
            <w:tcW w:w="2133" w:type="pct"/>
            <w:tcBorders>
              <w:top w:val="nil"/>
              <w:left w:val="nil"/>
              <w:bottom w:val="nil"/>
              <w:right w:val="nil"/>
            </w:tcBorders>
            <w:shd w:val="clear" w:color="auto" w:fill="auto"/>
            <w:noWrap/>
            <w:vAlign w:val="center"/>
          </w:tcPr>
          <w:p w14:paraId="5112EAFA" w14:textId="77777777" w:rsidR="00B632AC" w:rsidRPr="00C514C3" w:rsidRDefault="00B632AC"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DCD5D99" w14:textId="50C700D6" w:rsidR="00B632AC" w:rsidRPr="00C514C3" w:rsidRDefault="00B632AC"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2A8C9C30" w14:textId="3E48BC3C" w:rsidR="00B632AC" w:rsidRPr="00C514C3" w:rsidRDefault="004E3A39" w:rsidP="00937ED9">
            <w:pPr>
              <w:spacing w:after="120"/>
              <w:jc w:val="right"/>
              <w:rPr>
                <w:rFonts w:ascii="Calibri" w:hAnsi="Calibri" w:cs="Calibri"/>
                <w:color w:val="000000"/>
                <w:sz w:val="16"/>
                <w:szCs w:val="16"/>
              </w:rPr>
            </w:pPr>
            <w:r>
              <w:rPr>
                <w:rFonts w:ascii="Calibri" w:hAnsi="Calibri" w:cs="Calibri"/>
                <w:color w:val="000000"/>
                <w:sz w:val="16"/>
                <w:szCs w:val="16"/>
              </w:rPr>
              <w:t>3.58</w:t>
            </w:r>
            <w:r w:rsidR="00581990">
              <w:rPr>
                <w:rFonts w:ascii="Calibri" w:hAnsi="Calibri" w:cs="Calibri"/>
                <w:color w:val="000000"/>
                <w:sz w:val="16"/>
                <w:szCs w:val="16"/>
              </w:rPr>
              <w:t>9</w:t>
            </w:r>
            <w:r>
              <w:rPr>
                <w:rFonts w:ascii="Calibri" w:hAnsi="Calibri" w:cs="Calibri"/>
                <w:color w:val="000000"/>
                <w:sz w:val="16"/>
                <w:szCs w:val="16"/>
              </w:rPr>
              <w:t>.</w:t>
            </w:r>
            <w:r w:rsidR="00581990">
              <w:rPr>
                <w:rFonts w:ascii="Calibri" w:hAnsi="Calibri" w:cs="Calibri"/>
                <w:color w:val="000000"/>
                <w:sz w:val="16"/>
                <w:szCs w:val="16"/>
              </w:rPr>
              <w:t>66</w:t>
            </w:r>
            <w:r>
              <w:rPr>
                <w:rFonts w:ascii="Calibri" w:hAnsi="Calibri" w:cs="Calibri"/>
                <w:color w:val="000000"/>
                <w:sz w:val="16"/>
                <w:szCs w:val="16"/>
              </w:rPr>
              <w:t>6</w:t>
            </w:r>
          </w:p>
        </w:tc>
      </w:tr>
      <w:tr w:rsidR="009303E0" w:rsidRPr="008D21F0" w14:paraId="28DE37EF" w14:textId="77777777" w:rsidTr="009303E0">
        <w:trPr>
          <w:trHeight w:hRule="exact" w:val="227"/>
        </w:trPr>
        <w:tc>
          <w:tcPr>
            <w:tcW w:w="1117" w:type="pct"/>
            <w:tcBorders>
              <w:top w:val="nil"/>
              <w:left w:val="nil"/>
              <w:bottom w:val="nil"/>
              <w:right w:val="nil"/>
            </w:tcBorders>
            <w:shd w:val="clear" w:color="auto" w:fill="auto"/>
            <w:noWrap/>
            <w:vAlign w:val="center"/>
          </w:tcPr>
          <w:p w14:paraId="79690878" w14:textId="2F9A214A" w:rsidR="009303E0"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Trabalhistas</w:t>
            </w:r>
          </w:p>
        </w:tc>
        <w:tc>
          <w:tcPr>
            <w:tcW w:w="2133" w:type="pct"/>
            <w:tcBorders>
              <w:top w:val="nil"/>
              <w:left w:val="nil"/>
              <w:bottom w:val="nil"/>
              <w:right w:val="nil"/>
            </w:tcBorders>
            <w:shd w:val="clear" w:color="auto" w:fill="auto"/>
            <w:noWrap/>
            <w:vAlign w:val="center"/>
          </w:tcPr>
          <w:p w14:paraId="4D76ED29" w14:textId="77777777" w:rsidR="009303E0" w:rsidRPr="00C514C3" w:rsidRDefault="009303E0"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66752A9D" w14:textId="77777777" w:rsidR="009303E0" w:rsidRPr="00C514C3" w:rsidRDefault="009303E0"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37F0B861" w14:textId="7D7F5298" w:rsidR="009303E0" w:rsidRPr="00C514C3" w:rsidRDefault="004E3A39" w:rsidP="00937ED9">
            <w:pPr>
              <w:spacing w:after="120"/>
              <w:jc w:val="right"/>
              <w:rPr>
                <w:rFonts w:ascii="Calibri" w:hAnsi="Calibri" w:cs="Calibri"/>
                <w:color w:val="000000"/>
                <w:sz w:val="16"/>
                <w:szCs w:val="16"/>
              </w:rPr>
            </w:pPr>
            <w:r>
              <w:rPr>
                <w:rFonts w:ascii="Calibri" w:hAnsi="Calibri" w:cs="Calibri"/>
                <w:color w:val="000000"/>
                <w:sz w:val="16"/>
                <w:szCs w:val="16"/>
              </w:rPr>
              <w:t>6</w:t>
            </w:r>
            <w:r w:rsidR="00581990">
              <w:rPr>
                <w:rFonts w:ascii="Calibri" w:hAnsi="Calibri" w:cs="Calibri"/>
                <w:color w:val="000000"/>
                <w:sz w:val="16"/>
                <w:szCs w:val="16"/>
              </w:rPr>
              <w:t>3</w:t>
            </w:r>
            <w:r>
              <w:rPr>
                <w:rFonts w:ascii="Calibri" w:hAnsi="Calibri" w:cs="Calibri"/>
                <w:color w:val="000000"/>
                <w:sz w:val="16"/>
                <w:szCs w:val="16"/>
              </w:rPr>
              <w:t>.</w:t>
            </w:r>
            <w:r w:rsidR="00581990">
              <w:rPr>
                <w:rFonts w:ascii="Calibri" w:hAnsi="Calibri" w:cs="Calibri"/>
                <w:color w:val="000000"/>
                <w:sz w:val="16"/>
                <w:szCs w:val="16"/>
              </w:rPr>
              <w:t>551</w:t>
            </w:r>
            <w:r>
              <w:rPr>
                <w:rFonts w:ascii="Calibri" w:hAnsi="Calibri" w:cs="Calibri"/>
                <w:color w:val="000000"/>
                <w:sz w:val="16"/>
                <w:szCs w:val="16"/>
              </w:rPr>
              <w:t>.</w:t>
            </w:r>
            <w:r w:rsidR="00581990">
              <w:rPr>
                <w:rFonts w:ascii="Calibri" w:hAnsi="Calibri" w:cs="Calibri"/>
                <w:color w:val="000000"/>
                <w:sz w:val="16"/>
                <w:szCs w:val="16"/>
              </w:rPr>
              <w:t>081</w:t>
            </w:r>
          </w:p>
        </w:tc>
      </w:tr>
      <w:tr w:rsidR="009303E0" w:rsidRPr="008D21F0" w14:paraId="67458FE5" w14:textId="77777777" w:rsidTr="009303E0">
        <w:trPr>
          <w:trHeight w:hRule="exact" w:val="227"/>
        </w:trPr>
        <w:tc>
          <w:tcPr>
            <w:tcW w:w="1117" w:type="pct"/>
            <w:tcBorders>
              <w:top w:val="nil"/>
              <w:left w:val="nil"/>
              <w:bottom w:val="nil"/>
              <w:right w:val="nil"/>
            </w:tcBorders>
            <w:shd w:val="clear" w:color="auto" w:fill="auto"/>
            <w:noWrap/>
            <w:vAlign w:val="center"/>
          </w:tcPr>
          <w:p w14:paraId="57EB295F" w14:textId="5E4D542B" w:rsidR="009303E0"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Cíveis</w:t>
            </w:r>
          </w:p>
        </w:tc>
        <w:tc>
          <w:tcPr>
            <w:tcW w:w="2133" w:type="pct"/>
            <w:tcBorders>
              <w:top w:val="nil"/>
              <w:left w:val="nil"/>
              <w:bottom w:val="nil"/>
              <w:right w:val="nil"/>
            </w:tcBorders>
            <w:shd w:val="clear" w:color="auto" w:fill="auto"/>
            <w:noWrap/>
            <w:vAlign w:val="center"/>
          </w:tcPr>
          <w:p w14:paraId="739EF9B3" w14:textId="77777777" w:rsidR="009303E0" w:rsidRPr="00C514C3" w:rsidRDefault="009303E0"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34DE4037" w14:textId="77777777" w:rsidR="009303E0" w:rsidRPr="00C514C3" w:rsidRDefault="009303E0"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4D523EF1" w14:textId="4E9FEFDA" w:rsidR="009303E0" w:rsidRPr="00C514C3" w:rsidRDefault="009303E0" w:rsidP="00937ED9">
            <w:pPr>
              <w:spacing w:after="120"/>
              <w:jc w:val="right"/>
              <w:rPr>
                <w:rFonts w:ascii="Calibri" w:hAnsi="Calibri" w:cs="Calibri"/>
                <w:color w:val="000000"/>
                <w:sz w:val="16"/>
                <w:szCs w:val="16"/>
              </w:rPr>
            </w:pPr>
            <w:r w:rsidRPr="00C514C3">
              <w:rPr>
                <w:rFonts w:ascii="Calibri" w:hAnsi="Calibri" w:cs="Calibri"/>
                <w:color w:val="000000"/>
                <w:sz w:val="16"/>
                <w:szCs w:val="16"/>
              </w:rPr>
              <w:t>1.0</w:t>
            </w:r>
            <w:r w:rsidR="004E3A39">
              <w:rPr>
                <w:rFonts w:ascii="Calibri" w:hAnsi="Calibri" w:cs="Calibri"/>
                <w:color w:val="000000"/>
                <w:sz w:val="16"/>
                <w:szCs w:val="16"/>
              </w:rPr>
              <w:t>8</w:t>
            </w:r>
            <w:r w:rsidR="00581990">
              <w:rPr>
                <w:rFonts w:ascii="Calibri" w:hAnsi="Calibri" w:cs="Calibri"/>
                <w:color w:val="000000"/>
                <w:sz w:val="16"/>
                <w:szCs w:val="16"/>
              </w:rPr>
              <w:t>4</w:t>
            </w:r>
            <w:r w:rsidR="004E3A39">
              <w:rPr>
                <w:rFonts w:ascii="Calibri" w:hAnsi="Calibri" w:cs="Calibri"/>
                <w:color w:val="000000"/>
                <w:sz w:val="16"/>
                <w:szCs w:val="16"/>
              </w:rPr>
              <w:t>.</w:t>
            </w:r>
            <w:r w:rsidR="00581990">
              <w:rPr>
                <w:rFonts w:ascii="Calibri" w:hAnsi="Calibri" w:cs="Calibri"/>
                <w:color w:val="000000"/>
                <w:sz w:val="16"/>
                <w:szCs w:val="16"/>
              </w:rPr>
              <w:t>7</w:t>
            </w:r>
            <w:r w:rsidR="004E3A39">
              <w:rPr>
                <w:rFonts w:ascii="Calibri" w:hAnsi="Calibri" w:cs="Calibri"/>
                <w:color w:val="000000"/>
                <w:sz w:val="16"/>
                <w:szCs w:val="16"/>
              </w:rPr>
              <w:t>9</w:t>
            </w:r>
            <w:r w:rsidR="00581990">
              <w:rPr>
                <w:rFonts w:ascii="Calibri" w:hAnsi="Calibri" w:cs="Calibri"/>
                <w:color w:val="000000"/>
                <w:sz w:val="16"/>
                <w:szCs w:val="16"/>
              </w:rPr>
              <w:t>4</w:t>
            </w:r>
            <w:r w:rsidR="004E3A39">
              <w:rPr>
                <w:rFonts w:ascii="Calibri" w:hAnsi="Calibri" w:cs="Calibri"/>
                <w:color w:val="000000"/>
                <w:sz w:val="16"/>
                <w:szCs w:val="16"/>
              </w:rPr>
              <w:t>.15</w:t>
            </w:r>
            <w:r w:rsidR="00581990">
              <w:rPr>
                <w:rFonts w:ascii="Calibri" w:hAnsi="Calibri" w:cs="Calibri"/>
                <w:color w:val="000000"/>
                <w:sz w:val="16"/>
                <w:szCs w:val="16"/>
              </w:rPr>
              <w:t>4</w:t>
            </w:r>
          </w:p>
        </w:tc>
      </w:tr>
      <w:tr w:rsidR="009303E0" w:rsidRPr="008D21F0" w14:paraId="03B6D66E" w14:textId="77777777" w:rsidTr="009303E0">
        <w:trPr>
          <w:trHeight w:hRule="exact" w:val="227"/>
        </w:trPr>
        <w:tc>
          <w:tcPr>
            <w:tcW w:w="1117" w:type="pct"/>
            <w:tcBorders>
              <w:top w:val="nil"/>
              <w:left w:val="nil"/>
              <w:bottom w:val="nil"/>
              <w:right w:val="nil"/>
            </w:tcBorders>
            <w:shd w:val="clear" w:color="auto" w:fill="auto"/>
            <w:noWrap/>
            <w:vAlign w:val="center"/>
          </w:tcPr>
          <w:p w14:paraId="1DE870D1" w14:textId="41157A2F" w:rsidR="009303E0"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Tributárias</w:t>
            </w:r>
          </w:p>
        </w:tc>
        <w:tc>
          <w:tcPr>
            <w:tcW w:w="2133" w:type="pct"/>
            <w:tcBorders>
              <w:top w:val="nil"/>
              <w:left w:val="nil"/>
              <w:bottom w:val="nil"/>
              <w:right w:val="nil"/>
            </w:tcBorders>
            <w:shd w:val="clear" w:color="auto" w:fill="auto"/>
            <w:noWrap/>
            <w:vAlign w:val="center"/>
          </w:tcPr>
          <w:p w14:paraId="793CC429" w14:textId="77777777" w:rsidR="009303E0" w:rsidRPr="00C514C3" w:rsidRDefault="009303E0"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2B3E489D" w14:textId="77777777" w:rsidR="009303E0" w:rsidRPr="00C514C3" w:rsidRDefault="009303E0"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0F748249" w14:textId="488C6BCF" w:rsidR="009303E0" w:rsidRPr="00C514C3" w:rsidRDefault="004E3A39" w:rsidP="00937ED9">
            <w:pPr>
              <w:spacing w:after="120"/>
              <w:jc w:val="right"/>
              <w:rPr>
                <w:rFonts w:ascii="Calibri" w:hAnsi="Calibri" w:cs="Calibri"/>
                <w:color w:val="000000"/>
                <w:sz w:val="16"/>
                <w:szCs w:val="16"/>
              </w:rPr>
            </w:pPr>
            <w:r>
              <w:rPr>
                <w:rFonts w:ascii="Calibri" w:hAnsi="Calibri" w:cs="Calibri"/>
                <w:color w:val="000000"/>
                <w:sz w:val="16"/>
                <w:szCs w:val="16"/>
              </w:rPr>
              <w:t>8.</w:t>
            </w:r>
            <w:r w:rsidR="00581990">
              <w:rPr>
                <w:rFonts w:ascii="Calibri" w:hAnsi="Calibri" w:cs="Calibri"/>
                <w:color w:val="000000"/>
                <w:sz w:val="16"/>
                <w:szCs w:val="16"/>
              </w:rPr>
              <w:t>4</w:t>
            </w:r>
            <w:r>
              <w:rPr>
                <w:rFonts w:ascii="Calibri" w:hAnsi="Calibri" w:cs="Calibri"/>
                <w:color w:val="000000"/>
                <w:sz w:val="16"/>
                <w:szCs w:val="16"/>
              </w:rPr>
              <w:t>7</w:t>
            </w:r>
            <w:r w:rsidR="00581990">
              <w:rPr>
                <w:rFonts w:ascii="Calibri" w:hAnsi="Calibri" w:cs="Calibri"/>
                <w:color w:val="000000"/>
                <w:sz w:val="16"/>
                <w:szCs w:val="16"/>
              </w:rPr>
              <w:t>0</w:t>
            </w:r>
            <w:r>
              <w:rPr>
                <w:rFonts w:ascii="Calibri" w:hAnsi="Calibri" w:cs="Calibri"/>
                <w:color w:val="000000"/>
                <w:sz w:val="16"/>
                <w:szCs w:val="16"/>
              </w:rPr>
              <w:t>.</w:t>
            </w:r>
            <w:r w:rsidR="00581990">
              <w:rPr>
                <w:rFonts w:ascii="Calibri" w:hAnsi="Calibri" w:cs="Calibri"/>
                <w:color w:val="000000"/>
                <w:sz w:val="16"/>
                <w:szCs w:val="16"/>
              </w:rPr>
              <w:t>061</w:t>
            </w:r>
          </w:p>
        </w:tc>
      </w:tr>
      <w:tr w:rsidR="00B632AC" w:rsidRPr="008D21F0" w14:paraId="26C5D3BF" w14:textId="77777777" w:rsidTr="009303E0">
        <w:trPr>
          <w:trHeight w:hRule="exact" w:val="227"/>
        </w:trPr>
        <w:tc>
          <w:tcPr>
            <w:tcW w:w="1117" w:type="pct"/>
            <w:tcBorders>
              <w:top w:val="nil"/>
              <w:left w:val="nil"/>
              <w:bottom w:val="nil"/>
              <w:right w:val="nil"/>
            </w:tcBorders>
            <w:shd w:val="clear" w:color="auto" w:fill="auto"/>
            <w:noWrap/>
            <w:vAlign w:val="center"/>
            <w:hideMark/>
          </w:tcPr>
          <w:p w14:paraId="02949E82" w14:textId="750FDE30" w:rsidR="00B632AC" w:rsidRPr="00C514C3" w:rsidRDefault="009303E0" w:rsidP="00937ED9">
            <w:pPr>
              <w:spacing w:after="120"/>
              <w:rPr>
                <w:rFonts w:ascii="Calibri" w:hAnsi="Calibri" w:cs="Calibri"/>
                <w:color w:val="000000"/>
                <w:sz w:val="16"/>
                <w:szCs w:val="16"/>
              </w:rPr>
            </w:pPr>
            <w:r w:rsidRPr="00C514C3">
              <w:rPr>
                <w:rFonts w:ascii="Calibri" w:hAnsi="Calibri" w:cs="Calibri"/>
                <w:color w:val="000000"/>
                <w:sz w:val="16"/>
                <w:szCs w:val="16"/>
              </w:rPr>
              <w:t>Previdenciárias</w:t>
            </w:r>
          </w:p>
        </w:tc>
        <w:tc>
          <w:tcPr>
            <w:tcW w:w="2133" w:type="pct"/>
            <w:tcBorders>
              <w:top w:val="nil"/>
              <w:left w:val="nil"/>
              <w:bottom w:val="nil"/>
              <w:right w:val="nil"/>
            </w:tcBorders>
            <w:shd w:val="clear" w:color="auto" w:fill="auto"/>
            <w:noWrap/>
            <w:vAlign w:val="center"/>
          </w:tcPr>
          <w:p w14:paraId="1A919DB2" w14:textId="77777777" w:rsidR="00B632AC" w:rsidRPr="00C514C3" w:rsidRDefault="00B632AC" w:rsidP="00937ED9">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F5B7F8B" w14:textId="7D77E49C" w:rsidR="00B632AC" w:rsidRPr="00C514C3" w:rsidRDefault="00B632AC" w:rsidP="00937ED9">
            <w:pPr>
              <w:spacing w:after="120"/>
              <w:jc w:val="right"/>
              <w:rPr>
                <w:rFonts w:ascii="Calibri" w:hAnsi="Calibri" w:cs="Calibri"/>
                <w:color w:val="000000"/>
                <w:sz w:val="16"/>
                <w:szCs w:val="16"/>
              </w:rPr>
            </w:pPr>
          </w:p>
        </w:tc>
        <w:tc>
          <w:tcPr>
            <w:tcW w:w="870" w:type="pct"/>
            <w:tcBorders>
              <w:top w:val="nil"/>
              <w:left w:val="nil"/>
              <w:bottom w:val="nil"/>
              <w:right w:val="nil"/>
            </w:tcBorders>
            <w:vAlign w:val="center"/>
          </w:tcPr>
          <w:p w14:paraId="5438EC15" w14:textId="46E0735F" w:rsidR="00B632AC" w:rsidRPr="00C514C3" w:rsidRDefault="00581990" w:rsidP="00937ED9">
            <w:pPr>
              <w:spacing w:after="120"/>
              <w:jc w:val="right"/>
              <w:rPr>
                <w:rFonts w:ascii="Calibri" w:hAnsi="Calibri" w:cs="Calibri"/>
                <w:color w:val="000000"/>
                <w:sz w:val="16"/>
                <w:szCs w:val="16"/>
              </w:rPr>
            </w:pPr>
            <w:r>
              <w:rPr>
                <w:rFonts w:ascii="Calibri" w:hAnsi="Calibri" w:cs="Calibri"/>
                <w:color w:val="000000"/>
                <w:sz w:val="16"/>
                <w:szCs w:val="16"/>
              </w:rPr>
              <w:t>8</w:t>
            </w:r>
            <w:r w:rsidR="009303E0" w:rsidRPr="00C514C3">
              <w:rPr>
                <w:rFonts w:ascii="Calibri" w:hAnsi="Calibri" w:cs="Calibri"/>
                <w:color w:val="000000"/>
                <w:sz w:val="16"/>
                <w:szCs w:val="16"/>
              </w:rPr>
              <w:t>.</w:t>
            </w:r>
            <w:r w:rsidR="004E3A39">
              <w:rPr>
                <w:rFonts w:ascii="Calibri" w:hAnsi="Calibri" w:cs="Calibri"/>
                <w:color w:val="000000"/>
                <w:sz w:val="16"/>
                <w:szCs w:val="16"/>
              </w:rPr>
              <w:t>0</w:t>
            </w:r>
            <w:r>
              <w:rPr>
                <w:rFonts w:ascii="Calibri" w:hAnsi="Calibri" w:cs="Calibri"/>
                <w:color w:val="000000"/>
                <w:sz w:val="16"/>
                <w:szCs w:val="16"/>
              </w:rPr>
              <w:t>22</w:t>
            </w:r>
            <w:r w:rsidR="004E3A39">
              <w:rPr>
                <w:rFonts w:ascii="Calibri" w:hAnsi="Calibri" w:cs="Calibri"/>
                <w:color w:val="000000"/>
                <w:sz w:val="16"/>
                <w:szCs w:val="16"/>
              </w:rPr>
              <w:t>.48</w:t>
            </w:r>
            <w:r>
              <w:rPr>
                <w:rFonts w:ascii="Calibri" w:hAnsi="Calibri" w:cs="Calibri"/>
                <w:color w:val="000000"/>
                <w:sz w:val="16"/>
                <w:szCs w:val="16"/>
              </w:rPr>
              <w:t>9</w:t>
            </w:r>
          </w:p>
        </w:tc>
      </w:tr>
      <w:tr w:rsidR="00B632AC" w:rsidRPr="008D21F0" w14:paraId="7D1350C8" w14:textId="77777777" w:rsidTr="009303E0">
        <w:trPr>
          <w:trHeight w:hRule="exact" w:val="227"/>
        </w:trPr>
        <w:tc>
          <w:tcPr>
            <w:tcW w:w="1117" w:type="pct"/>
            <w:tcBorders>
              <w:top w:val="single" w:sz="8" w:space="0" w:color="auto"/>
              <w:left w:val="nil"/>
              <w:bottom w:val="single" w:sz="8" w:space="0" w:color="auto"/>
              <w:right w:val="nil"/>
            </w:tcBorders>
            <w:shd w:val="clear" w:color="auto" w:fill="auto"/>
            <w:noWrap/>
            <w:vAlign w:val="center"/>
            <w:hideMark/>
          </w:tcPr>
          <w:p w14:paraId="0E59125E" w14:textId="77777777" w:rsidR="00B632AC" w:rsidRPr="00C514C3" w:rsidRDefault="00B632AC" w:rsidP="00937ED9">
            <w:pPr>
              <w:spacing w:after="120"/>
              <w:rPr>
                <w:rFonts w:ascii="Calibri" w:hAnsi="Calibri" w:cs="Calibri"/>
                <w:b/>
                <w:bCs/>
                <w:color w:val="000000"/>
                <w:sz w:val="16"/>
                <w:szCs w:val="16"/>
              </w:rPr>
            </w:pPr>
            <w:r w:rsidRPr="00C514C3">
              <w:rPr>
                <w:rFonts w:ascii="Calibri" w:hAnsi="Calibri" w:cs="Calibri"/>
                <w:b/>
                <w:bCs/>
                <w:color w:val="000000"/>
                <w:sz w:val="16"/>
                <w:szCs w:val="16"/>
              </w:rPr>
              <w:t>SALDO</w:t>
            </w:r>
          </w:p>
        </w:tc>
        <w:tc>
          <w:tcPr>
            <w:tcW w:w="2133" w:type="pct"/>
            <w:tcBorders>
              <w:top w:val="single" w:sz="8" w:space="0" w:color="auto"/>
              <w:left w:val="nil"/>
              <w:bottom w:val="single" w:sz="8" w:space="0" w:color="auto"/>
              <w:right w:val="nil"/>
            </w:tcBorders>
            <w:shd w:val="clear" w:color="auto" w:fill="auto"/>
            <w:noWrap/>
            <w:vAlign w:val="center"/>
          </w:tcPr>
          <w:p w14:paraId="0A225AAC" w14:textId="77777777" w:rsidR="00B632AC" w:rsidRPr="00C514C3" w:rsidRDefault="00B632AC" w:rsidP="00937ED9">
            <w:pPr>
              <w:spacing w:after="120"/>
              <w:jc w:val="right"/>
              <w:rPr>
                <w:rFonts w:ascii="Calibri" w:hAnsi="Calibri" w:cs="Calibr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62FD26A3" w14:textId="7B8A30D3" w:rsidR="00B632AC" w:rsidRPr="00C514C3" w:rsidRDefault="00B632AC" w:rsidP="00937ED9">
            <w:pPr>
              <w:spacing w:after="120"/>
              <w:jc w:val="right"/>
              <w:rPr>
                <w:rFonts w:ascii="Calibri" w:hAnsi="Calibri" w:cs="Calibri"/>
                <w:b/>
                <w:bCs/>
                <w:color w:val="000000"/>
                <w:sz w:val="16"/>
                <w:szCs w:val="16"/>
              </w:rPr>
            </w:pPr>
          </w:p>
        </w:tc>
        <w:tc>
          <w:tcPr>
            <w:tcW w:w="870" w:type="pct"/>
            <w:tcBorders>
              <w:top w:val="single" w:sz="8" w:space="0" w:color="auto"/>
              <w:left w:val="nil"/>
              <w:bottom w:val="single" w:sz="8" w:space="0" w:color="auto"/>
              <w:right w:val="nil"/>
            </w:tcBorders>
            <w:vAlign w:val="center"/>
          </w:tcPr>
          <w:p w14:paraId="24C03739" w14:textId="64458701" w:rsidR="00B632AC" w:rsidRPr="00C514C3" w:rsidRDefault="009303E0" w:rsidP="00937ED9">
            <w:pPr>
              <w:spacing w:after="120"/>
              <w:jc w:val="right"/>
              <w:rPr>
                <w:rFonts w:ascii="Calibri" w:hAnsi="Calibri" w:cs="Calibri"/>
                <w:b/>
                <w:bCs/>
                <w:color w:val="000000"/>
                <w:sz w:val="16"/>
                <w:szCs w:val="16"/>
              </w:rPr>
            </w:pPr>
            <w:r w:rsidRPr="00C514C3">
              <w:rPr>
                <w:rFonts w:ascii="Calibri" w:hAnsi="Calibri" w:cs="Calibri"/>
                <w:b/>
                <w:bCs/>
                <w:color w:val="000000"/>
                <w:sz w:val="16"/>
                <w:szCs w:val="16"/>
              </w:rPr>
              <w:t>1</w:t>
            </w:r>
            <w:r w:rsidR="004E3A39">
              <w:rPr>
                <w:rFonts w:ascii="Calibri" w:hAnsi="Calibri" w:cs="Calibri"/>
                <w:b/>
                <w:bCs/>
                <w:color w:val="000000"/>
                <w:sz w:val="16"/>
                <w:szCs w:val="16"/>
              </w:rPr>
              <w:t>.16</w:t>
            </w:r>
            <w:r w:rsidR="00581990">
              <w:rPr>
                <w:rFonts w:ascii="Calibri" w:hAnsi="Calibri" w:cs="Calibri"/>
                <w:b/>
                <w:bCs/>
                <w:color w:val="000000"/>
                <w:sz w:val="16"/>
                <w:szCs w:val="16"/>
              </w:rPr>
              <w:t>8</w:t>
            </w:r>
            <w:r w:rsidR="004E3A39">
              <w:rPr>
                <w:rFonts w:ascii="Calibri" w:hAnsi="Calibri" w:cs="Calibri"/>
                <w:b/>
                <w:bCs/>
                <w:color w:val="000000"/>
                <w:sz w:val="16"/>
                <w:szCs w:val="16"/>
              </w:rPr>
              <w:t>.</w:t>
            </w:r>
            <w:r w:rsidR="00581990">
              <w:rPr>
                <w:rFonts w:ascii="Calibri" w:hAnsi="Calibri" w:cs="Calibri"/>
                <w:b/>
                <w:bCs/>
                <w:color w:val="000000"/>
                <w:sz w:val="16"/>
                <w:szCs w:val="16"/>
              </w:rPr>
              <w:t>42</w:t>
            </w:r>
            <w:r w:rsidR="004E3A39">
              <w:rPr>
                <w:rFonts w:ascii="Calibri" w:hAnsi="Calibri" w:cs="Calibri"/>
                <w:b/>
                <w:bCs/>
                <w:color w:val="000000"/>
                <w:sz w:val="16"/>
                <w:szCs w:val="16"/>
              </w:rPr>
              <w:t>7.45</w:t>
            </w:r>
            <w:r w:rsidR="00581990">
              <w:rPr>
                <w:rFonts w:ascii="Calibri" w:hAnsi="Calibri" w:cs="Calibri"/>
                <w:b/>
                <w:bCs/>
                <w:color w:val="000000"/>
                <w:sz w:val="16"/>
                <w:szCs w:val="16"/>
              </w:rPr>
              <w:t>1</w:t>
            </w:r>
          </w:p>
        </w:tc>
      </w:tr>
    </w:tbl>
    <w:p w14:paraId="1A75ACC8" w14:textId="25EA49E2" w:rsidR="001A1B68" w:rsidRDefault="00970EA8" w:rsidP="0062214B">
      <w:pPr>
        <w:spacing w:before="120" w:after="120"/>
        <w:ind w:right="57"/>
        <w:jc w:val="both"/>
        <w:rPr>
          <w:rFonts w:ascii="Calibri" w:hAnsi="Calibri" w:cs="Calibri"/>
          <w:sz w:val="22"/>
          <w:szCs w:val="22"/>
        </w:rPr>
      </w:pPr>
      <w:r w:rsidRPr="008D21F0">
        <w:rPr>
          <w:rFonts w:ascii="Calibri" w:hAnsi="Calibri" w:cs="Calibri"/>
          <w:sz w:val="22"/>
          <w:szCs w:val="22"/>
        </w:rPr>
        <w:t>Os valores classificados como possíveis “superfaturamentos” ou “sobrepreços” levantados por Tomadas de Contas Especiais do Tribunal de Contas da União, divulgados nas notas explicativas de anos anteriores, foram desconsiderados para fins de divulgação nestas Notas, devido ao reconhecimento da perda pelo valor recuperável após a subconcessão da Ferrovia Norte Sul.</w:t>
      </w:r>
      <w:bookmarkEnd w:id="10"/>
    </w:p>
    <w:p w14:paraId="1BA0420E" w14:textId="64BC1F9D" w:rsidR="001A1B68" w:rsidRPr="008D21F0" w:rsidRDefault="001A1B68" w:rsidP="001A1B68">
      <w:pPr>
        <w:pStyle w:val="Ttulo4"/>
        <w:tabs>
          <w:tab w:val="left" w:pos="0"/>
        </w:tabs>
        <w:spacing w:before="120" w:after="120" w:line="240" w:lineRule="auto"/>
        <w:rPr>
          <w:rFonts w:asciiTheme="minorHAnsi" w:hAnsiTheme="minorHAnsi" w:cstheme="minorHAnsi"/>
          <w:bCs w:val="0"/>
          <w:sz w:val="22"/>
          <w:szCs w:val="22"/>
        </w:rPr>
      </w:pPr>
      <w:r w:rsidRPr="00C514C3">
        <w:rPr>
          <w:rFonts w:asciiTheme="minorHAnsi" w:hAnsiTheme="minorHAnsi" w:cstheme="minorHAnsi"/>
          <w:bCs w:val="0"/>
          <w:sz w:val="22"/>
          <w:szCs w:val="22"/>
        </w:rPr>
        <w:t xml:space="preserve">NOTA </w:t>
      </w:r>
      <w:r w:rsidR="00B516C6">
        <w:rPr>
          <w:rFonts w:asciiTheme="minorHAnsi" w:hAnsiTheme="minorHAnsi" w:cstheme="minorHAnsi"/>
          <w:bCs w:val="0"/>
          <w:sz w:val="22"/>
          <w:szCs w:val="22"/>
        </w:rPr>
        <w:t>13</w:t>
      </w:r>
      <w:r w:rsidRPr="00C514C3">
        <w:rPr>
          <w:rFonts w:asciiTheme="minorHAnsi" w:hAnsiTheme="minorHAnsi" w:cstheme="minorHAnsi"/>
          <w:bCs w:val="0"/>
          <w:sz w:val="22"/>
          <w:szCs w:val="22"/>
        </w:rPr>
        <w:t xml:space="preserve"> – PRECATÓRIOS DE TERCEIROS</w:t>
      </w:r>
      <w:r w:rsidR="00F1031A" w:rsidRPr="008D21F0">
        <w:rPr>
          <w:rFonts w:asciiTheme="minorHAnsi" w:hAnsiTheme="minorHAnsi" w:cstheme="minorHAnsi"/>
          <w:bCs w:val="0"/>
          <w:sz w:val="22"/>
          <w:szCs w:val="22"/>
        </w:rPr>
        <w:t xml:space="preserve"> </w:t>
      </w:r>
    </w:p>
    <w:p w14:paraId="0871388E" w14:textId="0419C688" w:rsidR="00F1031A" w:rsidRPr="008D21F0" w:rsidRDefault="00F1031A" w:rsidP="00F1031A">
      <w:pPr>
        <w:pStyle w:val="PargrafodaLista"/>
        <w:numPr>
          <w:ilvl w:val="0"/>
          <w:numId w:val="40"/>
        </w:numPr>
        <w:ind w:left="426" w:hanging="426"/>
        <w:rPr>
          <w:rFonts w:asciiTheme="minorHAnsi" w:hAnsiTheme="minorHAnsi" w:cstheme="minorHAnsi"/>
          <w:b/>
          <w:bCs/>
          <w:sz w:val="22"/>
          <w:szCs w:val="22"/>
        </w:rPr>
      </w:pPr>
      <w:r w:rsidRPr="008D21F0">
        <w:rPr>
          <w:rFonts w:asciiTheme="minorHAnsi" w:hAnsiTheme="minorHAnsi" w:cstheme="minorHAnsi"/>
          <w:b/>
          <w:bCs/>
          <w:sz w:val="22"/>
          <w:szCs w:val="22"/>
        </w:rPr>
        <w:t>Precatórios de Terceiros – Curto Prazo</w:t>
      </w:r>
    </w:p>
    <w:p w14:paraId="1D1C40D6" w14:textId="18875CA1" w:rsidR="00F1031A" w:rsidRDefault="00F1031A" w:rsidP="003233F5">
      <w:pPr>
        <w:jc w:val="both"/>
        <w:rPr>
          <w:rFonts w:asciiTheme="minorHAnsi" w:hAnsiTheme="minorHAnsi" w:cstheme="minorHAnsi"/>
          <w:sz w:val="22"/>
          <w:szCs w:val="22"/>
        </w:rPr>
      </w:pPr>
      <w:r w:rsidRPr="008D21F0">
        <w:rPr>
          <w:rFonts w:asciiTheme="minorHAnsi" w:hAnsiTheme="minorHAnsi" w:cstheme="minorHAnsi"/>
          <w:sz w:val="22"/>
          <w:szCs w:val="22"/>
        </w:rPr>
        <w:t>Registros de Precatórios de Terceiros realizado pelo Tribunal Regional Federal da 4ª Região referentes a precatórios alimentares e comuns autuados entre julho de 2020 a julho de 2021 a serem pagos em setembro de 202</w:t>
      </w:r>
      <w:r w:rsidR="00381C85">
        <w:rPr>
          <w:rFonts w:asciiTheme="minorHAnsi" w:hAnsiTheme="minorHAnsi" w:cstheme="minorHAnsi"/>
          <w:sz w:val="22"/>
          <w:szCs w:val="22"/>
        </w:rPr>
        <w:t>3</w:t>
      </w:r>
      <w:r w:rsidRPr="008D21F0">
        <w:rPr>
          <w:rFonts w:asciiTheme="minorHAnsi" w:hAnsiTheme="minorHAnsi" w:cstheme="minorHAnsi"/>
          <w:sz w:val="22"/>
          <w:szCs w:val="22"/>
        </w:rPr>
        <w:t xml:space="preserve">: </w:t>
      </w:r>
    </w:p>
    <w:p w14:paraId="7EB81948" w14:textId="77777777" w:rsidR="00F1031A" w:rsidRPr="008D21F0" w:rsidRDefault="00F1031A" w:rsidP="00F1031A">
      <w:pPr>
        <w:rPr>
          <w:rFonts w:asciiTheme="minorHAnsi" w:hAnsiTheme="minorHAnsi" w:cstheme="minorHAnsi"/>
          <w:sz w:val="22"/>
          <w:szCs w:val="22"/>
        </w:rPr>
      </w:pPr>
    </w:p>
    <w:tbl>
      <w:tblPr>
        <w:tblW w:w="5001" w:type="pct"/>
        <w:tblCellMar>
          <w:left w:w="70" w:type="dxa"/>
          <w:right w:w="70" w:type="dxa"/>
        </w:tblCellMar>
        <w:tblLook w:val="04A0" w:firstRow="1" w:lastRow="0" w:firstColumn="1" w:lastColumn="0" w:noHBand="0" w:noVBand="1"/>
      </w:tblPr>
      <w:tblGrid>
        <w:gridCol w:w="2912"/>
        <w:gridCol w:w="4274"/>
        <w:gridCol w:w="1652"/>
        <w:gridCol w:w="1631"/>
      </w:tblGrid>
      <w:tr w:rsidR="00F1031A" w:rsidRPr="008D21F0" w14:paraId="39D28987" w14:textId="77777777" w:rsidTr="00670EF5">
        <w:trPr>
          <w:trHeight w:hRule="exact" w:val="227"/>
        </w:trPr>
        <w:tc>
          <w:tcPr>
            <w:tcW w:w="1116" w:type="pct"/>
            <w:tcBorders>
              <w:top w:val="nil"/>
              <w:left w:val="nil"/>
              <w:bottom w:val="single" w:sz="8" w:space="0" w:color="auto"/>
              <w:right w:val="nil"/>
            </w:tcBorders>
            <w:shd w:val="clear" w:color="auto" w:fill="auto"/>
            <w:noWrap/>
            <w:vAlign w:val="bottom"/>
            <w:hideMark/>
          </w:tcPr>
          <w:p w14:paraId="1B5CD072" w14:textId="49E0DF09" w:rsidR="00F1031A" w:rsidRPr="008D21F0" w:rsidRDefault="00F1031A" w:rsidP="00670EF5">
            <w:pPr>
              <w:spacing w:after="120"/>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PROCESSO: PA 007980-80-2015.4.04.8000</w:t>
            </w:r>
          </w:p>
        </w:tc>
        <w:tc>
          <w:tcPr>
            <w:tcW w:w="2133" w:type="pct"/>
            <w:tcBorders>
              <w:top w:val="nil"/>
              <w:left w:val="nil"/>
              <w:bottom w:val="single" w:sz="8" w:space="0" w:color="auto"/>
              <w:right w:val="nil"/>
            </w:tcBorders>
            <w:shd w:val="clear" w:color="auto" w:fill="auto"/>
            <w:vAlign w:val="bottom"/>
          </w:tcPr>
          <w:p w14:paraId="52B56B2C" w14:textId="77777777" w:rsidR="00F1031A" w:rsidRPr="008D21F0" w:rsidRDefault="00F1031A" w:rsidP="00670EF5">
            <w:pPr>
              <w:spacing w:after="120"/>
              <w:jc w:val="right"/>
              <w:rPr>
                <w:rFonts w:asciiTheme="minorHAnsi" w:hAnsiTheme="minorHAnsi" w:cstheme="minorHAnsi"/>
                <w:b/>
                <w:bCs/>
                <w:color w:val="000000"/>
                <w:sz w:val="16"/>
                <w:szCs w:val="16"/>
              </w:rPr>
            </w:pPr>
          </w:p>
        </w:tc>
        <w:tc>
          <w:tcPr>
            <w:tcW w:w="880" w:type="pct"/>
            <w:tcBorders>
              <w:top w:val="nil"/>
              <w:left w:val="nil"/>
              <w:bottom w:val="single" w:sz="8" w:space="0" w:color="auto"/>
              <w:right w:val="nil"/>
            </w:tcBorders>
            <w:shd w:val="clear" w:color="auto" w:fill="auto"/>
            <w:vAlign w:val="bottom"/>
          </w:tcPr>
          <w:p w14:paraId="14DD54F3" w14:textId="7EB19B31" w:rsidR="00F1031A" w:rsidRPr="008D21F0" w:rsidRDefault="0062214B" w:rsidP="00670EF5">
            <w:pPr>
              <w:spacing w:after="120"/>
              <w:jc w:val="right"/>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3</w:t>
            </w:r>
            <w:r w:rsidR="000C3FEE">
              <w:rPr>
                <w:rFonts w:asciiTheme="minorHAnsi" w:hAnsiTheme="minorHAnsi" w:cstheme="minorHAnsi"/>
                <w:b/>
                <w:bCs/>
                <w:color w:val="000000"/>
                <w:sz w:val="16"/>
                <w:szCs w:val="16"/>
              </w:rPr>
              <w:t>0</w:t>
            </w:r>
            <w:r w:rsidRPr="008D21F0">
              <w:rPr>
                <w:rFonts w:asciiTheme="minorHAnsi" w:hAnsiTheme="minorHAnsi" w:cstheme="minorHAnsi"/>
                <w:b/>
                <w:bCs/>
                <w:color w:val="000000"/>
                <w:sz w:val="16"/>
                <w:szCs w:val="16"/>
              </w:rPr>
              <w:t>/</w:t>
            </w:r>
            <w:r>
              <w:rPr>
                <w:rFonts w:asciiTheme="minorHAnsi" w:hAnsiTheme="minorHAnsi" w:cstheme="minorHAnsi"/>
                <w:b/>
                <w:bCs/>
                <w:color w:val="000000"/>
                <w:sz w:val="16"/>
                <w:szCs w:val="16"/>
              </w:rPr>
              <w:t>0</w:t>
            </w:r>
            <w:r w:rsidR="00B516C6">
              <w:rPr>
                <w:rFonts w:asciiTheme="minorHAnsi" w:hAnsiTheme="minorHAnsi" w:cstheme="minorHAnsi"/>
                <w:b/>
                <w:bCs/>
                <w:color w:val="000000"/>
                <w:sz w:val="16"/>
                <w:szCs w:val="16"/>
              </w:rPr>
              <w:t>9</w:t>
            </w:r>
            <w:r w:rsidRPr="008D21F0">
              <w:rPr>
                <w:rFonts w:asciiTheme="minorHAnsi" w:hAnsiTheme="minorHAnsi" w:cstheme="minorHAnsi"/>
                <w:b/>
                <w:bCs/>
                <w:color w:val="000000"/>
                <w:sz w:val="16"/>
                <w:szCs w:val="16"/>
              </w:rPr>
              <w:t>/202</w:t>
            </w:r>
            <w:r>
              <w:rPr>
                <w:rFonts w:asciiTheme="minorHAnsi" w:hAnsiTheme="minorHAnsi" w:cstheme="minorHAnsi"/>
                <w:b/>
                <w:bCs/>
                <w:color w:val="000000"/>
                <w:sz w:val="16"/>
                <w:szCs w:val="16"/>
              </w:rPr>
              <w:t>2</w:t>
            </w:r>
          </w:p>
        </w:tc>
        <w:tc>
          <w:tcPr>
            <w:tcW w:w="870" w:type="pct"/>
            <w:tcBorders>
              <w:top w:val="nil"/>
              <w:left w:val="nil"/>
              <w:bottom w:val="single" w:sz="8" w:space="0" w:color="auto"/>
              <w:right w:val="nil"/>
            </w:tcBorders>
            <w:vAlign w:val="bottom"/>
          </w:tcPr>
          <w:p w14:paraId="0A109937" w14:textId="0B192E81" w:rsidR="00F1031A" w:rsidRPr="008D21F0" w:rsidRDefault="00F1031A" w:rsidP="00670EF5">
            <w:pPr>
              <w:spacing w:after="120"/>
              <w:jc w:val="right"/>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31/</w:t>
            </w:r>
            <w:r w:rsidR="0062214B">
              <w:rPr>
                <w:rFonts w:asciiTheme="minorHAnsi" w:hAnsiTheme="minorHAnsi" w:cstheme="minorHAnsi"/>
                <w:b/>
                <w:bCs/>
                <w:color w:val="000000"/>
                <w:sz w:val="16"/>
                <w:szCs w:val="16"/>
              </w:rPr>
              <w:t>12</w:t>
            </w:r>
            <w:r w:rsidRPr="008D21F0">
              <w:rPr>
                <w:rFonts w:asciiTheme="minorHAnsi" w:hAnsiTheme="minorHAnsi" w:cstheme="minorHAnsi"/>
                <w:b/>
                <w:bCs/>
                <w:color w:val="000000"/>
                <w:sz w:val="16"/>
                <w:szCs w:val="16"/>
              </w:rPr>
              <w:t>/202</w:t>
            </w:r>
            <w:r w:rsidR="00A46353">
              <w:rPr>
                <w:rFonts w:asciiTheme="minorHAnsi" w:hAnsiTheme="minorHAnsi" w:cstheme="minorHAnsi"/>
                <w:b/>
                <w:bCs/>
                <w:color w:val="000000"/>
                <w:sz w:val="16"/>
                <w:szCs w:val="16"/>
              </w:rPr>
              <w:t>1</w:t>
            </w:r>
          </w:p>
        </w:tc>
      </w:tr>
      <w:tr w:rsidR="0062214B" w:rsidRPr="008D21F0" w14:paraId="279F5D77" w14:textId="77777777" w:rsidTr="00670EF5">
        <w:trPr>
          <w:trHeight w:hRule="exact" w:val="227"/>
        </w:trPr>
        <w:tc>
          <w:tcPr>
            <w:tcW w:w="1116" w:type="pct"/>
            <w:tcBorders>
              <w:top w:val="nil"/>
              <w:left w:val="nil"/>
              <w:bottom w:val="nil"/>
              <w:right w:val="nil"/>
            </w:tcBorders>
            <w:shd w:val="clear" w:color="auto" w:fill="auto"/>
            <w:noWrap/>
            <w:vAlign w:val="center"/>
          </w:tcPr>
          <w:p w14:paraId="0D0CE8AF" w14:textId="43DF80E5" w:rsidR="0062214B" w:rsidRPr="008D21F0" w:rsidRDefault="0062214B" w:rsidP="00670EF5">
            <w:pPr>
              <w:spacing w:after="120"/>
              <w:rPr>
                <w:rFonts w:asciiTheme="minorHAnsi" w:hAnsiTheme="minorHAnsi" w:cstheme="minorHAnsi"/>
                <w:color w:val="000000"/>
                <w:sz w:val="16"/>
                <w:szCs w:val="16"/>
              </w:rPr>
            </w:pPr>
            <w:r>
              <w:rPr>
                <w:rFonts w:asciiTheme="minorHAnsi" w:hAnsiTheme="minorHAnsi" w:cstheme="minorHAnsi"/>
                <w:color w:val="000000"/>
                <w:sz w:val="16"/>
                <w:szCs w:val="16"/>
              </w:rPr>
              <w:t>Saldo inicial</w:t>
            </w:r>
          </w:p>
        </w:tc>
        <w:tc>
          <w:tcPr>
            <w:tcW w:w="2133" w:type="pct"/>
            <w:tcBorders>
              <w:top w:val="nil"/>
              <w:left w:val="nil"/>
              <w:bottom w:val="nil"/>
              <w:right w:val="nil"/>
            </w:tcBorders>
            <w:shd w:val="clear" w:color="auto" w:fill="auto"/>
            <w:noWrap/>
            <w:vAlign w:val="center"/>
          </w:tcPr>
          <w:p w14:paraId="43473546" w14:textId="77777777" w:rsidR="0062214B" w:rsidRPr="008D21F0" w:rsidRDefault="0062214B" w:rsidP="00670EF5">
            <w:pPr>
              <w:spacing w:after="120"/>
              <w:jc w:val="right"/>
              <w:rPr>
                <w:rFonts w:asciiTheme="minorHAnsi" w:hAnsiTheme="minorHAnsi" w:cstheme="minorHAnsi"/>
                <w:color w:val="000000"/>
                <w:sz w:val="16"/>
                <w:szCs w:val="16"/>
              </w:rPr>
            </w:pPr>
          </w:p>
        </w:tc>
        <w:tc>
          <w:tcPr>
            <w:tcW w:w="880" w:type="pct"/>
            <w:tcBorders>
              <w:top w:val="nil"/>
              <w:left w:val="nil"/>
              <w:bottom w:val="nil"/>
              <w:right w:val="nil"/>
            </w:tcBorders>
            <w:shd w:val="clear" w:color="auto" w:fill="auto"/>
            <w:vAlign w:val="center"/>
          </w:tcPr>
          <w:p w14:paraId="1DD3A502" w14:textId="28A93C1E" w:rsidR="0062214B" w:rsidRPr="00A46353" w:rsidRDefault="00A46353" w:rsidP="00670EF5">
            <w:pPr>
              <w:spacing w:after="120"/>
              <w:jc w:val="right"/>
              <w:rPr>
                <w:rFonts w:asciiTheme="minorHAnsi" w:hAnsiTheme="minorHAnsi" w:cstheme="minorHAnsi"/>
                <w:color w:val="000000"/>
                <w:sz w:val="16"/>
                <w:szCs w:val="16"/>
              </w:rPr>
            </w:pPr>
            <w:r w:rsidRPr="00A46353">
              <w:rPr>
                <w:rFonts w:asciiTheme="minorHAnsi" w:hAnsiTheme="minorHAnsi" w:cstheme="minorHAnsi"/>
                <w:color w:val="000000"/>
                <w:sz w:val="16"/>
                <w:szCs w:val="16"/>
              </w:rPr>
              <w:t>679.957</w:t>
            </w:r>
          </w:p>
        </w:tc>
        <w:tc>
          <w:tcPr>
            <w:tcW w:w="870" w:type="pct"/>
            <w:tcBorders>
              <w:top w:val="nil"/>
              <w:left w:val="nil"/>
              <w:bottom w:val="nil"/>
              <w:right w:val="nil"/>
            </w:tcBorders>
            <w:vAlign w:val="center"/>
          </w:tcPr>
          <w:p w14:paraId="5B6E0AC0" w14:textId="32302042" w:rsidR="0062214B" w:rsidRPr="008D21F0" w:rsidRDefault="00A46353" w:rsidP="00670EF5">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0</w:t>
            </w:r>
          </w:p>
        </w:tc>
      </w:tr>
      <w:tr w:rsidR="00F1031A" w:rsidRPr="008D21F0" w14:paraId="30E9F25B" w14:textId="77777777" w:rsidTr="00670EF5">
        <w:trPr>
          <w:trHeight w:hRule="exact" w:val="227"/>
        </w:trPr>
        <w:tc>
          <w:tcPr>
            <w:tcW w:w="1116" w:type="pct"/>
            <w:tcBorders>
              <w:top w:val="nil"/>
              <w:left w:val="nil"/>
              <w:bottom w:val="nil"/>
              <w:right w:val="nil"/>
            </w:tcBorders>
            <w:shd w:val="clear" w:color="auto" w:fill="auto"/>
            <w:noWrap/>
            <w:vAlign w:val="center"/>
            <w:hideMark/>
          </w:tcPr>
          <w:p w14:paraId="5CF2E2DF" w14:textId="2AE1C430" w:rsidR="00F1031A" w:rsidRPr="008D21F0" w:rsidRDefault="00F1031A" w:rsidP="00670EF5">
            <w:pPr>
              <w:spacing w:after="120"/>
              <w:rPr>
                <w:rFonts w:asciiTheme="minorHAnsi" w:hAnsiTheme="minorHAnsi" w:cstheme="minorHAnsi"/>
                <w:color w:val="000000"/>
                <w:sz w:val="16"/>
                <w:szCs w:val="16"/>
              </w:rPr>
            </w:pPr>
            <w:r w:rsidRPr="008D21F0">
              <w:rPr>
                <w:rFonts w:asciiTheme="minorHAnsi" w:hAnsiTheme="minorHAnsi" w:cstheme="minorHAnsi"/>
                <w:color w:val="000000"/>
                <w:sz w:val="16"/>
                <w:szCs w:val="16"/>
              </w:rPr>
              <w:t>Principal</w:t>
            </w:r>
            <w:r w:rsidR="0062214B">
              <w:rPr>
                <w:rFonts w:asciiTheme="minorHAnsi" w:hAnsiTheme="minorHAnsi" w:cstheme="minorHAnsi"/>
                <w:color w:val="000000"/>
                <w:sz w:val="16"/>
                <w:szCs w:val="16"/>
              </w:rPr>
              <w:t xml:space="preserve"> (Entradas</w:t>
            </w:r>
            <w:r w:rsidR="00A46353">
              <w:rPr>
                <w:rFonts w:asciiTheme="minorHAnsi" w:hAnsiTheme="minorHAnsi" w:cstheme="minorHAnsi"/>
                <w:color w:val="000000"/>
                <w:sz w:val="16"/>
                <w:szCs w:val="16"/>
              </w:rPr>
              <w:t>)</w:t>
            </w:r>
          </w:p>
        </w:tc>
        <w:tc>
          <w:tcPr>
            <w:tcW w:w="2133" w:type="pct"/>
            <w:tcBorders>
              <w:top w:val="nil"/>
              <w:left w:val="nil"/>
              <w:bottom w:val="nil"/>
              <w:right w:val="nil"/>
            </w:tcBorders>
            <w:shd w:val="clear" w:color="auto" w:fill="auto"/>
            <w:noWrap/>
            <w:vAlign w:val="center"/>
          </w:tcPr>
          <w:p w14:paraId="6CF67540" w14:textId="77777777" w:rsidR="00F1031A" w:rsidRPr="008D21F0" w:rsidRDefault="00F1031A" w:rsidP="00670EF5">
            <w:pPr>
              <w:spacing w:after="120"/>
              <w:jc w:val="right"/>
              <w:rPr>
                <w:rFonts w:asciiTheme="minorHAnsi" w:hAnsiTheme="minorHAnsi" w:cstheme="minorHAnsi"/>
                <w:color w:val="000000"/>
                <w:sz w:val="16"/>
                <w:szCs w:val="16"/>
              </w:rPr>
            </w:pPr>
          </w:p>
        </w:tc>
        <w:tc>
          <w:tcPr>
            <w:tcW w:w="880" w:type="pct"/>
            <w:tcBorders>
              <w:top w:val="nil"/>
              <w:left w:val="nil"/>
              <w:bottom w:val="nil"/>
              <w:right w:val="nil"/>
            </w:tcBorders>
            <w:shd w:val="clear" w:color="auto" w:fill="auto"/>
            <w:vAlign w:val="center"/>
          </w:tcPr>
          <w:p w14:paraId="45FD1C33" w14:textId="38EE8B59" w:rsidR="00F1031A" w:rsidRPr="008D21F0" w:rsidRDefault="002C64A2" w:rsidP="00670EF5">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474.516</w:t>
            </w:r>
          </w:p>
        </w:tc>
        <w:tc>
          <w:tcPr>
            <w:tcW w:w="870" w:type="pct"/>
            <w:tcBorders>
              <w:top w:val="nil"/>
              <w:left w:val="nil"/>
              <w:bottom w:val="nil"/>
              <w:right w:val="nil"/>
            </w:tcBorders>
            <w:vAlign w:val="center"/>
          </w:tcPr>
          <w:p w14:paraId="1A2FA56C" w14:textId="35AFDFB2" w:rsidR="00F1031A" w:rsidRPr="008D21F0" w:rsidRDefault="00F1031A" w:rsidP="00670EF5">
            <w:pPr>
              <w:spacing w:after="120"/>
              <w:jc w:val="right"/>
              <w:rPr>
                <w:rFonts w:asciiTheme="minorHAnsi" w:hAnsiTheme="minorHAnsi" w:cstheme="minorHAnsi"/>
                <w:color w:val="000000"/>
                <w:sz w:val="16"/>
                <w:szCs w:val="16"/>
              </w:rPr>
            </w:pPr>
            <w:r w:rsidRPr="008D21F0">
              <w:rPr>
                <w:rFonts w:asciiTheme="minorHAnsi" w:hAnsiTheme="minorHAnsi" w:cstheme="minorHAnsi"/>
                <w:color w:val="000000"/>
                <w:sz w:val="16"/>
                <w:szCs w:val="16"/>
              </w:rPr>
              <w:t>641.192</w:t>
            </w:r>
          </w:p>
        </w:tc>
      </w:tr>
      <w:tr w:rsidR="002C64A2" w:rsidRPr="008D21F0" w14:paraId="0073BCAA" w14:textId="77777777" w:rsidTr="00670EF5">
        <w:trPr>
          <w:trHeight w:hRule="exact" w:val="227"/>
        </w:trPr>
        <w:tc>
          <w:tcPr>
            <w:tcW w:w="1116" w:type="pct"/>
            <w:tcBorders>
              <w:top w:val="nil"/>
              <w:left w:val="nil"/>
              <w:bottom w:val="nil"/>
              <w:right w:val="nil"/>
            </w:tcBorders>
            <w:shd w:val="clear" w:color="auto" w:fill="auto"/>
            <w:noWrap/>
            <w:vAlign w:val="center"/>
          </w:tcPr>
          <w:p w14:paraId="0FE99BD9" w14:textId="327AEDE9" w:rsidR="002C64A2" w:rsidRPr="008D21F0" w:rsidRDefault="002C64A2" w:rsidP="00670EF5">
            <w:pPr>
              <w:spacing w:after="120"/>
              <w:rPr>
                <w:rFonts w:asciiTheme="minorHAnsi" w:hAnsiTheme="minorHAnsi" w:cstheme="minorHAnsi"/>
                <w:color w:val="000000"/>
                <w:sz w:val="16"/>
                <w:szCs w:val="16"/>
              </w:rPr>
            </w:pPr>
            <w:r w:rsidRPr="002C64A2">
              <w:rPr>
                <w:rFonts w:asciiTheme="minorHAnsi" w:hAnsiTheme="minorHAnsi" w:cstheme="minorHAnsi"/>
                <w:color w:val="000000"/>
                <w:sz w:val="16"/>
                <w:szCs w:val="16"/>
              </w:rPr>
              <w:t>Transferência do Não Circulante</w:t>
            </w:r>
          </w:p>
        </w:tc>
        <w:tc>
          <w:tcPr>
            <w:tcW w:w="2133" w:type="pct"/>
            <w:tcBorders>
              <w:top w:val="nil"/>
              <w:left w:val="nil"/>
              <w:bottom w:val="nil"/>
              <w:right w:val="nil"/>
            </w:tcBorders>
            <w:shd w:val="clear" w:color="auto" w:fill="auto"/>
            <w:noWrap/>
            <w:vAlign w:val="center"/>
          </w:tcPr>
          <w:p w14:paraId="100C9AB8" w14:textId="77777777" w:rsidR="002C64A2" w:rsidRPr="008D21F0" w:rsidRDefault="002C64A2" w:rsidP="00670EF5">
            <w:pPr>
              <w:spacing w:after="120"/>
              <w:jc w:val="right"/>
              <w:rPr>
                <w:rFonts w:asciiTheme="minorHAnsi" w:hAnsiTheme="minorHAnsi" w:cstheme="minorHAnsi"/>
                <w:color w:val="000000"/>
                <w:sz w:val="16"/>
                <w:szCs w:val="16"/>
              </w:rPr>
            </w:pPr>
          </w:p>
        </w:tc>
        <w:tc>
          <w:tcPr>
            <w:tcW w:w="880" w:type="pct"/>
            <w:tcBorders>
              <w:top w:val="nil"/>
              <w:left w:val="nil"/>
              <w:bottom w:val="nil"/>
              <w:right w:val="nil"/>
            </w:tcBorders>
            <w:shd w:val="clear" w:color="auto" w:fill="auto"/>
            <w:vAlign w:val="center"/>
          </w:tcPr>
          <w:p w14:paraId="4E9831E0" w14:textId="4730F92B" w:rsidR="002C64A2" w:rsidRDefault="002C64A2" w:rsidP="00670EF5">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128.280</w:t>
            </w:r>
          </w:p>
        </w:tc>
        <w:tc>
          <w:tcPr>
            <w:tcW w:w="870" w:type="pct"/>
            <w:tcBorders>
              <w:top w:val="nil"/>
              <w:left w:val="nil"/>
              <w:bottom w:val="nil"/>
              <w:right w:val="nil"/>
            </w:tcBorders>
            <w:vAlign w:val="center"/>
          </w:tcPr>
          <w:p w14:paraId="3FBE3E95" w14:textId="77777777" w:rsidR="002C64A2" w:rsidRPr="008D21F0" w:rsidRDefault="002C64A2" w:rsidP="00670EF5">
            <w:pPr>
              <w:spacing w:after="120"/>
              <w:jc w:val="right"/>
              <w:rPr>
                <w:rFonts w:asciiTheme="minorHAnsi" w:hAnsiTheme="minorHAnsi" w:cstheme="minorHAnsi"/>
                <w:color w:val="000000"/>
                <w:sz w:val="16"/>
                <w:szCs w:val="16"/>
              </w:rPr>
            </w:pPr>
          </w:p>
        </w:tc>
      </w:tr>
      <w:tr w:rsidR="00F1031A" w:rsidRPr="008D21F0" w14:paraId="2463813C" w14:textId="77777777" w:rsidTr="00670EF5">
        <w:trPr>
          <w:trHeight w:hRule="exact" w:val="227"/>
        </w:trPr>
        <w:tc>
          <w:tcPr>
            <w:tcW w:w="1116" w:type="pct"/>
            <w:tcBorders>
              <w:top w:val="nil"/>
              <w:left w:val="nil"/>
              <w:bottom w:val="nil"/>
              <w:right w:val="nil"/>
            </w:tcBorders>
            <w:shd w:val="clear" w:color="auto" w:fill="auto"/>
            <w:noWrap/>
            <w:vAlign w:val="center"/>
            <w:hideMark/>
          </w:tcPr>
          <w:p w14:paraId="1A0369E6" w14:textId="3AF7436F" w:rsidR="00F1031A" w:rsidRPr="008D21F0" w:rsidRDefault="00F1031A" w:rsidP="00670EF5">
            <w:pPr>
              <w:spacing w:after="120"/>
              <w:rPr>
                <w:rFonts w:asciiTheme="minorHAnsi" w:hAnsiTheme="minorHAnsi" w:cstheme="minorHAnsi"/>
                <w:color w:val="000000"/>
                <w:sz w:val="16"/>
                <w:szCs w:val="16"/>
              </w:rPr>
            </w:pPr>
            <w:r w:rsidRPr="008D21F0">
              <w:rPr>
                <w:rFonts w:asciiTheme="minorHAnsi" w:hAnsiTheme="minorHAnsi" w:cstheme="minorHAnsi"/>
                <w:color w:val="000000"/>
                <w:sz w:val="16"/>
                <w:szCs w:val="16"/>
              </w:rPr>
              <w:t>Atualização Monetária</w:t>
            </w:r>
          </w:p>
        </w:tc>
        <w:tc>
          <w:tcPr>
            <w:tcW w:w="2133" w:type="pct"/>
            <w:tcBorders>
              <w:top w:val="nil"/>
              <w:left w:val="nil"/>
              <w:bottom w:val="nil"/>
              <w:right w:val="nil"/>
            </w:tcBorders>
            <w:shd w:val="clear" w:color="auto" w:fill="auto"/>
            <w:noWrap/>
            <w:vAlign w:val="center"/>
          </w:tcPr>
          <w:p w14:paraId="1002520F" w14:textId="77777777" w:rsidR="00F1031A" w:rsidRPr="008D21F0" w:rsidRDefault="00F1031A" w:rsidP="00670EF5">
            <w:pPr>
              <w:spacing w:after="120"/>
              <w:jc w:val="right"/>
              <w:rPr>
                <w:rFonts w:asciiTheme="minorHAnsi" w:hAnsiTheme="minorHAnsi" w:cstheme="minorHAnsi"/>
                <w:color w:val="000000"/>
                <w:sz w:val="16"/>
                <w:szCs w:val="16"/>
              </w:rPr>
            </w:pPr>
          </w:p>
        </w:tc>
        <w:tc>
          <w:tcPr>
            <w:tcW w:w="880" w:type="pct"/>
            <w:tcBorders>
              <w:top w:val="nil"/>
              <w:left w:val="nil"/>
              <w:bottom w:val="nil"/>
              <w:right w:val="nil"/>
            </w:tcBorders>
            <w:shd w:val="clear" w:color="auto" w:fill="auto"/>
            <w:vAlign w:val="center"/>
          </w:tcPr>
          <w:p w14:paraId="4412B116" w14:textId="2E9FA3B4" w:rsidR="00F1031A" w:rsidRPr="008D21F0" w:rsidRDefault="002C64A2" w:rsidP="00670EF5">
            <w:pPr>
              <w:spacing w:after="120"/>
              <w:jc w:val="right"/>
              <w:rPr>
                <w:rFonts w:asciiTheme="minorHAnsi" w:hAnsiTheme="minorHAnsi" w:cstheme="minorHAnsi"/>
                <w:color w:val="000000"/>
                <w:sz w:val="16"/>
                <w:szCs w:val="16"/>
              </w:rPr>
            </w:pPr>
            <w:r>
              <w:rPr>
                <w:rFonts w:asciiTheme="minorHAnsi" w:hAnsiTheme="minorHAnsi" w:cstheme="minorHAnsi"/>
                <w:color w:val="000000"/>
                <w:sz w:val="16"/>
                <w:szCs w:val="16"/>
              </w:rPr>
              <w:t>37.203</w:t>
            </w:r>
          </w:p>
        </w:tc>
        <w:tc>
          <w:tcPr>
            <w:tcW w:w="870" w:type="pct"/>
            <w:tcBorders>
              <w:top w:val="nil"/>
              <w:left w:val="nil"/>
              <w:bottom w:val="nil"/>
              <w:right w:val="nil"/>
            </w:tcBorders>
            <w:vAlign w:val="center"/>
          </w:tcPr>
          <w:p w14:paraId="1C207635" w14:textId="48BCED7E" w:rsidR="00F1031A" w:rsidRPr="008D21F0" w:rsidRDefault="00F1031A" w:rsidP="00670EF5">
            <w:pPr>
              <w:spacing w:after="120"/>
              <w:jc w:val="right"/>
              <w:rPr>
                <w:rFonts w:asciiTheme="minorHAnsi" w:hAnsiTheme="minorHAnsi" w:cstheme="minorHAnsi"/>
                <w:color w:val="000000"/>
                <w:sz w:val="16"/>
                <w:szCs w:val="16"/>
              </w:rPr>
            </w:pPr>
            <w:r w:rsidRPr="008D21F0">
              <w:rPr>
                <w:rFonts w:asciiTheme="minorHAnsi" w:hAnsiTheme="minorHAnsi" w:cstheme="minorHAnsi"/>
                <w:color w:val="000000"/>
                <w:sz w:val="16"/>
                <w:szCs w:val="16"/>
              </w:rPr>
              <w:t>38.765</w:t>
            </w:r>
          </w:p>
        </w:tc>
      </w:tr>
      <w:tr w:rsidR="00F1031A" w:rsidRPr="008D21F0" w14:paraId="4F9A15FF" w14:textId="77777777" w:rsidTr="00670EF5">
        <w:trPr>
          <w:trHeight w:hRule="exact" w:val="227"/>
        </w:trPr>
        <w:tc>
          <w:tcPr>
            <w:tcW w:w="1116" w:type="pct"/>
            <w:tcBorders>
              <w:top w:val="single" w:sz="8" w:space="0" w:color="auto"/>
              <w:left w:val="nil"/>
              <w:bottom w:val="single" w:sz="8" w:space="0" w:color="auto"/>
              <w:right w:val="nil"/>
            </w:tcBorders>
            <w:shd w:val="clear" w:color="auto" w:fill="auto"/>
            <w:noWrap/>
            <w:vAlign w:val="center"/>
            <w:hideMark/>
          </w:tcPr>
          <w:p w14:paraId="18619432" w14:textId="2366D984" w:rsidR="00F1031A" w:rsidRPr="008D21F0" w:rsidRDefault="00F1031A" w:rsidP="00670EF5">
            <w:pPr>
              <w:spacing w:after="120"/>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SALDO</w:t>
            </w:r>
            <w:r w:rsidR="003233F5" w:rsidRPr="008D21F0">
              <w:rPr>
                <w:rFonts w:asciiTheme="minorHAnsi" w:hAnsiTheme="minorHAnsi" w:cstheme="minorHAnsi"/>
                <w:b/>
                <w:bCs/>
                <w:color w:val="000000"/>
                <w:sz w:val="16"/>
                <w:szCs w:val="16"/>
              </w:rPr>
              <w:t xml:space="preserve"> </w:t>
            </w:r>
          </w:p>
        </w:tc>
        <w:tc>
          <w:tcPr>
            <w:tcW w:w="2133" w:type="pct"/>
            <w:tcBorders>
              <w:top w:val="single" w:sz="8" w:space="0" w:color="auto"/>
              <w:left w:val="nil"/>
              <w:bottom w:val="single" w:sz="8" w:space="0" w:color="auto"/>
              <w:right w:val="nil"/>
            </w:tcBorders>
            <w:shd w:val="clear" w:color="auto" w:fill="auto"/>
            <w:noWrap/>
            <w:vAlign w:val="center"/>
          </w:tcPr>
          <w:p w14:paraId="727EFAE2" w14:textId="77777777" w:rsidR="00F1031A" w:rsidRPr="008D21F0" w:rsidRDefault="00F1031A" w:rsidP="00670EF5">
            <w:pPr>
              <w:spacing w:after="120"/>
              <w:jc w:val="right"/>
              <w:rPr>
                <w:rFonts w:asciiTheme="minorHAnsi" w:hAnsiTheme="minorHAnsi" w:cstheme="minorHAns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0C6B9D33" w14:textId="1851C01C" w:rsidR="00F1031A" w:rsidRPr="008D21F0" w:rsidRDefault="002C64A2" w:rsidP="00670EF5">
            <w:pPr>
              <w:spacing w:after="120"/>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1.319.956</w:t>
            </w:r>
          </w:p>
        </w:tc>
        <w:tc>
          <w:tcPr>
            <w:tcW w:w="870" w:type="pct"/>
            <w:tcBorders>
              <w:top w:val="single" w:sz="8" w:space="0" w:color="auto"/>
              <w:left w:val="nil"/>
              <w:bottom w:val="single" w:sz="8" w:space="0" w:color="auto"/>
              <w:right w:val="nil"/>
            </w:tcBorders>
            <w:vAlign w:val="center"/>
          </w:tcPr>
          <w:p w14:paraId="177A72FD" w14:textId="0EA3E0D0" w:rsidR="00F1031A" w:rsidRPr="008D21F0" w:rsidRDefault="003233F5" w:rsidP="00670EF5">
            <w:pPr>
              <w:spacing w:after="120"/>
              <w:jc w:val="right"/>
              <w:rPr>
                <w:rFonts w:asciiTheme="minorHAnsi" w:hAnsiTheme="minorHAnsi" w:cstheme="minorHAnsi"/>
                <w:b/>
                <w:bCs/>
                <w:color w:val="000000"/>
                <w:sz w:val="16"/>
                <w:szCs w:val="16"/>
              </w:rPr>
            </w:pPr>
            <w:r w:rsidRPr="008D21F0">
              <w:rPr>
                <w:rFonts w:asciiTheme="minorHAnsi" w:hAnsiTheme="minorHAnsi" w:cstheme="minorHAnsi"/>
                <w:b/>
                <w:bCs/>
                <w:color w:val="000000"/>
                <w:sz w:val="16"/>
                <w:szCs w:val="16"/>
              </w:rPr>
              <w:t>679.957</w:t>
            </w:r>
          </w:p>
        </w:tc>
      </w:tr>
    </w:tbl>
    <w:p w14:paraId="327ABA89" w14:textId="2952D93C" w:rsidR="00F1031A" w:rsidRPr="008D21F0" w:rsidRDefault="00F1031A" w:rsidP="00F1031A">
      <w:pPr>
        <w:rPr>
          <w:rFonts w:asciiTheme="minorHAnsi" w:hAnsiTheme="minorHAnsi" w:cstheme="minorHAnsi"/>
          <w:sz w:val="22"/>
          <w:szCs w:val="22"/>
        </w:rPr>
      </w:pPr>
    </w:p>
    <w:p w14:paraId="5E016AC3" w14:textId="1D1DCE00" w:rsidR="003233F5" w:rsidRPr="008D21F0" w:rsidRDefault="003233F5" w:rsidP="003233F5">
      <w:pPr>
        <w:pStyle w:val="PargrafodaLista"/>
        <w:numPr>
          <w:ilvl w:val="0"/>
          <w:numId w:val="40"/>
        </w:numPr>
        <w:ind w:left="426" w:hanging="426"/>
        <w:rPr>
          <w:rFonts w:asciiTheme="minorHAnsi" w:hAnsiTheme="minorHAnsi" w:cstheme="minorHAnsi"/>
          <w:b/>
          <w:bCs/>
          <w:sz w:val="22"/>
          <w:szCs w:val="22"/>
        </w:rPr>
      </w:pPr>
      <w:r w:rsidRPr="008D21F0">
        <w:rPr>
          <w:rFonts w:asciiTheme="minorHAnsi" w:hAnsiTheme="minorHAnsi" w:cstheme="minorHAnsi"/>
          <w:b/>
          <w:bCs/>
          <w:sz w:val="22"/>
          <w:szCs w:val="22"/>
        </w:rPr>
        <w:t>Precatórios de Terceiros – Longo Prazo</w:t>
      </w:r>
    </w:p>
    <w:p w14:paraId="29CE89B3" w14:textId="7B7A18B6" w:rsidR="003233F5" w:rsidRDefault="003233F5" w:rsidP="003233F5">
      <w:pPr>
        <w:jc w:val="both"/>
        <w:rPr>
          <w:rFonts w:asciiTheme="minorHAnsi" w:hAnsiTheme="minorHAnsi" w:cstheme="minorHAnsi"/>
          <w:sz w:val="22"/>
          <w:szCs w:val="22"/>
        </w:rPr>
      </w:pPr>
      <w:r w:rsidRPr="008D21F0">
        <w:rPr>
          <w:rFonts w:asciiTheme="minorHAnsi" w:hAnsiTheme="minorHAnsi" w:cstheme="minorHAnsi"/>
          <w:sz w:val="22"/>
          <w:szCs w:val="22"/>
        </w:rPr>
        <w:t>Registros de Precatórios de Terceiros realizado pelo Tribunal Regional Federal da 4ª Região referentes a precatórios alimentares e comuns autuados entre julho de 2021 a dezembro de 2021 a serem pagos em setembro de 2023:</w:t>
      </w:r>
    </w:p>
    <w:p w14:paraId="30F6F97D" w14:textId="77777777" w:rsidR="003233F5" w:rsidRPr="008D21F0" w:rsidRDefault="003233F5" w:rsidP="00F1031A"/>
    <w:tbl>
      <w:tblPr>
        <w:tblW w:w="5001" w:type="pct"/>
        <w:tblCellMar>
          <w:left w:w="70" w:type="dxa"/>
          <w:right w:w="70" w:type="dxa"/>
        </w:tblCellMar>
        <w:tblLook w:val="04A0" w:firstRow="1" w:lastRow="0" w:firstColumn="1" w:lastColumn="0" w:noHBand="0" w:noVBand="1"/>
      </w:tblPr>
      <w:tblGrid>
        <w:gridCol w:w="2912"/>
        <w:gridCol w:w="4274"/>
        <w:gridCol w:w="1652"/>
        <w:gridCol w:w="1631"/>
      </w:tblGrid>
      <w:tr w:rsidR="003233F5" w:rsidRPr="008D21F0" w14:paraId="2D6D1399" w14:textId="77777777" w:rsidTr="00670EF5">
        <w:trPr>
          <w:trHeight w:hRule="exact" w:val="227"/>
        </w:trPr>
        <w:tc>
          <w:tcPr>
            <w:tcW w:w="1116" w:type="pct"/>
            <w:tcBorders>
              <w:top w:val="nil"/>
              <w:left w:val="nil"/>
              <w:bottom w:val="single" w:sz="8" w:space="0" w:color="auto"/>
              <w:right w:val="nil"/>
            </w:tcBorders>
            <w:shd w:val="clear" w:color="auto" w:fill="auto"/>
            <w:noWrap/>
            <w:vAlign w:val="bottom"/>
            <w:hideMark/>
          </w:tcPr>
          <w:p w14:paraId="6281B5A0" w14:textId="77777777" w:rsidR="003233F5" w:rsidRPr="008D21F0" w:rsidRDefault="003233F5" w:rsidP="00670EF5">
            <w:pPr>
              <w:spacing w:after="120"/>
              <w:rPr>
                <w:rFonts w:ascii="Calibri" w:hAnsi="Calibri" w:cs="Calibri"/>
                <w:b/>
                <w:bCs/>
                <w:color w:val="000000"/>
                <w:sz w:val="16"/>
                <w:szCs w:val="16"/>
              </w:rPr>
            </w:pPr>
            <w:r w:rsidRPr="008D21F0">
              <w:rPr>
                <w:rFonts w:ascii="Calibri" w:hAnsi="Calibri" w:cs="Calibri"/>
                <w:b/>
                <w:bCs/>
                <w:color w:val="000000"/>
                <w:sz w:val="16"/>
                <w:szCs w:val="16"/>
              </w:rPr>
              <w:t>PROCESSO: PA 007980-80-2015.4.04.8000</w:t>
            </w:r>
          </w:p>
        </w:tc>
        <w:tc>
          <w:tcPr>
            <w:tcW w:w="2133" w:type="pct"/>
            <w:tcBorders>
              <w:top w:val="nil"/>
              <w:left w:val="nil"/>
              <w:bottom w:val="single" w:sz="8" w:space="0" w:color="auto"/>
              <w:right w:val="nil"/>
            </w:tcBorders>
            <w:shd w:val="clear" w:color="auto" w:fill="auto"/>
            <w:vAlign w:val="bottom"/>
          </w:tcPr>
          <w:p w14:paraId="2521AF44" w14:textId="77777777" w:rsidR="003233F5" w:rsidRPr="008D21F0" w:rsidRDefault="003233F5" w:rsidP="00670EF5">
            <w:pPr>
              <w:spacing w:after="120"/>
              <w:jc w:val="right"/>
              <w:rPr>
                <w:rFonts w:ascii="Calibri" w:hAnsi="Calibri" w:cs="Calibri"/>
                <w:b/>
                <w:bCs/>
                <w:color w:val="000000"/>
                <w:sz w:val="16"/>
                <w:szCs w:val="16"/>
              </w:rPr>
            </w:pPr>
          </w:p>
        </w:tc>
        <w:tc>
          <w:tcPr>
            <w:tcW w:w="880" w:type="pct"/>
            <w:tcBorders>
              <w:top w:val="nil"/>
              <w:left w:val="nil"/>
              <w:bottom w:val="single" w:sz="8" w:space="0" w:color="auto"/>
              <w:right w:val="nil"/>
            </w:tcBorders>
            <w:shd w:val="clear" w:color="auto" w:fill="auto"/>
            <w:vAlign w:val="bottom"/>
          </w:tcPr>
          <w:p w14:paraId="184D8C03" w14:textId="6AFAECB8" w:rsidR="003233F5" w:rsidRPr="008D21F0" w:rsidRDefault="00A46353" w:rsidP="00670EF5">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7B5325">
              <w:rPr>
                <w:rFonts w:ascii="Calibri" w:hAnsi="Calibri" w:cs="Calibri"/>
                <w:b/>
                <w:bCs/>
                <w:color w:val="000000"/>
                <w:sz w:val="16"/>
                <w:szCs w:val="16"/>
              </w:rPr>
              <w:t>0</w:t>
            </w:r>
            <w:r>
              <w:rPr>
                <w:rFonts w:ascii="Calibri" w:hAnsi="Calibri" w:cs="Calibri"/>
                <w:b/>
                <w:bCs/>
                <w:color w:val="000000"/>
                <w:sz w:val="16"/>
                <w:szCs w:val="16"/>
              </w:rPr>
              <w:t>/0</w:t>
            </w:r>
            <w:r w:rsidR="00381C85">
              <w:rPr>
                <w:rFonts w:ascii="Calibri" w:hAnsi="Calibri" w:cs="Calibri"/>
                <w:b/>
                <w:bCs/>
                <w:color w:val="000000"/>
                <w:sz w:val="16"/>
                <w:szCs w:val="16"/>
              </w:rPr>
              <w:t>9</w:t>
            </w:r>
            <w:r>
              <w:rPr>
                <w:rFonts w:ascii="Calibri" w:hAnsi="Calibri" w:cs="Calibri"/>
                <w:b/>
                <w:bCs/>
                <w:color w:val="000000"/>
                <w:sz w:val="16"/>
                <w:szCs w:val="16"/>
              </w:rPr>
              <w:t>/2022</w:t>
            </w:r>
          </w:p>
        </w:tc>
        <w:tc>
          <w:tcPr>
            <w:tcW w:w="870" w:type="pct"/>
            <w:tcBorders>
              <w:top w:val="nil"/>
              <w:left w:val="nil"/>
              <w:bottom w:val="single" w:sz="8" w:space="0" w:color="auto"/>
              <w:right w:val="nil"/>
            </w:tcBorders>
            <w:vAlign w:val="bottom"/>
          </w:tcPr>
          <w:p w14:paraId="72010D6D" w14:textId="77777777" w:rsidR="003233F5" w:rsidRPr="008D21F0" w:rsidRDefault="003233F5" w:rsidP="00670EF5">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31/12/2021</w:t>
            </w:r>
          </w:p>
        </w:tc>
      </w:tr>
      <w:tr w:rsidR="00A46353" w:rsidRPr="008D21F0" w14:paraId="4C0C335F" w14:textId="77777777" w:rsidTr="00670EF5">
        <w:trPr>
          <w:trHeight w:hRule="exact" w:val="227"/>
        </w:trPr>
        <w:tc>
          <w:tcPr>
            <w:tcW w:w="1116" w:type="pct"/>
            <w:tcBorders>
              <w:top w:val="nil"/>
              <w:left w:val="nil"/>
              <w:bottom w:val="nil"/>
              <w:right w:val="nil"/>
            </w:tcBorders>
            <w:shd w:val="clear" w:color="auto" w:fill="auto"/>
            <w:noWrap/>
            <w:vAlign w:val="center"/>
          </w:tcPr>
          <w:p w14:paraId="5FC9317E" w14:textId="38BAD3E4" w:rsidR="00A46353" w:rsidRPr="008D21F0" w:rsidRDefault="00A46353" w:rsidP="00670EF5">
            <w:pPr>
              <w:spacing w:after="120"/>
              <w:rPr>
                <w:rFonts w:ascii="Calibri" w:hAnsi="Calibri" w:cs="Calibri"/>
                <w:color w:val="000000"/>
                <w:sz w:val="16"/>
                <w:szCs w:val="16"/>
              </w:rPr>
            </w:pPr>
            <w:r>
              <w:rPr>
                <w:rFonts w:asciiTheme="minorHAnsi" w:hAnsiTheme="minorHAnsi" w:cstheme="minorHAnsi"/>
                <w:color w:val="000000"/>
                <w:sz w:val="16"/>
                <w:szCs w:val="16"/>
              </w:rPr>
              <w:t>Saldo inicial</w:t>
            </w:r>
          </w:p>
        </w:tc>
        <w:tc>
          <w:tcPr>
            <w:tcW w:w="2133" w:type="pct"/>
            <w:tcBorders>
              <w:top w:val="nil"/>
              <w:left w:val="nil"/>
              <w:bottom w:val="nil"/>
              <w:right w:val="nil"/>
            </w:tcBorders>
            <w:shd w:val="clear" w:color="auto" w:fill="auto"/>
            <w:noWrap/>
            <w:vAlign w:val="center"/>
          </w:tcPr>
          <w:p w14:paraId="447CA7DC" w14:textId="77777777" w:rsidR="00A46353" w:rsidRPr="008D21F0" w:rsidRDefault="00A46353" w:rsidP="00670EF5">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7D406AC6" w14:textId="32480A82" w:rsidR="00A46353" w:rsidRPr="008D21F0" w:rsidRDefault="00A46353" w:rsidP="00670EF5">
            <w:pPr>
              <w:spacing w:after="120"/>
              <w:jc w:val="right"/>
              <w:rPr>
                <w:rFonts w:ascii="Calibri" w:hAnsi="Calibri" w:cs="Calibri"/>
                <w:color w:val="000000"/>
                <w:sz w:val="16"/>
                <w:szCs w:val="16"/>
              </w:rPr>
            </w:pPr>
            <w:r>
              <w:rPr>
                <w:rFonts w:ascii="Calibri" w:hAnsi="Calibri" w:cs="Calibri"/>
                <w:color w:val="000000"/>
                <w:sz w:val="16"/>
                <w:szCs w:val="16"/>
              </w:rPr>
              <w:t>121.593</w:t>
            </w:r>
          </w:p>
        </w:tc>
        <w:tc>
          <w:tcPr>
            <w:tcW w:w="870" w:type="pct"/>
            <w:tcBorders>
              <w:top w:val="nil"/>
              <w:left w:val="nil"/>
              <w:bottom w:val="nil"/>
              <w:right w:val="nil"/>
            </w:tcBorders>
            <w:vAlign w:val="center"/>
          </w:tcPr>
          <w:p w14:paraId="2B4D358D" w14:textId="6E1224BA" w:rsidR="00A46353" w:rsidRPr="008D21F0" w:rsidRDefault="00A46353" w:rsidP="00670EF5">
            <w:pPr>
              <w:spacing w:after="120"/>
              <w:jc w:val="right"/>
              <w:rPr>
                <w:rFonts w:ascii="Calibri" w:hAnsi="Calibri" w:cs="Calibri"/>
                <w:color w:val="000000"/>
                <w:sz w:val="16"/>
                <w:szCs w:val="16"/>
              </w:rPr>
            </w:pPr>
            <w:r>
              <w:rPr>
                <w:rFonts w:ascii="Calibri" w:hAnsi="Calibri" w:cs="Calibri"/>
                <w:color w:val="000000"/>
                <w:sz w:val="16"/>
                <w:szCs w:val="16"/>
              </w:rPr>
              <w:t>0</w:t>
            </w:r>
          </w:p>
        </w:tc>
      </w:tr>
      <w:tr w:rsidR="003233F5" w:rsidRPr="008D21F0" w14:paraId="3EB8C62C" w14:textId="77777777" w:rsidTr="00670EF5">
        <w:trPr>
          <w:trHeight w:hRule="exact" w:val="227"/>
        </w:trPr>
        <w:tc>
          <w:tcPr>
            <w:tcW w:w="1116" w:type="pct"/>
            <w:tcBorders>
              <w:top w:val="nil"/>
              <w:left w:val="nil"/>
              <w:bottom w:val="nil"/>
              <w:right w:val="nil"/>
            </w:tcBorders>
            <w:shd w:val="clear" w:color="auto" w:fill="auto"/>
            <w:noWrap/>
            <w:vAlign w:val="center"/>
            <w:hideMark/>
          </w:tcPr>
          <w:p w14:paraId="4C9597F1" w14:textId="6FCCEB2C" w:rsidR="003233F5" w:rsidRPr="008D21F0" w:rsidRDefault="003233F5" w:rsidP="00670EF5">
            <w:pPr>
              <w:spacing w:after="120"/>
              <w:rPr>
                <w:rFonts w:ascii="Calibri" w:hAnsi="Calibri" w:cs="Calibri"/>
                <w:color w:val="000000"/>
                <w:sz w:val="16"/>
                <w:szCs w:val="16"/>
              </w:rPr>
            </w:pPr>
            <w:r w:rsidRPr="008D21F0">
              <w:rPr>
                <w:rFonts w:ascii="Calibri" w:hAnsi="Calibri" w:cs="Calibri"/>
                <w:color w:val="000000"/>
                <w:sz w:val="16"/>
                <w:szCs w:val="16"/>
              </w:rPr>
              <w:t>Principal</w:t>
            </w:r>
            <w:r w:rsidR="00A46353">
              <w:rPr>
                <w:rFonts w:ascii="Calibri" w:hAnsi="Calibri" w:cs="Calibri"/>
                <w:color w:val="000000"/>
                <w:sz w:val="16"/>
                <w:szCs w:val="16"/>
              </w:rPr>
              <w:t xml:space="preserve"> (Entradas)</w:t>
            </w:r>
          </w:p>
        </w:tc>
        <w:tc>
          <w:tcPr>
            <w:tcW w:w="2133" w:type="pct"/>
            <w:tcBorders>
              <w:top w:val="nil"/>
              <w:left w:val="nil"/>
              <w:bottom w:val="nil"/>
              <w:right w:val="nil"/>
            </w:tcBorders>
            <w:shd w:val="clear" w:color="auto" w:fill="auto"/>
            <w:noWrap/>
            <w:vAlign w:val="center"/>
          </w:tcPr>
          <w:p w14:paraId="21F2DDB5" w14:textId="77777777" w:rsidR="003233F5" w:rsidRPr="008D21F0" w:rsidRDefault="003233F5" w:rsidP="00670EF5">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7D302478" w14:textId="10C7F2B9" w:rsidR="003233F5" w:rsidRPr="008D21F0" w:rsidRDefault="00A46353" w:rsidP="00670EF5">
            <w:pPr>
              <w:spacing w:after="120"/>
              <w:jc w:val="right"/>
              <w:rPr>
                <w:rFonts w:ascii="Calibri" w:hAnsi="Calibri" w:cs="Calibri"/>
                <w:color w:val="000000"/>
                <w:sz w:val="16"/>
                <w:szCs w:val="16"/>
              </w:rPr>
            </w:pPr>
            <w:r>
              <w:rPr>
                <w:rFonts w:ascii="Calibri" w:hAnsi="Calibri" w:cs="Calibri"/>
                <w:color w:val="000000"/>
                <w:sz w:val="16"/>
                <w:szCs w:val="16"/>
              </w:rPr>
              <w:t>0</w:t>
            </w:r>
          </w:p>
        </w:tc>
        <w:tc>
          <w:tcPr>
            <w:tcW w:w="870" w:type="pct"/>
            <w:tcBorders>
              <w:top w:val="nil"/>
              <w:left w:val="nil"/>
              <w:bottom w:val="nil"/>
              <w:right w:val="nil"/>
            </w:tcBorders>
            <w:vAlign w:val="center"/>
          </w:tcPr>
          <w:p w14:paraId="3AF406E1" w14:textId="7933FA3C" w:rsidR="003233F5" w:rsidRPr="008D21F0" w:rsidRDefault="003233F5" w:rsidP="00670EF5">
            <w:pPr>
              <w:spacing w:after="120"/>
              <w:jc w:val="right"/>
              <w:rPr>
                <w:rFonts w:ascii="Calibri" w:hAnsi="Calibri" w:cs="Calibri"/>
                <w:color w:val="000000"/>
                <w:sz w:val="16"/>
                <w:szCs w:val="16"/>
              </w:rPr>
            </w:pPr>
            <w:r w:rsidRPr="008D21F0">
              <w:rPr>
                <w:rFonts w:ascii="Calibri" w:hAnsi="Calibri" w:cs="Calibri"/>
                <w:color w:val="000000"/>
                <w:sz w:val="16"/>
                <w:szCs w:val="16"/>
              </w:rPr>
              <w:t>121.593</w:t>
            </w:r>
          </w:p>
        </w:tc>
      </w:tr>
      <w:tr w:rsidR="00CB5F5B" w:rsidRPr="008D21F0" w14:paraId="1CADE279" w14:textId="77777777" w:rsidTr="00670EF5">
        <w:trPr>
          <w:trHeight w:hRule="exact" w:val="227"/>
        </w:trPr>
        <w:tc>
          <w:tcPr>
            <w:tcW w:w="1116" w:type="pct"/>
            <w:tcBorders>
              <w:top w:val="nil"/>
              <w:left w:val="nil"/>
              <w:bottom w:val="nil"/>
              <w:right w:val="nil"/>
            </w:tcBorders>
            <w:shd w:val="clear" w:color="auto" w:fill="auto"/>
            <w:noWrap/>
            <w:vAlign w:val="center"/>
          </w:tcPr>
          <w:p w14:paraId="70ABB8E1" w14:textId="7607BF29" w:rsidR="00CB5F5B" w:rsidRPr="008D21F0" w:rsidRDefault="00CB5F5B" w:rsidP="00670EF5">
            <w:pPr>
              <w:spacing w:after="120"/>
              <w:rPr>
                <w:rFonts w:ascii="Calibri" w:hAnsi="Calibri" w:cs="Calibri"/>
                <w:color w:val="000000"/>
                <w:sz w:val="16"/>
                <w:szCs w:val="16"/>
              </w:rPr>
            </w:pPr>
            <w:r w:rsidRPr="00CB5F5B">
              <w:rPr>
                <w:rFonts w:ascii="Calibri" w:hAnsi="Calibri" w:cs="Calibri"/>
                <w:color w:val="000000"/>
                <w:sz w:val="16"/>
                <w:szCs w:val="16"/>
              </w:rPr>
              <w:t xml:space="preserve">Transferência </w:t>
            </w:r>
            <w:r>
              <w:rPr>
                <w:rFonts w:ascii="Calibri" w:hAnsi="Calibri" w:cs="Calibri"/>
                <w:color w:val="000000"/>
                <w:sz w:val="16"/>
                <w:szCs w:val="16"/>
              </w:rPr>
              <w:t>para o</w:t>
            </w:r>
            <w:r w:rsidRPr="00CB5F5B">
              <w:rPr>
                <w:rFonts w:ascii="Calibri" w:hAnsi="Calibri" w:cs="Calibri"/>
                <w:color w:val="000000"/>
                <w:sz w:val="16"/>
                <w:szCs w:val="16"/>
              </w:rPr>
              <w:t xml:space="preserve"> Circulante</w:t>
            </w:r>
          </w:p>
        </w:tc>
        <w:tc>
          <w:tcPr>
            <w:tcW w:w="2133" w:type="pct"/>
            <w:tcBorders>
              <w:top w:val="nil"/>
              <w:left w:val="nil"/>
              <w:bottom w:val="nil"/>
              <w:right w:val="nil"/>
            </w:tcBorders>
            <w:shd w:val="clear" w:color="auto" w:fill="auto"/>
            <w:noWrap/>
            <w:vAlign w:val="center"/>
          </w:tcPr>
          <w:p w14:paraId="06E091E4" w14:textId="77777777" w:rsidR="00CB5F5B" w:rsidRPr="008D21F0" w:rsidRDefault="00CB5F5B" w:rsidP="00670EF5">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70499EEF" w14:textId="351DA9BB" w:rsidR="00CB5F5B" w:rsidRDefault="00CB5F5B" w:rsidP="00670EF5">
            <w:pPr>
              <w:spacing w:after="120"/>
              <w:jc w:val="right"/>
              <w:rPr>
                <w:rFonts w:ascii="Calibri" w:hAnsi="Calibri" w:cs="Calibri"/>
                <w:color w:val="000000"/>
                <w:sz w:val="16"/>
                <w:szCs w:val="16"/>
              </w:rPr>
            </w:pPr>
            <w:r>
              <w:rPr>
                <w:rFonts w:ascii="Calibri" w:hAnsi="Calibri" w:cs="Calibri"/>
                <w:color w:val="000000"/>
                <w:sz w:val="16"/>
                <w:szCs w:val="16"/>
              </w:rPr>
              <w:t>(</w:t>
            </w:r>
            <w:r>
              <w:rPr>
                <w:rFonts w:asciiTheme="minorHAnsi" w:hAnsiTheme="minorHAnsi" w:cstheme="minorHAnsi"/>
                <w:color w:val="000000"/>
                <w:sz w:val="16"/>
                <w:szCs w:val="16"/>
              </w:rPr>
              <w:t>128.280)</w:t>
            </w:r>
          </w:p>
        </w:tc>
        <w:tc>
          <w:tcPr>
            <w:tcW w:w="870" w:type="pct"/>
            <w:tcBorders>
              <w:top w:val="nil"/>
              <w:left w:val="nil"/>
              <w:bottom w:val="nil"/>
              <w:right w:val="nil"/>
            </w:tcBorders>
            <w:vAlign w:val="center"/>
          </w:tcPr>
          <w:p w14:paraId="53631F20" w14:textId="77777777" w:rsidR="00CB5F5B" w:rsidRPr="008D21F0" w:rsidRDefault="00CB5F5B" w:rsidP="00670EF5">
            <w:pPr>
              <w:spacing w:after="120"/>
              <w:jc w:val="right"/>
              <w:rPr>
                <w:rFonts w:ascii="Calibri" w:hAnsi="Calibri" w:cs="Calibri"/>
                <w:color w:val="000000"/>
                <w:sz w:val="16"/>
                <w:szCs w:val="16"/>
              </w:rPr>
            </w:pPr>
          </w:p>
        </w:tc>
      </w:tr>
      <w:tr w:rsidR="003233F5" w:rsidRPr="008D21F0" w14:paraId="48D500C9" w14:textId="77777777" w:rsidTr="00670EF5">
        <w:trPr>
          <w:trHeight w:hRule="exact" w:val="227"/>
        </w:trPr>
        <w:tc>
          <w:tcPr>
            <w:tcW w:w="1116" w:type="pct"/>
            <w:tcBorders>
              <w:top w:val="nil"/>
              <w:left w:val="nil"/>
              <w:bottom w:val="nil"/>
              <w:right w:val="nil"/>
            </w:tcBorders>
            <w:shd w:val="clear" w:color="auto" w:fill="auto"/>
            <w:noWrap/>
            <w:vAlign w:val="center"/>
            <w:hideMark/>
          </w:tcPr>
          <w:p w14:paraId="5197570E" w14:textId="77777777" w:rsidR="003233F5" w:rsidRPr="008D21F0" w:rsidRDefault="003233F5" w:rsidP="00670EF5">
            <w:pPr>
              <w:spacing w:after="120"/>
              <w:rPr>
                <w:rFonts w:ascii="Calibri" w:hAnsi="Calibri" w:cs="Calibri"/>
                <w:color w:val="000000"/>
                <w:sz w:val="16"/>
                <w:szCs w:val="16"/>
              </w:rPr>
            </w:pPr>
            <w:r w:rsidRPr="008D21F0">
              <w:rPr>
                <w:rFonts w:ascii="Calibri" w:hAnsi="Calibri" w:cs="Calibri"/>
                <w:color w:val="000000"/>
                <w:sz w:val="16"/>
                <w:szCs w:val="16"/>
              </w:rPr>
              <w:t>Atualização Monetária</w:t>
            </w:r>
          </w:p>
        </w:tc>
        <w:tc>
          <w:tcPr>
            <w:tcW w:w="2133" w:type="pct"/>
            <w:tcBorders>
              <w:top w:val="nil"/>
              <w:left w:val="nil"/>
              <w:bottom w:val="nil"/>
              <w:right w:val="nil"/>
            </w:tcBorders>
            <w:shd w:val="clear" w:color="auto" w:fill="auto"/>
            <w:noWrap/>
            <w:vAlign w:val="center"/>
          </w:tcPr>
          <w:p w14:paraId="35F3A275" w14:textId="77777777" w:rsidR="003233F5" w:rsidRPr="008D21F0" w:rsidRDefault="003233F5" w:rsidP="00670EF5">
            <w:pPr>
              <w:spacing w:after="120"/>
              <w:jc w:val="right"/>
              <w:rPr>
                <w:rFonts w:ascii="Calibri" w:hAnsi="Calibri" w:cs="Calibri"/>
                <w:color w:val="000000"/>
                <w:sz w:val="16"/>
                <w:szCs w:val="16"/>
              </w:rPr>
            </w:pPr>
          </w:p>
        </w:tc>
        <w:tc>
          <w:tcPr>
            <w:tcW w:w="880" w:type="pct"/>
            <w:tcBorders>
              <w:top w:val="nil"/>
              <w:left w:val="nil"/>
              <w:bottom w:val="nil"/>
              <w:right w:val="nil"/>
            </w:tcBorders>
            <w:shd w:val="clear" w:color="auto" w:fill="auto"/>
            <w:vAlign w:val="center"/>
          </w:tcPr>
          <w:p w14:paraId="5EAC2B55" w14:textId="69C10AD9" w:rsidR="003233F5" w:rsidRPr="008D21F0" w:rsidRDefault="007B5325" w:rsidP="00670EF5">
            <w:pPr>
              <w:spacing w:after="120"/>
              <w:jc w:val="right"/>
              <w:rPr>
                <w:rFonts w:ascii="Calibri" w:hAnsi="Calibri" w:cs="Calibri"/>
                <w:color w:val="000000"/>
                <w:sz w:val="16"/>
                <w:szCs w:val="16"/>
              </w:rPr>
            </w:pPr>
            <w:r>
              <w:rPr>
                <w:rFonts w:ascii="Calibri" w:hAnsi="Calibri" w:cs="Calibri"/>
                <w:color w:val="000000"/>
                <w:sz w:val="16"/>
                <w:szCs w:val="16"/>
              </w:rPr>
              <w:t>5.06</w:t>
            </w:r>
            <w:r w:rsidR="006C3AB1">
              <w:rPr>
                <w:rFonts w:ascii="Calibri" w:hAnsi="Calibri" w:cs="Calibri"/>
                <w:color w:val="000000"/>
                <w:sz w:val="16"/>
                <w:szCs w:val="16"/>
              </w:rPr>
              <w:t>1</w:t>
            </w:r>
          </w:p>
        </w:tc>
        <w:tc>
          <w:tcPr>
            <w:tcW w:w="870" w:type="pct"/>
            <w:tcBorders>
              <w:top w:val="nil"/>
              <w:left w:val="nil"/>
              <w:bottom w:val="nil"/>
              <w:right w:val="nil"/>
            </w:tcBorders>
            <w:vAlign w:val="center"/>
          </w:tcPr>
          <w:p w14:paraId="0E074B00" w14:textId="51EDBBBA" w:rsidR="003233F5" w:rsidRPr="008D21F0" w:rsidRDefault="003233F5" w:rsidP="00670EF5">
            <w:pPr>
              <w:spacing w:after="120"/>
              <w:jc w:val="right"/>
              <w:rPr>
                <w:rFonts w:ascii="Calibri" w:hAnsi="Calibri" w:cs="Calibri"/>
                <w:color w:val="000000"/>
                <w:sz w:val="16"/>
                <w:szCs w:val="16"/>
              </w:rPr>
            </w:pPr>
            <w:r w:rsidRPr="008D21F0">
              <w:rPr>
                <w:rFonts w:ascii="Calibri" w:hAnsi="Calibri" w:cs="Calibri"/>
                <w:color w:val="000000"/>
                <w:sz w:val="16"/>
                <w:szCs w:val="16"/>
              </w:rPr>
              <w:t>0</w:t>
            </w:r>
          </w:p>
        </w:tc>
      </w:tr>
      <w:tr w:rsidR="003233F5" w:rsidRPr="008D21F0" w14:paraId="79C9F314" w14:textId="77777777" w:rsidTr="00670EF5">
        <w:trPr>
          <w:trHeight w:hRule="exact" w:val="227"/>
        </w:trPr>
        <w:tc>
          <w:tcPr>
            <w:tcW w:w="1116" w:type="pct"/>
            <w:tcBorders>
              <w:top w:val="single" w:sz="8" w:space="0" w:color="auto"/>
              <w:left w:val="nil"/>
              <w:bottom w:val="single" w:sz="8" w:space="0" w:color="auto"/>
              <w:right w:val="nil"/>
            </w:tcBorders>
            <w:shd w:val="clear" w:color="auto" w:fill="auto"/>
            <w:noWrap/>
            <w:vAlign w:val="center"/>
            <w:hideMark/>
          </w:tcPr>
          <w:p w14:paraId="2E8C0B4B" w14:textId="3BB37166" w:rsidR="003233F5" w:rsidRPr="008D21F0" w:rsidRDefault="003233F5" w:rsidP="00670EF5">
            <w:pPr>
              <w:spacing w:after="120"/>
              <w:rPr>
                <w:rFonts w:ascii="Calibri" w:hAnsi="Calibri" w:cs="Calibri"/>
                <w:b/>
                <w:bCs/>
                <w:color w:val="000000"/>
                <w:sz w:val="16"/>
                <w:szCs w:val="16"/>
              </w:rPr>
            </w:pPr>
            <w:r w:rsidRPr="008D21F0">
              <w:rPr>
                <w:rFonts w:ascii="Calibri" w:hAnsi="Calibri" w:cs="Calibri"/>
                <w:b/>
                <w:bCs/>
                <w:color w:val="000000"/>
                <w:sz w:val="16"/>
                <w:szCs w:val="16"/>
              </w:rPr>
              <w:t xml:space="preserve">SALDO </w:t>
            </w:r>
          </w:p>
        </w:tc>
        <w:tc>
          <w:tcPr>
            <w:tcW w:w="2133" w:type="pct"/>
            <w:tcBorders>
              <w:top w:val="single" w:sz="8" w:space="0" w:color="auto"/>
              <w:left w:val="nil"/>
              <w:bottom w:val="single" w:sz="8" w:space="0" w:color="auto"/>
              <w:right w:val="nil"/>
            </w:tcBorders>
            <w:shd w:val="clear" w:color="auto" w:fill="auto"/>
            <w:noWrap/>
            <w:vAlign w:val="center"/>
          </w:tcPr>
          <w:p w14:paraId="4D9A01C7" w14:textId="77777777" w:rsidR="003233F5" w:rsidRPr="008D21F0" w:rsidRDefault="003233F5" w:rsidP="00670EF5">
            <w:pPr>
              <w:spacing w:after="120"/>
              <w:jc w:val="right"/>
              <w:rPr>
                <w:rFonts w:ascii="Calibri" w:hAnsi="Calibri" w:cs="Calibri"/>
                <w:b/>
                <w:bCs/>
                <w:color w:val="000000"/>
                <w:sz w:val="16"/>
                <w:szCs w:val="16"/>
              </w:rPr>
            </w:pPr>
          </w:p>
        </w:tc>
        <w:tc>
          <w:tcPr>
            <w:tcW w:w="880" w:type="pct"/>
            <w:tcBorders>
              <w:top w:val="single" w:sz="8" w:space="0" w:color="auto"/>
              <w:left w:val="nil"/>
              <w:bottom w:val="single" w:sz="8" w:space="0" w:color="auto"/>
              <w:right w:val="nil"/>
            </w:tcBorders>
            <w:shd w:val="clear" w:color="auto" w:fill="auto"/>
            <w:vAlign w:val="center"/>
          </w:tcPr>
          <w:p w14:paraId="28431EB7" w14:textId="3AD035BE" w:rsidR="003233F5" w:rsidRPr="008D21F0" w:rsidRDefault="00CB5F5B" w:rsidP="00670EF5">
            <w:pPr>
              <w:spacing w:after="120"/>
              <w:jc w:val="right"/>
              <w:rPr>
                <w:rFonts w:ascii="Calibri" w:hAnsi="Calibri" w:cs="Calibri"/>
                <w:b/>
                <w:bCs/>
                <w:color w:val="000000"/>
                <w:sz w:val="16"/>
                <w:szCs w:val="16"/>
              </w:rPr>
            </w:pPr>
            <w:r>
              <w:rPr>
                <w:rFonts w:ascii="Calibri" w:hAnsi="Calibri" w:cs="Calibri"/>
                <w:b/>
                <w:bCs/>
                <w:color w:val="000000"/>
                <w:sz w:val="16"/>
                <w:szCs w:val="16"/>
              </w:rPr>
              <w:t>0</w:t>
            </w:r>
          </w:p>
        </w:tc>
        <w:tc>
          <w:tcPr>
            <w:tcW w:w="870" w:type="pct"/>
            <w:tcBorders>
              <w:top w:val="single" w:sz="8" w:space="0" w:color="auto"/>
              <w:left w:val="nil"/>
              <w:bottom w:val="single" w:sz="8" w:space="0" w:color="auto"/>
              <w:right w:val="nil"/>
            </w:tcBorders>
            <w:vAlign w:val="center"/>
          </w:tcPr>
          <w:p w14:paraId="31FE09C7" w14:textId="0ED8379D" w:rsidR="003233F5" w:rsidRPr="008D21F0" w:rsidRDefault="003233F5" w:rsidP="00670EF5">
            <w:pPr>
              <w:spacing w:after="120"/>
              <w:jc w:val="right"/>
              <w:rPr>
                <w:rFonts w:ascii="Calibri" w:hAnsi="Calibri" w:cs="Calibri"/>
                <w:b/>
                <w:bCs/>
                <w:color w:val="000000"/>
                <w:sz w:val="16"/>
                <w:szCs w:val="16"/>
              </w:rPr>
            </w:pPr>
            <w:r w:rsidRPr="008D21F0">
              <w:rPr>
                <w:rFonts w:ascii="Calibri" w:hAnsi="Calibri" w:cs="Calibri"/>
                <w:b/>
                <w:bCs/>
                <w:color w:val="000000"/>
                <w:sz w:val="16"/>
                <w:szCs w:val="16"/>
              </w:rPr>
              <w:t>121.593</w:t>
            </w:r>
          </w:p>
        </w:tc>
      </w:tr>
    </w:tbl>
    <w:p w14:paraId="54AB6C61" w14:textId="5116FA1B" w:rsidR="00783590" w:rsidRPr="008D21F0" w:rsidRDefault="00D22F5E" w:rsidP="000B3A75">
      <w:pPr>
        <w:pStyle w:val="Ttulo4"/>
        <w:tabs>
          <w:tab w:val="left" w:pos="0"/>
        </w:tabs>
        <w:spacing w:before="120" w:after="120" w:line="240" w:lineRule="auto"/>
        <w:rPr>
          <w:rFonts w:ascii="Calibri" w:hAnsi="Calibri" w:cs="Calibri"/>
          <w:bCs w:val="0"/>
          <w:sz w:val="22"/>
          <w:szCs w:val="22"/>
        </w:rPr>
      </w:pPr>
      <w:r w:rsidRPr="008D21F0">
        <w:rPr>
          <w:rFonts w:ascii="Calibri" w:hAnsi="Calibri" w:cs="Calibri"/>
          <w:bCs w:val="0"/>
          <w:sz w:val="22"/>
          <w:szCs w:val="22"/>
        </w:rPr>
        <w:t>NOTA 1</w:t>
      </w:r>
      <w:r w:rsidR="00381C85">
        <w:rPr>
          <w:rFonts w:ascii="Calibri" w:hAnsi="Calibri" w:cs="Calibri"/>
          <w:bCs w:val="0"/>
          <w:sz w:val="22"/>
          <w:szCs w:val="22"/>
        </w:rPr>
        <w:t>4</w:t>
      </w:r>
      <w:r w:rsidRPr="008D21F0">
        <w:rPr>
          <w:rFonts w:ascii="Calibri" w:hAnsi="Calibri" w:cs="Calibri"/>
          <w:bCs w:val="0"/>
          <w:sz w:val="22"/>
          <w:szCs w:val="22"/>
        </w:rPr>
        <w:t xml:space="preserve"> </w:t>
      </w:r>
      <w:r w:rsidR="00740478" w:rsidRPr="008D21F0">
        <w:rPr>
          <w:rFonts w:ascii="Calibri" w:hAnsi="Calibri" w:cs="Calibri"/>
          <w:bCs w:val="0"/>
          <w:sz w:val="22"/>
          <w:szCs w:val="22"/>
        </w:rPr>
        <w:t xml:space="preserve">– </w:t>
      </w:r>
      <w:r w:rsidR="00AB1E5E" w:rsidRPr="008D21F0">
        <w:rPr>
          <w:rFonts w:ascii="Calibri" w:hAnsi="Calibri" w:cs="Calibri"/>
          <w:bCs w:val="0"/>
          <w:sz w:val="22"/>
          <w:szCs w:val="22"/>
        </w:rPr>
        <w:t>RECEITA A DIFERIR</w:t>
      </w:r>
    </w:p>
    <w:p w14:paraId="18122557" w14:textId="6A77E413" w:rsidR="00E75123" w:rsidRPr="008D21F0" w:rsidRDefault="00E75123" w:rsidP="00937ED9">
      <w:pPr>
        <w:pStyle w:val="PargrafodaLista"/>
        <w:numPr>
          <w:ilvl w:val="0"/>
          <w:numId w:val="39"/>
        </w:numPr>
        <w:spacing w:after="120"/>
        <w:ind w:left="284" w:right="57" w:hanging="284"/>
        <w:jc w:val="both"/>
        <w:rPr>
          <w:rFonts w:ascii="Calibri" w:hAnsi="Calibri" w:cs="Calibri"/>
          <w:b/>
          <w:bCs/>
          <w:sz w:val="22"/>
          <w:szCs w:val="22"/>
        </w:rPr>
      </w:pPr>
      <w:r w:rsidRPr="008D21F0">
        <w:rPr>
          <w:rFonts w:ascii="Calibri" w:hAnsi="Calibri" w:cs="Calibri"/>
          <w:b/>
          <w:bCs/>
          <w:sz w:val="22"/>
          <w:szCs w:val="22"/>
        </w:rPr>
        <w:t>Receita a Diferir – Pátios e Terminais</w:t>
      </w:r>
    </w:p>
    <w:p w14:paraId="4F699BEE" w14:textId="70162C56" w:rsidR="00526F70" w:rsidRPr="008D21F0" w:rsidRDefault="00783590" w:rsidP="00937ED9">
      <w:pPr>
        <w:spacing w:after="120"/>
        <w:ind w:right="57"/>
        <w:jc w:val="both"/>
        <w:rPr>
          <w:rFonts w:ascii="Calibri" w:hAnsi="Calibri" w:cs="Calibri"/>
          <w:sz w:val="22"/>
          <w:szCs w:val="22"/>
        </w:rPr>
      </w:pPr>
      <w:r w:rsidRPr="008D21F0">
        <w:rPr>
          <w:rFonts w:ascii="Calibri" w:hAnsi="Calibri" w:cs="Calibri"/>
          <w:sz w:val="22"/>
          <w:szCs w:val="22"/>
        </w:rPr>
        <w:t xml:space="preserve">A conta </w:t>
      </w:r>
      <w:r w:rsidR="00AB1E5E" w:rsidRPr="008D21F0">
        <w:rPr>
          <w:rFonts w:ascii="Calibri" w:hAnsi="Calibri" w:cs="Calibri"/>
          <w:sz w:val="22"/>
          <w:szCs w:val="22"/>
        </w:rPr>
        <w:t>Receita a Diferir – Pátios e Terminais</w:t>
      </w:r>
      <w:r w:rsidRPr="008D21F0">
        <w:rPr>
          <w:rFonts w:ascii="Calibri" w:hAnsi="Calibri" w:cs="Calibri"/>
          <w:sz w:val="22"/>
          <w:szCs w:val="22"/>
        </w:rPr>
        <w:t xml:space="preserve"> expressa os valores </w:t>
      </w:r>
      <w:r w:rsidR="00AB1E5E" w:rsidRPr="008D21F0">
        <w:rPr>
          <w:rFonts w:ascii="Calibri" w:hAnsi="Calibri" w:cs="Calibri"/>
          <w:sz w:val="22"/>
          <w:szCs w:val="22"/>
        </w:rPr>
        <w:t>contratados</w:t>
      </w:r>
      <w:r w:rsidRPr="008D21F0">
        <w:rPr>
          <w:rFonts w:ascii="Calibri" w:hAnsi="Calibri" w:cs="Calibri"/>
          <w:sz w:val="22"/>
          <w:szCs w:val="22"/>
        </w:rPr>
        <w:t xml:space="preserve">, conforme contratos de Permissão </w:t>
      </w:r>
      <w:r w:rsidR="006E3EE4" w:rsidRPr="008D21F0">
        <w:rPr>
          <w:rFonts w:ascii="Calibri" w:hAnsi="Calibri" w:cs="Calibri"/>
          <w:sz w:val="22"/>
          <w:szCs w:val="22"/>
        </w:rPr>
        <w:t>para</w:t>
      </w:r>
      <w:r w:rsidRPr="008D21F0">
        <w:rPr>
          <w:rFonts w:ascii="Calibri" w:hAnsi="Calibri" w:cs="Calibri"/>
          <w:sz w:val="22"/>
          <w:szCs w:val="22"/>
        </w:rPr>
        <w:t xml:space="preserve"> Uso dos Pátios </w:t>
      </w:r>
      <w:r w:rsidR="00AB1E5E" w:rsidRPr="008D21F0">
        <w:rPr>
          <w:rFonts w:ascii="Calibri" w:hAnsi="Calibri" w:cs="Calibri"/>
          <w:sz w:val="22"/>
          <w:szCs w:val="22"/>
        </w:rPr>
        <w:t xml:space="preserve">e Terminais </w:t>
      </w:r>
      <w:r w:rsidRPr="008D21F0">
        <w:rPr>
          <w:rFonts w:ascii="Calibri" w:hAnsi="Calibri" w:cs="Calibri"/>
          <w:sz w:val="22"/>
          <w:szCs w:val="22"/>
        </w:rPr>
        <w:t xml:space="preserve">da </w:t>
      </w:r>
      <w:r w:rsidR="00D60F6A">
        <w:rPr>
          <w:rFonts w:ascii="Calibri" w:hAnsi="Calibri" w:cs="Calibri"/>
          <w:sz w:val="22"/>
          <w:szCs w:val="22"/>
        </w:rPr>
        <w:t>Infra</w:t>
      </w:r>
      <w:r w:rsidR="00B406C5">
        <w:rPr>
          <w:rFonts w:ascii="Calibri" w:hAnsi="Calibri" w:cs="Calibri"/>
          <w:sz w:val="22"/>
          <w:szCs w:val="22"/>
        </w:rPr>
        <w:t xml:space="preserve"> S.A.</w:t>
      </w:r>
      <w:r w:rsidRPr="008D21F0">
        <w:rPr>
          <w:rFonts w:ascii="Calibri" w:hAnsi="Calibri" w:cs="Calibri"/>
          <w:sz w:val="22"/>
          <w:szCs w:val="22"/>
        </w:rPr>
        <w:t xml:space="preserve"> Como são de longo prazo (15 anos), em atendimento ao regime de competência, os </w:t>
      </w:r>
      <w:r w:rsidR="00AB1E5E" w:rsidRPr="008D21F0">
        <w:rPr>
          <w:rFonts w:ascii="Calibri" w:hAnsi="Calibri" w:cs="Calibri"/>
          <w:sz w:val="22"/>
          <w:szCs w:val="22"/>
        </w:rPr>
        <w:t>contratos</w:t>
      </w:r>
      <w:r w:rsidRPr="008D21F0">
        <w:rPr>
          <w:rFonts w:ascii="Calibri" w:hAnsi="Calibri" w:cs="Calibri"/>
          <w:sz w:val="22"/>
          <w:szCs w:val="22"/>
        </w:rPr>
        <w:t xml:space="preserve"> são </w:t>
      </w:r>
      <w:r w:rsidR="00AB1E5E" w:rsidRPr="008D21F0">
        <w:rPr>
          <w:rFonts w:ascii="Calibri" w:hAnsi="Calibri" w:cs="Calibri"/>
          <w:sz w:val="22"/>
          <w:szCs w:val="22"/>
        </w:rPr>
        <w:t>reconhecidos</w:t>
      </w:r>
      <w:r w:rsidRPr="008D21F0">
        <w:rPr>
          <w:rFonts w:ascii="Calibri" w:hAnsi="Calibri" w:cs="Calibri"/>
          <w:sz w:val="22"/>
          <w:szCs w:val="22"/>
        </w:rPr>
        <w:t xml:space="preserve"> como </w:t>
      </w:r>
      <w:r w:rsidR="00AB1E5E" w:rsidRPr="008D21F0">
        <w:rPr>
          <w:rFonts w:ascii="Calibri" w:hAnsi="Calibri" w:cs="Calibri"/>
          <w:sz w:val="22"/>
          <w:szCs w:val="22"/>
        </w:rPr>
        <w:t>Receita a Diferir,</w:t>
      </w:r>
      <w:r w:rsidRPr="008D21F0">
        <w:rPr>
          <w:rFonts w:ascii="Calibri" w:hAnsi="Calibri" w:cs="Calibri"/>
          <w:sz w:val="22"/>
          <w:szCs w:val="22"/>
        </w:rPr>
        <w:t xml:space="preserve"> no passivo</w:t>
      </w:r>
      <w:r w:rsidR="00AB1E5E" w:rsidRPr="008D21F0">
        <w:rPr>
          <w:rFonts w:ascii="Calibri" w:hAnsi="Calibri" w:cs="Calibri"/>
          <w:sz w:val="22"/>
          <w:szCs w:val="22"/>
        </w:rPr>
        <w:t>,</w:t>
      </w:r>
      <w:r w:rsidRPr="008D21F0">
        <w:rPr>
          <w:rFonts w:ascii="Calibri" w:hAnsi="Calibri" w:cs="Calibri"/>
          <w:sz w:val="22"/>
          <w:szCs w:val="22"/>
        </w:rPr>
        <w:t xml:space="preserve"> para </w:t>
      </w:r>
      <w:r w:rsidR="00AB1E5E" w:rsidRPr="008D21F0">
        <w:rPr>
          <w:rFonts w:ascii="Calibri" w:hAnsi="Calibri" w:cs="Calibri"/>
          <w:sz w:val="22"/>
          <w:szCs w:val="22"/>
        </w:rPr>
        <w:t>diferimento</w:t>
      </w:r>
      <w:r w:rsidRPr="008D21F0">
        <w:rPr>
          <w:rFonts w:ascii="Calibri" w:hAnsi="Calibri" w:cs="Calibri"/>
          <w:sz w:val="22"/>
          <w:szCs w:val="22"/>
        </w:rPr>
        <w:t xml:space="preserve"> mensal no resultado (receita operacional) conforme o prazo contratual. </w:t>
      </w:r>
    </w:p>
    <w:p w14:paraId="71EA49C2" w14:textId="19A7B6C5" w:rsidR="00D24F65" w:rsidRDefault="00D24F65" w:rsidP="00937ED9">
      <w:pPr>
        <w:spacing w:after="120"/>
        <w:ind w:right="57"/>
        <w:jc w:val="both"/>
        <w:rPr>
          <w:rFonts w:ascii="Calibri" w:hAnsi="Calibri" w:cs="Calibri"/>
          <w:sz w:val="22"/>
          <w:szCs w:val="22"/>
        </w:rPr>
      </w:pPr>
      <w:r>
        <w:rPr>
          <w:rFonts w:ascii="Calibri" w:hAnsi="Calibri" w:cs="Calibri"/>
          <w:sz w:val="22"/>
          <w:szCs w:val="22"/>
        </w:rPr>
        <w:t xml:space="preserve">Até o </w:t>
      </w:r>
      <w:r w:rsidR="00092CCD">
        <w:rPr>
          <w:rFonts w:ascii="Calibri" w:hAnsi="Calibri" w:cs="Calibri"/>
          <w:sz w:val="22"/>
          <w:szCs w:val="22"/>
        </w:rPr>
        <w:t>3</w:t>
      </w:r>
      <w:r w:rsidR="008C43E7">
        <w:rPr>
          <w:rFonts w:ascii="Calibri" w:hAnsi="Calibri" w:cs="Calibri"/>
          <w:sz w:val="22"/>
          <w:szCs w:val="22"/>
        </w:rPr>
        <w:t>º trimestre de 2022</w:t>
      </w:r>
      <w:r w:rsidR="003364DA" w:rsidRPr="008D21F0">
        <w:rPr>
          <w:rFonts w:ascii="Calibri" w:hAnsi="Calibri" w:cs="Calibri"/>
          <w:sz w:val="22"/>
          <w:szCs w:val="22"/>
        </w:rPr>
        <w:t xml:space="preserve">, </w:t>
      </w:r>
      <w:r w:rsidR="00136016" w:rsidRPr="008D21F0">
        <w:rPr>
          <w:rFonts w:ascii="Calibri" w:hAnsi="Calibri" w:cs="Calibri"/>
          <w:sz w:val="22"/>
          <w:szCs w:val="22"/>
        </w:rPr>
        <w:t xml:space="preserve">as contas </w:t>
      </w:r>
      <w:r w:rsidR="00783590" w:rsidRPr="008D21F0">
        <w:rPr>
          <w:rFonts w:ascii="Calibri" w:hAnsi="Calibri" w:cs="Calibri"/>
          <w:sz w:val="22"/>
          <w:szCs w:val="22"/>
        </w:rPr>
        <w:t xml:space="preserve">de </w:t>
      </w:r>
      <w:r w:rsidR="00AB1E5E" w:rsidRPr="008D21F0">
        <w:rPr>
          <w:rFonts w:ascii="Calibri" w:hAnsi="Calibri" w:cs="Calibri"/>
          <w:sz w:val="22"/>
          <w:szCs w:val="22"/>
        </w:rPr>
        <w:t xml:space="preserve">Receita a Diferir – Pátios e Terminais, </w:t>
      </w:r>
      <w:r w:rsidR="00783590" w:rsidRPr="008D21F0">
        <w:rPr>
          <w:rFonts w:ascii="Calibri" w:hAnsi="Calibri" w:cs="Calibri"/>
          <w:sz w:val="22"/>
          <w:szCs w:val="22"/>
        </w:rPr>
        <w:t>de cu</w:t>
      </w:r>
      <w:r w:rsidR="00136016" w:rsidRPr="008D21F0">
        <w:rPr>
          <w:rFonts w:ascii="Calibri" w:hAnsi="Calibri" w:cs="Calibri"/>
          <w:sz w:val="22"/>
          <w:szCs w:val="22"/>
        </w:rPr>
        <w:t>rto e longo prazo</w:t>
      </w:r>
      <w:r w:rsidR="00AB1E5E" w:rsidRPr="008D21F0">
        <w:rPr>
          <w:rFonts w:ascii="Calibri" w:hAnsi="Calibri" w:cs="Calibri"/>
          <w:sz w:val="22"/>
          <w:szCs w:val="22"/>
        </w:rPr>
        <w:t>,</w:t>
      </w:r>
      <w:r w:rsidR="00136016" w:rsidRPr="008D21F0">
        <w:rPr>
          <w:rFonts w:ascii="Calibri" w:hAnsi="Calibri" w:cs="Calibri"/>
          <w:sz w:val="22"/>
          <w:szCs w:val="22"/>
        </w:rPr>
        <w:t xml:space="preserve"> apresentaram o</w:t>
      </w:r>
      <w:r w:rsidR="004706C7" w:rsidRPr="008D21F0">
        <w:rPr>
          <w:rFonts w:ascii="Calibri" w:hAnsi="Calibri" w:cs="Calibri"/>
          <w:sz w:val="22"/>
          <w:szCs w:val="22"/>
        </w:rPr>
        <w:t>s</w:t>
      </w:r>
      <w:r w:rsidR="00783590" w:rsidRPr="008D21F0">
        <w:rPr>
          <w:rFonts w:ascii="Calibri" w:hAnsi="Calibri" w:cs="Calibri"/>
          <w:sz w:val="22"/>
          <w:szCs w:val="22"/>
        </w:rPr>
        <w:t xml:space="preserve"> seguinte</w:t>
      </w:r>
      <w:r w:rsidR="004706C7" w:rsidRPr="008D21F0">
        <w:rPr>
          <w:rFonts w:ascii="Calibri" w:hAnsi="Calibri" w:cs="Calibri"/>
          <w:sz w:val="22"/>
          <w:szCs w:val="22"/>
        </w:rPr>
        <w:t>s</w:t>
      </w:r>
      <w:r w:rsidR="00783590" w:rsidRPr="008D21F0">
        <w:rPr>
          <w:rFonts w:ascii="Calibri" w:hAnsi="Calibri" w:cs="Calibri"/>
          <w:sz w:val="22"/>
          <w:szCs w:val="22"/>
        </w:rPr>
        <w:t xml:space="preserve"> </w:t>
      </w:r>
      <w:r w:rsidR="00AB1E5E" w:rsidRPr="008D21F0">
        <w:rPr>
          <w:rFonts w:ascii="Calibri" w:hAnsi="Calibri" w:cs="Calibri"/>
          <w:sz w:val="22"/>
          <w:szCs w:val="22"/>
        </w:rPr>
        <w:t>movimentos:</w:t>
      </w:r>
    </w:p>
    <w:p w14:paraId="521B50E6" w14:textId="7CFB5D45" w:rsidR="00683B08" w:rsidRDefault="00683B08" w:rsidP="00937ED9">
      <w:pPr>
        <w:spacing w:after="120"/>
        <w:ind w:right="57"/>
        <w:jc w:val="both"/>
        <w:rPr>
          <w:rFonts w:ascii="Calibri" w:hAnsi="Calibri" w:cs="Calibri"/>
          <w:sz w:val="22"/>
          <w:szCs w:val="22"/>
        </w:rPr>
      </w:pPr>
    </w:p>
    <w:p w14:paraId="5236187A" w14:textId="77777777" w:rsidR="00683B08" w:rsidRDefault="00683B08" w:rsidP="00937ED9">
      <w:pPr>
        <w:spacing w:after="120"/>
        <w:ind w:right="57"/>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5558"/>
        <w:gridCol w:w="2084"/>
        <w:gridCol w:w="1897"/>
        <w:gridCol w:w="928"/>
      </w:tblGrid>
      <w:tr w:rsidR="00925A0D" w:rsidRPr="008D21F0" w14:paraId="7ABD9A4D" w14:textId="77777777" w:rsidTr="004866D6">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4421DF89"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lastRenderedPageBreak/>
              <w:t xml:space="preserve">RECEITA A DIFERIR – PÁTIOS E TERMINAIS </w:t>
            </w:r>
          </w:p>
        </w:tc>
        <w:tc>
          <w:tcPr>
            <w:tcW w:w="559" w:type="pct"/>
            <w:tcBorders>
              <w:top w:val="single" w:sz="8" w:space="0" w:color="auto"/>
              <w:left w:val="nil"/>
              <w:bottom w:val="single" w:sz="8" w:space="0" w:color="auto"/>
              <w:right w:val="nil"/>
            </w:tcBorders>
            <w:shd w:val="clear" w:color="auto" w:fill="auto"/>
            <w:noWrap/>
            <w:vAlign w:val="center"/>
            <w:hideMark/>
          </w:tcPr>
          <w:p w14:paraId="628958FE" w14:textId="35EC43A5"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w:t>
            </w:r>
            <w:r w:rsidR="00D24F65">
              <w:rPr>
                <w:rFonts w:ascii="Calibri" w:hAnsi="Calibri" w:cs="Calibri"/>
                <w:b/>
                <w:bCs/>
                <w:color w:val="000000"/>
                <w:sz w:val="16"/>
                <w:szCs w:val="16"/>
              </w:rPr>
              <w:t>0</w:t>
            </w:r>
            <w:r w:rsidRPr="008D21F0">
              <w:rPr>
                <w:rFonts w:ascii="Calibri" w:hAnsi="Calibri" w:cs="Calibri"/>
                <w:b/>
                <w:bCs/>
                <w:color w:val="000000"/>
                <w:sz w:val="16"/>
                <w:szCs w:val="16"/>
              </w:rPr>
              <w:t>/</w:t>
            </w:r>
            <w:r w:rsidR="004866D6">
              <w:rPr>
                <w:rFonts w:ascii="Calibri" w:hAnsi="Calibri" w:cs="Calibri"/>
                <w:b/>
                <w:bCs/>
                <w:color w:val="000000"/>
                <w:sz w:val="16"/>
                <w:szCs w:val="16"/>
              </w:rPr>
              <w:t>0</w:t>
            </w:r>
            <w:r w:rsidR="00092CCD">
              <w:rPr>
                <w:rFonts w:ascii="Calibri" w:hAnsi="Calibri" w:cs="Calibri"/>
                <w:b/>
                <w:bCs/>
                <w:color w:val="000000"/>
                <w:sz w:val="16"/>
                <w:szCs w:val="16"/>
              </w:rPr>
              <w:t>9</w:t>
            </w:r>
            <w:r w:rsidRPr="008D21F0">
              <w:rPr>
                <w:rFonts w:ascii="Calibri" w:hAnsi="Calibri" w:cs="Calibri"/>
                <w:b/>
                <w:bCs/>
                <w:color w:val="000000"/>
                <w:sz w:val="16"/>
                <w:szCs w:val="16"/>
              </w:rPr>
              <w:t>/202</w:t>
            </w:r>
            <w:r w:rsidR="004866D6">
              <w:rPr>
                <w:rFonts w:ascii="Calibri" w:hAnsi="Calibri" w:cs="Calibri"/>
                <w:b/>
                <w:bCs/>
                <w:color w:val="000000"/>
                <w:sz w:val="16"/>
                <w:szCs w:val="16"/>
              </w:rPr>
              <w:t>2</w:t>
            </w:r>
          </w:p>
        </w:tc>
        <w:tc>
          <w:tcPr>
            <w:tcW w:w="559" w:type="pct"/>
            <w:tcBorders>
              <w:top w:val="single" w:sz="8" w:space="0" w:color="auto"/>
              <w:left w:val="nil"/>
              <w:bottom w:val="single" w:sz="8" w:space="0" w:color="auto"/>
              <w:right w:val="nil"/>
            </w:tcBorders>
            <w:shd w:val="clear" w:color="auto" w:fill="auto"/>
            <w:vAlign w:val="center"/>
            <w:hideMark/>
          </w:tcPr>
          <w:p w14:paraId="4A27FA64" w14:textId="318DE7F6"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31/12/202</w:t>
            </w:r>
            <w:r w:rsidR="004866D6">
              <w:rPr>
                <w:rFonts w:ascii="Calibri" w:hAnsi="Calibri" w:cs="Calibri"/>
                <w:b/>
                <w:bCs/>
                <w:color w:val="000000"/>
                <w:sz w:val="16"/>
                <w:szCs w:val="16"/>
              </w:rPr>
              <w:t>1</w:t>
            </w:r>
          </w:p>
        </w:tc>
      </w:tr>
      <w:tr w:rsidR="00925A0D" w:rsidRPr="008D21F0" w14:paraId="30102F53" w14:textId="77777777" w:rsidTr="004866D6">
        <w:trPr>
          <w:trHeight w:hRule="exact" w:val="300"/>
        </w:trPr>
        <w:tc>
          <w:tcPr>
            <w:tcW w:w="2771" w:type="pct"/>
            <w:tcBorders>
              <w:top w:val="nil"/>
              <w:left w:val="nil"/>
              <w:bottom w:val="nil"/>
              <w:right w:val="nil"/>
            </w:tcBorders>
            <w:shd w:val="clear" w:color="auto" w:fill="auto"/>
            <w:noWrap/>
            <w:vAlign w:val="center"/>
            <w:hideMark/>
          </w:tcPr>
          <w:p w14:paraId="56D58338" w14:textId="77777777" w:rsidR="00925A0D" w:rsidRPr="008D21F0" w:rsidRDefault="00925A0D">
            <w:pPr>
              <w:rPr>
                <w:rFonts w:ascii="Calibri" w:hAnsi="Calibri" w:cs="Calibri"/>
                <w:color w:val="000000"/>
                <w:sz w:val="16"/>
                <w:szCs w:val="16"/>
              </w:rPr>
            </w:pPr>
            <w:r w:rsidRPr="008D21F0">
              <w:rPr>
                <w:rFonts w:ascii="Calibri" w:hAnsi="Calibri" w:cs="Calibri"/>
                <w:color w:val="000000"/>
                <w:sz w:val="16"/>
                <w:szCs w:val="16"/>
              </w:rPr>
              <w:t xml:space="preserve">Saldo anterior </w:t>
            </w:r>
          </w:p>
        </w:tc>
        <w:tc>
          <w:tcPr>
            <w:tcW w:w="1111" w:type="pct"/>
            <w:tcBorders>
              <w:top w:val="nil"/>
              <w:left w:val="nil"/>
              <w:bottom w:val="nil"/>
              <w:right w:val="nil"/>
            </w:tcBorders>
            <w:shd w:val="clear" w:color="auto" w:fill="auto"/>
            <w:noWrap/>
            <w:vAlign w:val="center"/>
            <w:hideMark/>
          </w:tcPr>
          <w:p w14:paraId="5817CFF0" w14:textId="77777777" w:rsidR="00925A0D" w:rsidRPr="008D21F0" w:rsidRDefault="00925A0D">
            <w:pPr>
              <w:rPr>
                <w:rFonts w:ascii="Calibri" w:hAnsi="Calibri" w:cs="Calibri"/>
                <w:color w:val="000000"/>
                <w:sz w:val="16"/>
                <w:szCs w:val="16"/>
              </w:rPr>
            </w:pPr>
          </w:p>
        </w:tc>
        <w:tc>
          <w:tcPr>
            <w:tcW w:w="559" w:type="pct"/>
            <w:tcBorders>
              <w:top w:val="nil"/>
              <w:left w:val="nil"/>
              <w:bottom w:val="nil"/>
              <w:right w:val="nil"/>
            </w:tcBorders>
            <w:shd w:val="clear" w:color="auto" w:fill="auto"/>
            <w:noWrap/>
            <w:vAlign w:val="center"/>
            <w:hideMark/>
          </w:tcPr>
          <w:p w14:paraId="249106CD" w14:textId="6117FE84" w:rsidR="00925A0D" w:rsidRPr="008D21F0" w:rsidRDefault="004866D6">
            <w:pPr>
              <w:jc w:val="right"/>
              <w:rPr>
                <w:rFonts w:ascii="Calibri" w:hAnsi="Calibri" w:cs="Calibri"/>
                <w:color w:val="000000"/>
                <w:sz w:val="16"/>
                <w:szCs w:val="16"/>
              </w:rPr>
            </w:pPr>
            <w:r w:rsidRPr="008D21F0">
              <w:rPr>
                <w:rFonts w:ascii="Calibri" w:hAnsi="Calibri" w:cs="Calibri"/>
                <w:b/>
                <w:bCs/>
                <w:color w:val="000000"/>
                <w:sz w:val="16"/>
                <w:szCs w:val="16"/>
              </w:rPr>
              <w:t>36.363.102</w:t>
            </w:r>
          </w:p>
        </w:tc>
        <w:tc>
          <w:tcPr>
            <w:tcW w:w="559" w:type="pct"/>
            <w:tcBorders>
              <w:top w:val="nil"/>
              <w:left w:val="nil"/>
              <w:bottom w:val="nil"/>
              <w:right w:val="nil"/>
            </w:tcBorders>
            <w:shd w:val="clear" w:color="auto" w:fill="auto"/>
            <w:vAlign w:val="center"/>
            <w:hideMark/>
          </w:tcPr>
          <w:p w14:paraId="6ABEAD6D" w14:textId="3D30E4DE" w:rsidR="00925A0D" w:rsidRPr="008D21F0" w:rsidRDefault="004866D6">
            <w:pPr>
              <w:jc w:val="right"/>
              <w:rPr>
                <w:rFonts w:ascii="Calibri" w:hAnsi="Calibri" w:cs="Calibri"/>
                <w:color w:val="000000"/>
                <w:sz w:val="16"/>
                <w:szCs w:val="16"/>
              </w:rPr>
            </w:pPr>
            <w:r w:rsidRPr="008D21F0">
              <w:rPr>
                <w:rFonts w:ascii="Calibri" w:hAnsi="Calibri" w:cs="Calibri"/>
                <w:color w:val="000000"/>
                <w:sz w:val="16"/>
                <w:szCs w:val="16"/>
              </w:rPr>
              <w:t>25.642.834</w:t>
            </w:r>
          </w:p>
        </w:tc>
      </w:tr>
      <w:tr w:rsidR="004866D6" w:rsidRPr="008D21F0" w14:paraId="15DA8902" w14:textId="77777777" w:rsidTr="004866D6">
        <w:trPr>
          <w:trHeight w:hRule="exact" w:val="300"/>
        </w:trPr>
        <w:tc>
          <w:tcPr>
            <w:tcW w:w="2771" w:type="pct"/>
            <w:tcBorders>
              <w:top w:val="nil"/>
              <w:left w:val="nil"/>
              <w:bottom w:val="nil"/>
              <w:right w:val="nil"/>
            </w:tcBorders>
            <w:shd w:val="clear" w:color="auto" w:fill="auto"/>
            <w:noWrap/>
            <w:vAlign w:val="center"/>
            <w:hideMark/>
          </w:tcPr>
          <w:p w14:paraId="77F45F3C"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Novas permissões</w:t>
            </w:r>
          </w:p>
        </w:tc>
        <w:tc>
          <w:tcPr>
            <w:tcW w:w="1111" w:type="pct"/>
            <w:tcBorders>
              <w:top w:val="nil"/>
              <w:left w:val="nil"/>
              <w:bottom w:val="nil"/>
              <w:right w:val="nil"/>
            </w:tcBorders>
            <w:shd w:val="clear" w:color="auto" w:fill="auto"/>
            <w:noWrap/>
            <w:vAlign w:val="center"/>
            <w:hideMark/>
          </w:tcPr>
          <w:p w14:paraId="74F68A10" w14:textId="77777777" w:rsidR="004866D6" w:rsidRPr="008D21F0" w:rsidRDefault="004866D6" w:rsidP="004866D6">
            <w:pPr>
              <w:rPr>
                <w:rFonts w:ascii="Calibri" w:hAnsi="Calibri" w:cs="Calibri"/>
                <w:color w:val="000000"/>
                <w:sz w:val="16"/>
                <w:szCs w:val="16"/>
              </w:rPr>
            </w:pPr>
          </w:p>
        </w:tc>
        <w:tc>
          <w:tcPr>
            <w:tcW w:w="559" w:type="pct"/>
            <w:tcBorders>
              <w:top w:val="nil"/>
              <w:left w:val="nil"/>
              <w:bottom w:val="nil"/>
              <w:right w:val="nil"/>
            </w:tcBorders>
            <w:shd w:val="clear" w:color="auto" w:fill="auto"/>
            <w:noWrap/>
            <w:vAlign w:val="center"/>
            <w:hideMark/>
          </w:tcPr>
          <w:p w14:paraId="311B7F06" w14:textId="431D6CD2" w:rsidR="004866D6" w:rsidRPr="008D21F0" w:rsidRDefault="00FA66E4" w:rsidP="004866D6">
            <w:pPr>
              <w:jc w:val="right"/>
              <w:rPr>
                <w:rFonts w:ascii="Calibri" w:hAnsi="Calibri" w:cs="Calibri"/>
                <w:color w:val="000000"/>
                <w:sz w:val="16"/>
                <w:szCs w:val="16"/>
              </w:rPr>
            </w:pPr>
            <w:r>
              <w:rPr>
                <w:rFonts w:ascii="Calibri" w:hAnsi="Calibri" w:cs="Calibri"/>
                <w:color w:val="000000"/>
                <w:sz w:val="16"/>
                <w:szCs w:val="16"/>
              </w:rPr>
              <w:t>8.948.550</w:t>
            </w:r>
          </w:p>
        </w:tc>
        <w:tc>
          <w:tcPr>
            <w:tcW w:w="559" w:type="pct"/>
            <w:tcBorders>
              <w:top w:val="nil"/>
              <w:left w:val="nil"/>
              <w:bottom w:val="nil"/>
              <w:right w:val="nil"/>
            </w:tcBorders>
            <w:shd w:val="clear" w:color="auto" w:fill="auto"/>
            <w:vAlign w:val="center"/>
            <w:hideMark/>
          </w:tcPr>
          <w:p w14:paraId="06E4E2B9" w14:textId="47AB20A5" w:rsidR="004866D6" w:rsidRPr="008D21F0" w:rsidRDefault="004866D6" w:rsidP="004866D6">
            <w:pPr>
              <w:jc w:val="right"/>
              <w:rPr>
                <w:rFonts w:ascii="Calibri" w:hAnsi="Calibri" w:cs="Calibri"/>
                <w:color w:val="000000"/>
                <w:sz w:val="16"/>
                <w:szCs w:val="16"/>
              </w:rPr>
            </w:pPr>
            <w:r w:rsidRPr="008D21F0">
              <w:rPr>
                <w:rFonts w:ascii="Calibri" w:hAnsi="Calibri" w:cs="Calibri"/>
                <w:color w:val="000000"/>
                <w:sz w:val="16"/>
                <w:szCs w:val="16"/>
              </w:rPr>
              <w:t>13.410.002</w:t>
            </w:r>
          </w:p>
        </w:tc>
      </w:tr>
      <w:tr w:rsidR="004866D6" w:rsidRPr="008D21F0" w14:paraId="51E7431E" w14:textId="77777777" w:rsidTr="004866D6">
        <w:trPr>
          <w:trHeight w:hRule="exact" w:val="300"/>
        </w:trPr>
        <w:tc>
          <w:tcPr>
            <w:tcW w:w="2771" w:type="pct"/>
            <w:tcBorders>
              <w:top w:val="nil"/>
              <w:left w:val="nil"/>
              <w:bottom w:val="nil"/>
              <w:right w:val="nil"/>
            </w:tcBorders>
            <w:shd w:val="clear" w:color="auto" w:fill="auto"/>
            <w:noWrap/>
            <w:vAlign w:val="center"/>
            <w:hideMark/>
          </w:tcPr>
          <w:p w14:paraId="7BC6D53C" w14:textId="77777777" w:rsidR="004866D6" w:rsidRPr="008D21F0" w:rsidRDefault="004866D6" w:rsidP="004866D6">
            <w:pPr>
              <w:rPr>
                <w:rFonts w:ascii="Calibri" w:hAnsi="Calibri" w:cs="Calibri"/>
                <w:color w:val="000000"/>
                <w:sz w:val="16"/>
                <w:szCs w:val="16"/>
              </w:rPr>
            </w:pPr>
            <w:r w:rsidRPr="008D21F0">
              <w:rPr>
                <w:rFonts w:ascii="Calibri" w:hAnsi="Calibri" w:cs="Calibri"/>
                <w:color w:val="000000"/>
                <w:sz w:val="16"/>
                <w:szCs w:val="16"/>
              </w:rPr>
              <w:t>Reconhecimento da receita</w:t>
            </w:r>
          </w:p>
        </w:tc>
        <w:tc>
          <w:tcPr>
            <w:tcW w:w="1111" w:type="pct"/>
            <w:tcBorders>
              <w:top w:val="nil"/>
              <w:left w:val="nil"/>
              <w:bottom w:val="nil"/>
              <w:right w:val="nil"/>
            </w:tcBorders>
            <w:shd w:val="clear" w:color="auto" w:fill="auto"/>
            <w:noWrap/>
            <w:vAlign w:val="center"/>
            <w:hideMark/>
          </w:tcPr>
          <w:p w14:paraId="15EF51E4" w14:textId="77777777" w:rsidR="004866D6" w:rsidRPr="008D21F0" w:rsidRDefault="004866D6" w:rsidP="004866D6">
            <w:pPr>
              <w:rPr>
                <w:rFonts w:ascii="Calibri" w:hAnsi="Calibri" w:cs="Calibri"/>
                <w:color w:val="000000"/>
                <w:sz w:val="16"/>
                <w:szCs w:val="16"/>
              </w:rPr>
            </w:pPr>
          </w:p>
        </w:tc>
        <w:tc>
          <w:tcPr>
            <w:tcW w:w="559" w:type="pct"/>
            <w:tcBorders>
              <w:top w:val="nil"/>
              <w:left w:val="nil"/>
              <w:bottom w:val="nil"/>
              <w:right w:val="nil"/>
            </w:tcBorders>
            <w:shd w:val="clear" w:color="auto" w:fill="auto"/>
            <w:noWrap/>
            <w:vAlign w:val="center"/>
            <w:hideMark/>
          </w:tcPr>
          <w:p w14:paraId="19254B4E" w14:textId="7002E1B0" w:rsidR="004866D6" w:rsidRPr="008D21F0" w:rsidRDefault="004866D6" w:rsidP="004866D6">
            <w:pPr>
              <w:jc w:val="right"/>
              <w:rPr>
                <w:rFonts w:ascii="Calibri" w:hAnsi="Calibri" w:cs="Calibri"/>
                <w:color w:val="000000"/>
                <w:sz w:val="16"/>
                <w:szCs w:val="16"/>
              </w:rPr>
            </w:pPr>
            <w:r>
              <w:rPr>
                <w:rFonts w:ascii="Calibri" w:hAnsi="Calibri" w:cs="Calibri"/>
                <w:color w:val="000000"/>
                <w:sz w:val="16"/>
                <w:szCs w:val="16"/>
              </w:rPr>
              <w:t>(</w:t>
            </w:r>
            <w:r w:rsidR="00092CCD">
              <w:rPr>
                <w:rFonts w:ascii="Calibri" w:hAnsi="Calibri" w:cs="Calibri"/>
                <w:color w:val="000000"/>
                <w:sz w:val="16"/>
                <w:szCs w:val="16"/>
              </w:rPr>
              <w:t>2.700.064</w:t>
            </w:r>
            <w:r>
              <w:rPr>
                <w:rFonts w:ascii="Calibri" w:hAnsi="Calibri" w:cs="Calibri"/>
                <w:color w:val="000000"/>
                <w:sz w:val="16"/>
                <w:szCs w:val="16"/>
              </w:rPr>
              <w:t>)</w:t>
            </w:r>
          </w:p>
        </w:tc>
        <w:tc>
          <w:tcPr>
            <w:tcW w:w="559" w:type="pct"/>
            <w:tcBorders>
              <w:top w:val="nil"/>
              <w:left w:val="nil"/>
              <w:bottom w:val="nil"/>
              <w:right w:val="nil"/>
            </w:tcBorders>
            <w:shd w:val="clear" w:color="auto" w:fill="auto"/>
            <w:vAlign w:val="center"/>
            <w:hideMark/>
          </w:tcPr>
          <w:p w14:paraId="46C6C102" w14:textId="065C9D37" w:rsidR="004866D6" w:rsidRPr="008D21F0" w:rsidRDefault="004866D6" w:rsidP="004866D6">
            <w:pPr>
              <w:jc w:val="right"/>
              <w:rPr>
                <w:rFonts w:ascii="Calibri" w:hAnsi="Calibri" w:cs="Calibri"/>
                <w:color w:val="000000"/>
                <w:sz w:val="16"/>
                <w:szCs w:val="16"/>
              </w:rPr>
            </w:pPr>
            <w:r>
              <w:rPr>
                <w:rFonts w:ascii="Calibri" w:hAnsi="Calibri" w:cs="Calibri"/>
                <w:color w:val="000000"/>
                <w:sz w:val="16"/>
                <w:szCs w:val="16"/>
              </w:rPr>
              <w:t>(</w:t>
            </w:r>
            <w:r w:rsidRPr="008D21F0">
              <w:rPr>
                <w:rFonts w:ascii="Calibri" w:hAnsi="Calibri" w:cs="Calibri"/>
                <w:color w:val="000000"/>
                <w:sz w:val="16"/>
                <w:szCs w:val="16"/>
              </w:rPr>
              <w:t>2.689.734</w:t>
            </w:r>
            <w:r>
              <w:rPr>
                <w:rFonts w:ascii="Calibri" w:hAnsi="Calibri" w:cs="Calibri"/>
                <w:color w:val="000000"/>
                <w:sz w:val="16"/>
                <w:szCs w:val="16"/>
              </w:rPr>
              <w:t>)</w:t>
            </w:r>
          </w:p>
        </w:tc>
      </w:tr>
      <w:tr w:rsidR="004866D6" w:rsidRPr="008D21F0" w14:paraId="113C6CCF" w14:textId="77777777" w:rsidTr="004866D6">
        <w:trPr>
          <w:trHeight w:hRule="exact" w:val="315"/>
        </w:trPr>
        <w:tc>
          <w:tcPr>
            <w:tcW w:w="2771" w:type="pct"/>
            <w:tcBorders>
              <w:top w:val="nil"/>
              <w:left w:val="nil"/>
              <w:bottom w:val="single" w:sz="8" w:space="0" w:color="auto"/>
              <w:right w:val="nil"/>
            </w:tcBorders>
            <w:shd w:val="clear" w:color="auto" w:fill="auto"/>
            <w:noWrap/>
            <w:vAlign w:val="center"/>
            <w:hideMark/>
          </w:tcPr>
          <w:p w14:paraId="3006A420" w14:textId="77777777" w:rsidR="004866D6" w:rsidRPr="008D21F0" w:rsidRDefault="004866D6" w:rsidP="004866D6">
            <w:pPr>
              <w:rPr>
                <w:rFonts w:ascii="Calibri" w:hAnsi="Calibri" w:cs="Calibri"/>
                <w:b/>
                <w:bCs/>
                <w:color w:val="000000"/>
                <w:sz w:val="16"/>
                <w:szCs w:val="16"/>
              </w:rPr>
            </w:pPr>
            <w:r w:rsidRPr="008D21F0">
              <w:rPr>
                <w:rFonts w:ascii="Calibri" w:hAnsi="Calibri" w:cs="Calibri"/>
                <w:b/>
                <w:bCs/>
                <w:color w:val="000000"/>
                <w:sz w:val="16"/>
                <w:szCs w:val="16"/>
              </w:rPr>
              <w:t xml:space="preserve"> TOTAL </w:t>
            </w:r>
          </w:p>
        </w:tc>
        <w:tc>
          <w:tcPr>
            <w:tcW w:w="1111" w:type="pct"/>
            <w:tcBorders>
              <w:top w:val="nil"/>
              <w:left w:val="nil"/>
              <w:bottom w:val="single" w:sz="8" w:space="0" w:color="auto"/>
              <w:right w:val="nil"/>
            </w:tcBorders>
            <w:shd w:val="clear" w:color="auto" w:fill="auto"/>
            <w:noWrap/>
            <w:vAlign w:val="center"/>
            <w:hideMark/>
          </w:tcPr>
          <w:p w14:paraId="09D32B62" w14:textId="77777777" w:rsidR="004866D6" w:rsidRPr="008D21F0" w:rsidRDefault="004866D6" w:rsidP="004866D6">
            <w:pPr>
              <w:jc w:val="right"/>
              <w:rPr>
                <w:rFonts w:ascii="Calibri" w:hAnsi="Calibri" w:cs="Calibri"/>
                <w:b/>
                <w:bCs/>
                <w:color w:val="000000"/>
                <w:sz w:val="16"/>
                <w:szCs w:val="16"/>
              </w:rPr>
            </w:pPr>
            <w:r w:rsidRPr="008D21F0">
              <w:rPr>
                <w:rFonts w:ascii="Calibri" w:hAnsi="Calibri" w:cs="Calibri"/>
                <w:b/>
                <w:bCs/>
                <w:color w:val="000000"/>
                <w:sz w:val="16"/>
                <w:szCs w:val="16"/>
              </w:rPr>
              <w:t> </w:t>
            </w:r>
          </w:p>
        </w:tc>
        <w:tc>
          <w:tcPr>
            <w:tcW w:w="559" w:type="pct"/>
            <w:tcBorders>
              <w:top w:val="nil"/>
              <w:left w:val="nil"/>
              <w:bottom w:val="single" w:sz="8" w:space="0" w:color="auto"/>
              <w:right w:val="nil"/>
            </w:tcBorders>
            <w:shd w:val="clear" w:color="auto" w:fill="auto"/>
            <w:noWrap/>
            <w:vAlign w:val="center"/>
            <w:hideMark/>
          </w:tcPr>
          <w:p w14:paraId="0533F438" w14:textId="51D467AA" w:rsidR="004866D6" w:rsidRPr="008D21F0" w:rsidRDefault="00092CCD" w:rsidP="004866D6">
            <w:pPr>
              <w:jc w:val="right"/>
              <w:rPr>
                <w:rFonts w:ascii="Calibri" w:hAnsi="Calibri" w:cs="Calibri"/>
                <w:b/>
                <w:bCs/>
                <w:color w:val="000000"/>
                <w:sz w:val="16"/>
                <w:szCs w:val="16"/>
              </w:rPr>
            </w:pPr>
            <w:r>
              <w:rPr>
                <w:rFonts w:ascii="Calibri" w:hAnsi="Calibri" w:cs="Calibri"/>
                <w:b/>
                <w:bCs/>
                <w:color w:val="000000"/>
                <w:sz w:val="16"/>
                <w:szCs w:val="16"/>
              </w:rPr>
              <w:t>42.611.588</w:t>
            </w:r>
          </w:p>
        </w:tc>
        <w:tc>
          <w:tcPr>
            <w:tcW w:w="559" w:type="pct"/>
            <w:tcBorders>
              <w:top w:val="nil"/>
              <w:left w:val="nil"/>
              <w:bottom w:val="single" w:sz="8" w:space="0" w:color="auto"/>
              <w:right w:val="nil"/>
            </w:tcBorders>
            <w:shd w:val="clear" w:color="auto" w:fill="auto"/>
            <w:vAlign w:val="center"/>
            <w:hideMark/>
          </w:tcPr>
          <w:p w14:paraId="352CC2DD" w14:textId="08981386" w:rsidR="004866D6" w:rsidRPr="008D21F0" w:rsidRDefault="004866D6" w:rsidP="004866D6">
            <w:pPr>
              <w:jc w:val="right"/>
              <w:rPr>
                <w:rFonts w:ascii="Calibri" w:hAnsi="Calibri" w:cs="Calibri"/>
                <w:b/>
                <w:bCs/>
                <w:color w:val="000000"/>
                <w:sz w:val="16"/>
                <w:szCs w:val="16"/>
              </w:rPr>
            </w:pPr>
            <w:r w:rsidRPr="008D21F0">
              <w:rPr>
                <w:rFonts w:ascii="Calibri" w:hAnsi="Calibri" w:cs="Calibri"/>
                <w:b/>
                <w:bCs/>
                <w:color w:val="000000"/>
                <w:sz w:val="16"/>
                <w:szCs w:val="16"/>
              </w:rPr>
              <w:t>36.363.102</w:t>
            </w:r>
          </w:p>
        </w:tc>
      </w:tr>
      <w:tr w:rsidR="00925A0D" w:rsidRPr="008D21F0" w14:paraId="01FC9FA1" w14:textId="77777777" w:rsidTr="004866D6">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5626F07A"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Receita a Diferir Pátios e Terminais – Circulante</w:t>
            </w:r>
          </w:p>
        </w:tc>
        <w:tc>
          <w:tcPr>
            <w:tcW w:w="559" w:type="pct"/>
            <w:tcBorders>
              <w:top w:val="nil"/>
              <w:left w:val="nil"/>
              <w:bottom w:val="single" w:sz="8" w:space="0" w:color="auto"/>
              <w:right w:val="nil"/>
            </w:tcBorders>
            <w:shd w:val="clear" w:color="auto" w:fill="auto"/>
            <w:noWrap/>
            <w:vAlign w:val="center"/>
            <w:hideMark/>
          </w:tcPr>
          <w:p w14:paraId="2EE469C3" w14:textId="03226A0B" w:rsidR="00925A0D" w:rsidRPr="008D21F0" w:rsidRDefault="0021659D">
            <w:pPr>
              <w:jc w:val="right"/>
              <w:rPr>
                <w:rFonts w:ascii="Calibri" w:hAnsi="Calibri" w:cs="Calibri"/>
                <w:b/>
                <w:bCs/>
                <w:color w:val="000000"/>
                <w:sz w:val="16"/>
                <w:szCs w:val="16"/>
              </w:rPr>
            </w:pPr>
            <w:r>
              <w:rPr>
                <w:rFonts w:ascii="Calibri" w:hAnsi="Calibri" w:cs="Calibri"/>
                <w:b/>
                <w:bCs/>
                <w:color w:val="000000"/>
                <w:sz w:val="16"/>
                <w:szCs w:val="16"/>
              </w:rPr>
              <w:t>3.</w:t>
            </w:r>
            <w:r w:rsidR="00092CCD">
              <w:rPr>
                <w:rFonts w:ascii="Calibri" w:hAnsi="Calibri" w:cs="Calibri"/>
                <w:b/>
                <w:bCs/>
                <w:color w:val="000000"/>
                <w:sz w:val="16"/>
                <w:szCs w:val="16"/>
              </w:rPr>
              <w:t>278.462</w:t>
            </w:r>
          </w:p>
        </w:tc>
        <w:tc>
          <w:tcPr>
            <w:tcW w:w="559" w:type="pct"/>
            <w:tcBorders>
              <w:top w:val="nil"/>
              <w:left w:val="nil"/>
              <w:bottom w:val="single" w:sz="8" w:space="0" w:color="auto"/>
              <w:right w:val="nil"/>
            </w:tcBorders>
            <w:shd w:val="clear" w:color="auto" w:fill="auto"/>
            <w:vAlign w:val="center"/>
            <w:hideMark/>
          </w:tcPr>
          <w:p w14:paraId="0BBA37D5" w14:textId="44337608" w:rsidR="00925A0D" w:rsidRPr="008D21F0" w:rsidRDefault="004866D6">
            <w:pPr>
              <w:jc w:val="right"/>
              <w:rPr>
                <w:rFonts w:ascii="Calibri" w:hAnsi="Calibri" w:cs="Calibri"/>
                <w:b/>
                <w:bCs/>
                <w:color w:val="000000"/>
                <w:sz w:val="16"/>
                <w:szCs w:val="16"/>
              </w:rPr>
            </w:pPr>
            <w:r w:rsidRPr="008D21F0">
              <w:rPr>
                <w:rFonts w:ascii="Calibri" w:hAnsi="Calibri" w:cs="Calibri"/>
                <w:b/>
                <w:bCs/>
                <w:color w:val="000000"/>
                <w:sz w:val="16"/>
                <w:szCs w:val="16"/>
              </w:rPr>
              <w:t>3.031.892</w:t>
            </w:r>
          </w:p>
        </w:tc>
      </w:tr>
      <w:tr w:rsidR="00925A0D" w:rsidRPr="008D21F0" w14:paraId="14284734" w14:textId="77777777" w:rsidTr="004866D6">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53848E45"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Receita a Diferir Pátios e Terminais – Não Circulante</w:t>
            </w:r>
          </w:p>
        </w:tc>
        <w:tc>
          <w:tcPr>
            <w:tcW w:w="559" w:type="pct"/>
            <w:tcBorders>
              <w:top w:val="nil"/>
              <w:left w:val="nil"/>
              <w:bottom w:val="single" w:sz="8" w:space="0" w:color="auto"/>
              <w:right w:val="nil"/>
            </w:tcBorders>
            <w:shd w:val="clear" w:color="auto" w:fill="auto"/>
            <w:noWrap/>
            <w:vAlign w:val="center"/>
            <w:hideMark/>
          </w:tcPr>
          <w:p w14:paraId="1F52E269" w14:textId="6129E7E5" w:rsidR="00925A0D" w:rsidRPr="008D21F0" w:rsidRDefault="00092CCD">
            <w:pPr>
              <w:jc w:val="right"/>
              <w:rPr>
                <w:rFonts w:ascii="Calibri" w:hAnsi="Calibri" w:cs="Calibri"/>
                <w:b/>
                <w:bCs/>
                <w:color w:val="000000"/>
                <w:sz w:val="16"/>
                <w:szCs w:val="16"/>
              </w:rPr>
            </w:pPr>
            <w:r>
              <w:rPr>
                <w:rFonts w:ascii="Calibri" w:hAnsi="Calibri" w:cs="Calibri"/>
                <w:b/>
                <w:bCs/>
                <w:color w:val="000000"/>
                <w:sz w:val="16"/>
                <w:szCs w:val="16"/>
              </w:rPr>
              <w:t>39.333.126</w:t>
            </w:r>
          </w:p>
        </w:tc>
        <w:tc>
          <w:tcPr>
            <w:tcW w:w="559" w:type="pct"/>
            <w:tcBorders>
              <w:top w:val="nil"/>
              <w:left w:val="nil"/>
              <w:bottom w:val="single" w:sz="8" w:space="0" w:color="auto"/>
              <w:right w:val="nil"/>
            </w:tcBorders>
            <w:shd w:val="clear" w:color="auto" w:fill="auto"/>
            <w:vAlign w:val="center"/>
            <w:hideMark/>
          </w:tcPr>
          <w:p w14:paraId="49C48B7E" w14:textId="07A9AA92" w:rsidR="00925A0D" w:rsidRPr="008D21F0" w:rsidRDefault="004866D6">
            <w:pPr>
              <w:jc w:val="right"/>
              <w:rPr>
                <w:rFonts w:ascii="Calibri" w:hAnsi="Calibri" w:cs="Calibri"/>
                <w:b/>
                <w:bCs/>
                <w:color w:val="000000"/>
                <w:sz w:val="16"/>
                <w:szCs w:val="16"/>
              </w:rPr>
            </w:pPr>
            <w:r w:rsidRPr="008D21F0">
              <w:rPr>
                <w:rFonts w:ascii="Calibri" w:hAnsi="Calibri" w:cs="Calibri"/>
                <w:b/>
                <w:bCs/>
                <w:color w:val="000000"/>
                <w:sz w:val="16"/>
                <w:szCs w:val="16"/>
              </w:rPr>
              <w:t>33.331.210</w:t>
            </w:r>
          </w:p>
        </w:tc>
      </w:tr>
      <w:tr w:rsidR="00925A0D" w:rsidRPr="008D21F0" w14:paraId="48776CB6" w14:textId="77777777" w:rsidTr="004866D6">
        <w:trPr>
          <w:trHeight w:hRule="exact" w:val="315"/>
        </w:trPr>
        <w:tc>
          <w:tcPr>
            <w:tcW w:w="2771" w:type="pct"/>
            <w:tcBorders>
              <w:top w:val="nil"/>
              <w:left w:val="nil"/>
              <w:bottom w:val="single" w:sz="8" w:space="0" w:color="auto"/>
              <w:right w:val="nil"/>
            </w:tcBorders>
            <w:shd w:val="clear" w:color="auto" w:fill="auto"/>
            <w:noWrap/>
            <w:vAlign w:val="center"/>
            <w:hideMark/>
          </w:tcPr>
          <w:p w14:paraId="684054FA"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SALDO DE RECEITA A DIFERIR POR CONTRATOS</w:t>
            </w:r>
          </w:p>
        </w:tc>
        <w:tc>
          <w:tcPr>
            <w:tcW w:w="1111" w:type="pct"/>
            <w:tcBorders>
              <w:top w:val="nil"/>
              <w:left w:val="nil"/>
              <w:bottom w:val="single" w:sz="8" w:space="0" w:color="auto"/>
              <w:right w:val="nil"/>
            </w:tcBorders>
            <w:shd w:val="clear" w:color="auto" w:fill="auto"/>
            <w:noWrap/>
            <w:vAlign w:val="center"/>
            <w:hideMark/>
          </w:tcPr>
          <w:p w14:paraId="0708F8C7" w14:textId="77777777" w:rsidR="00925A0D" w:rsidRPr="008D21F0" w:rsidRDefault="00925A0D">
            <w:pPr>
              <w:rPr>
                <w:rFonts w:ascii="Calibri" w:hAnsi="Calibri" w:cs="Calibri"/>
                <w:b/>
                <w:bCs/>
                <w:color w:val="000000"/>
                <w:sz w:val="16"/>
                <w:szCs w:val="16"/>
              </w:rPr>
            </w:pPr>
            <w:r w:rsidRPr="008D21F0">
              <w:rPr>
                <w:rFonts w:ascii="Calibri" w:hAnsi="Calibri" w:cs="Calibri"/>
                <w:b/>
                <w:bCs/>
                <w:color w:val="000000"/>
                <w:sz w:val="16"/>
                <w:szCs w:val="16"/>
              </w:rPr>
              <w:t>PRAZO A DIFERIR (MESES)</w:t>
            </w:r>
          </w:p>
        </w:tc>
        <w:tc>
          <w:tcPr>
            <w:tcW w:w="559" w:type="pct"/>
            <w:tcBorders>
              <w:top w:val="nil"/>
              <w:left w:val="nil"/>
              <w:bottom w:val="single" w:sz="8" w:space="0" w:color="auto"/>
              <w:right w:val="nil"/>
            </w:tcBorders>
            <w:shd w:val="clear" w:color="auto" w:fill="auto"/>
            <w:noWrap/>
            <w:vAlign w:val="center"/>
            <w:hideMark/>
          </w:tcPr>
          <w:p w14:paraId="7E3CAABA" w14:textId="10A1C473"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w:t>
            </w:r>
            <w:r w:rsidR="0021659D">
              <w:rPr>
                <w:rFonts w:ascii="Calibri" w:hAnsi="Calibri" w:cs="Calibri"/>
                <w:b/>
                <w:bCs/>
                <w:color w:val="000000"/>
                <w:sz w:val="16"/>
                <w:szCs w:val="16"/>
              </w:rPr>
              <w:t>0</w:t>
            </w:r>
            <w:r w:rsidRPr="008D21F0">
              <w:rPr>
                <w:rFonts w:ascii="Calibri" w:hAnsi="Calibri" w:cs="Calibri"/>
                <w:b/>
                <w:bCs/>
                <w:color w:val="000000"/>
                <w:sz w:val="16"/>
                <w:szCs w:val="16"/>
              </w:rPr>
              <w:t>/</w:t>
            </w:r>
            <w:r w:rsidR="004866D6">
              <w:rPr>
                <w:rFonts w:ascii="Calibri" w:hAnsi="Calibri" w:cs="Calibri"/>
                <w:b/>
                <w:bCs/>
                <w:color w:val="000000"/>
                <w:sz w:val="16"/>
                <w:szCs w:val="16"/>
              </w:rPr>
              <w:t>0</w:t>
            </w:r>
            <w:r w:rsidR="00092CCD">
              <w:rPr>
                <w:rFonts w:ascii="Calibri" w:hAnsi="Calibri" w:cs="Calibri"/>
                <w:b/>
                <w:bCs/>
                <w:color w:val="000000"/>
                <w:sz w:val="16"/>
                <w:szCs w:val="16"/>
              </w:rPr>
              <w:t>9</w:t>
            </w:r>
            <w:r w:rsidRPr="008D21F0">
              <w:rPr>
                <w:rFonts w:ascii="Calibri" w:hAnsi="Calibri" w:cs="Calibri"/>
                <w:b/>
                <w:bCs/>
                <w:color w:val="000000"/>
                <w:sz w:val="16"/>
                <w:szCs w:val="16"/>
              </w:rPr>
              <w:t>/202</w:t>
            </w:r>
            <w:r w:rsidR="004866D6">
              <w:rPr>
                <w:rFonts w:ascii="Calibri" w:hAnsi="Calibri" w:cs="Calibri"/>
                <w:b/>
                <w:bCs/>
                <w:color w:val="000000"/>
                <w:sz w:val="16"/>
                <w:szCs w:val="16"/>
              </w:rPr>
              <w:t>2</w:t>
            </w:r>
          </w:p>
        </w:tc>
        <w:tc>
          <w:tcPr>
            <w:tcW w:w="559" w:type="pct"/>
            <w:tcBorders>
              <w:top w:val="nil"/>
              <w:left w:val="nil"/>
              <w:bottom w:val="single" w:sz="8" w:space="0" w:color="auto"/>
              <w:right w:val="nil"/>
            </w:tcBorders>
            <w:shd w:val="clear" w:color="auto" w:fill="auto"/>
            <w:vAlign w:val="center"/>
            <w:hideMark/>
          </w:tcPr>
          <w:p w14:paraId="786EA9DD" w14:textId="6BC66DB2" w:rsidR="00925A0D" w:rsidRPr="008D21F0" w:rsidRDefault="00925A0D">
            <w:pPr>
              <w:jc w:val="right"/>
              <w:rPr>
                <w:rFonts w:ascii="Calibri" w:hAnsi="Calibri" w:cs="Calibri"/>
                <w:b/>
                <w:bCs/>
                <w:color w:val="000000"/>
                <w:sz w:val="16"/>
                <w:szCs w:val="16"/>
              </w:rPr>
            </w:pPr>
            <w:r w:rsidRPr="008D21F0">
              <w:rPr>
                <w:rFonts w:ascii="Calibri" w:hAnsi="Calibri" w:cs="Calibri"/>
                <w:b/>
                <w:bCs/>
                <w:color w:val="000000"/>
                <w:sz w:val="16"/>
                <w:szCs w:val="16"/>
              </w:rPr>
              <w:t>31/12/202</w:t>
            </w:r>
            <w:r w:rsidR="004866D6">
              <w:rPr>
                <w:rFonts w:ascii="Calibri" w:hAnsi="Calibri" w:cs="Calibri"/>
                <w:b/>
                <w:bCs/>
                <w:color w:val="000000"/>
                <w:sz w:val="16"/>
                <w:szCs w:val="16"/>
              </w:rPr>
              <w:t>1</w:t>
            </w:r>
          </w:p>
        </w:tc>
      </w:tr>
      <w:tr w:rsidR="00FF0023" w:rsidRPr="008D21F0" w14:paraId="61B7DF89" w14:textId="77777777" w:rsidTr="00FF0023">
        <w:trPr>
          <w:trHeight w:hRule="exact" w:val="300"/>
        </w:trPr>
        <w:tc>
          <w:tcPr>
            <w:tcW w:w="2771" w:type="pct"/>
            <w:tcBorders>
              <w:top w:val="nil"/>
              <w:left w:val="nil"/>
              <w:bottom w:val="nil"/>
              <w:right w:val="nil"/>
            </w:tcBorders>
            <w:shd w:val="clear" w:color="auto" w:fill="auto"/>
            <w:noWrap/>
            <w:vAlign w:val="center"/>
            <w:hideMark/>
          </w:tcPr>
          <w:p w14:paraId="28924B79" w14:textId="77777777" w:rsidR="00FF0023" w:rsidRPr="008D21F0" w:rsidRDefault="00FF0023" w:rsidP="00FF0023">
            <w:pPr>
              <w:rPr>
                <w:rFonts w:ascii="Calibri" w:hAnsi="Calibri" w:cs="Calibri"/>
                <w:color w:val="000000"/>
                <w:sz w:val="16"/>
                <w:szCs w:val="16"/>
              </w:rPr>
            </w:pPr>
            <w:r w:rsidRPr="008D21F0">
              <w:rPr>
                <w:rFonts w:ascii="Calibri" w:hAnsi="Calibri" w:cs="Calibri"/>
                <w:color w:val="000000"/>
                <w:sz w:val="16"/>
                <w:szCs w:val="16"/>
              </w:rPr>
              <w:t>Agrex do Brasil S.A. 26/2012</w:t>
            </w:r>
          </w:p>
        </w:tc>
        <w:tc>
          <w:tcPr>
            <w:tcW w:w="1111" w:type="pct"/>
            <w:tcBorders>
              <w:top w:val="nil"/>
              <w:left w:val="nil"/>
              <w:bottom w:val="nil"/>
              <w:right w:val="nil"/>
            </w:tcBorders>
            <w:shd w:val="clear" w:color="auto" w:fill="auto"/>
            <w:noWrap/>
            <w:vAlign w:val="center"/>
            <w:hideMark/>
          </w:tcPr>
          <w:p w14:paraId="0F663421" w14:textId="083FFFFC" w:rsidR="00FF0023" w:rsidRPr="008D21F0" w:rsidRDefault="00FF0023" w:rsidP="00FF0023">
            <w:pPr>
              <w:jc w:val="center"/>
              <w:rPr>
                <w:rFonts w:ascii="Calibri" w:hAnsi="Calibri" w:cs="Calibri"/>
                <w:color w:val="000000"/>
                <w:sz w:val="16"/>
                <w:szCs w:val="16"/>
              </w:rPr>
            </w:pPr>
            <w:r w:rsidRPr="008D21F0">
              <w:rPr>
                <w:rFonts w:ascii="Calibri" w:hAnsi="Calibri" w:cs="Calibri"/>
                <w:color w:val="000000"/>
                <w:sz w:val="16"/>
                <w:szCs w:val="16"/>
              </w:rPr>
              <w:t>6</w:t>
            </w:r>
            <w:r>
              <w:rPr>
                <w:rFonts w:ascii="Calibri" w:hAnsi="Calibri" w:cs="Calibri"/>
                <w:color w:val="000000"/>
                <w:sz w:val="16"/>
                <w:szCs w:val="16"/>
              </w:rPr>
              <w:t>0</w:t>
            </w:r>
          </w:p>
        </w:tc>
        <w:tc>
          <w:tcPr>
            <w:tcW w:w="559" w:type="pct"/>
            <w:tcBorders>
              <w:top w:val="nil"/>
              <w:left w:val="nil"/>
              <w:bottom w:val="nil"/>
              <w:right w:val="nil"/>
            </w:tcBorders>
            <w:shd w:val="clear" w:color="auto" w:fill="auto"/>
            <w:noWrap/>
            <w:vAlign w:val="center"/>
            <w:hideMark/>
          </w:tcPr>
          <w:p w14:paraId="5EEAA14A" w14:textId="5E35DAF2" w:rsidR="00FF0023" w:rsidRPr="008D21F0"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1.285.744 </w:t>
            </w:r>
          </w:p>
        </w:tc>
        <w:tc>
          <w:tcPr>
            <w:tcW w:w="559" w:type="pct"/>
            <w:tcBorders>
              <w:top w:val="nil"/>
              <w:left w:val="nil"/>
              <w:bottom w:val="nil"/>
              <w:right w:val="nil"/>
            </w:tcBorders>
            <w:shd w:val="clear" w:color="auto" w:fill="auto"/>
            <w:vAlign w:val="center"/>
            <w:hideMark/>
          </w:tcPr>
          <w:p w14:paraId="6A3A82C6" w14:textId="7801F756" w:rsidR="00FF0023" w:rsidRPr="008D21F0" w:rsidRDefault="00FF0023" w:rsidP="00FF0023">
            <w:pPr>
              <w:jc w:val="right"/>
              <w:rPr>
                <w:rFonts w:ascii="Calibri" w:hAnsi="Calibri" w:cs="Calibri"/>
                <w:color w:val="000000"/>
                <w:sz w:val="16"/>
                <w:szCs w:val="16"/>
              </w:rPr>
            </w:pPr>
            <w:r w:rsidRPr="008D21F0">
              <w:rPr>
                <w:rFonts w:ascii="Calibri" w:hAnsi="Calibri" w:cs="Calibri"/>
                <w:color w:val="000000"/>
                <w:sz w:val="16"/>
                <w:szCs w:val="16"/>
              </w:rPr>
              <w:t>1.475.444</w:t>
            </w:r>
          </w:p>
        </w:tc>
      </w:tr>
      <w:tr w:rsidR="00FF0023" w:rsidRPr="008D21F0" w14:paraId="0B91FAB8" w14:textId="77777777" w:rsidTr="00FF0023">
        <w:trPr>
          <w:trHeight w:val="300"/>
        </w:trPr>
        <w:tc>
          <w:tcPr>
            <w:tcW w:w="2771" w:type="pct"/>
            <w:tcBorders>
              <w:top w:val="nil"/>
              <w:left w:val="nil"/>
              <w:bottom w:val="nil"/>
              <w:right w:val="nil"/>
            </w:tcBorders>
            <w:shd w:val="clear" w:color="auto" w:fill="auto"/>
            <w:noWrap/>
            <w:vAlign w:val="center"/>
            <w:hideMark/>
          </w:tcPr>
          <w:p w14:paraId="66078367" w14:textId="77777777" w:rsidR="00FF0023" w:rsidRPr="008D21F0" w:rsidRDefault="00FF0023" w:rsidP="00FF0023">
            <w:pPr>
              <w:rPr>
                <w:rFonts w:ascii="Calibri" w:hAnsi="Calibri" w:cs="Calibri"/>
                <w:color w:val="000000"/>
                <w:sz w:val="16"/>
                <w:szCs w:val="16"/>
              </w:rPr>
            </w:pPr>
            <w:r w:rsidRPr="008D21F0">
              <w:rPr>
                <w:rFonts w:ascii="Calibri" w:hAnsi="Calibri" w:cs="Calibri"/>
                <w:color w:val="000000"/>
                <w:sz w:val="16"/>
                <w:szCs w:val="16"/>
              </w:rPr>
              <w:t>Agrex do Brasil S.A. 16/2005</w:t>
            </w:r>
          </w:p>
        </w:tc>
        <w:tc>
          <w:tcPr>
            <w:tcW w:w="1111" w:type="pct"/>
            <w:tcBorders>
              <w:top w:val="nil"/>
              <w:left w:val="nil"/>
              <w:bottom w:val="nil"/>
              <w:right w:val="nil"/>
            </w:tcBorders>
            <w:shd w:val="clear" w:color="auto" w:fill="auto"/>
            <w:noWrap/>
            <w:vAlign w:val="center"/>
            <w:hideMark/>
          </w:tcPr>
          <w:p w14:paraId="4948F131" w14:textId="534D4225" w:rsidR="00FF0023" w:rsidRPr="008D21F0" w:rsidRDefault="00FF0023" w:rsidP="00FF0023">
            <w:pPr>
              <w:jc w:val="center"/>
              <w:rPr>
                <w:rFonts w:ascii="Calibri" w:hAnsi="Calibri" w:cs="Calibri"/>
                <w:color w:val="000000"/>
                <w:sz w:val="16"/>
                <w:szCs w:val="16"/>
              </w:rPr>
            </w:pPr>
            <w:r>
              <w:rPr>
                <w:rFonts w:ascii="Calibri" w:hAnsi="Calibri" w:cs="Calibri"/>
                <w:color w:val="000000"/>
                <w:sz w:val="16"/>
                <w:szCs w:val="16"/>
              </w:rPr>
              <w:t>1</w:t>
            </w:r>
          </w:p>
        </w:tc>
        <w:tc>
          <w:tcPr>
            <w:tcW w:w="559" w:type="pct"/>
            <w:tcBorders>
              <w:top w:val="nil"/>
              <w:left w:val="nil"/>
              <w:bottom w:val="nil"/>
              <w:right w:val="nil"/>
            </w:tcBorders>
            <w:shd w:val="clear" w:color="auto" w:fill="auto"/>
            <w:noWrap/>
            <w:vAlign w:val="center"/>
            <w:hideMark/>
          </w:tcPr>
          <w:p w14:paraId="0E59B86D" w14:textId="2913138F" w:rsidR="00FF0023" w:rsidRPr="008D21F0"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77.778 </w:t>
            </w:r>
          </w:p>
        </w:tc>
        <w:tc>
          <w:tcPr>
            <w:tcW w:w="559" w:type="pct"/>
            <w:tcBorders>
              <w:top w:val="nil"/>
              <w:left w:val="nil"/>
              <w:bottom w:val="nil"/>
              <w:right w:val="nil"/>
            </w:tcBorders>
            <w:shd w:val="clear" w:color="auto" w:fill="auto"/>
            <w:vAlign w:val="center"/>
            <w:hideMark/>
          </w:tcPr>
          <w:p w14:paraId="2304D5FC" w14:textId="3E3A8E79" w:rsidR="00FF0023" w:rsidRPr="008D21F0" w:rsidRDefault="00FF0023" w:rsidP="00FF0023">
            <w:pPr>
              <w:jc w:val="right"/>
              <w:rPr>
                <w:rFonts w:ascii="Calibri" w:hAnsi="Calibri" w:cs="Calibri"/>
                <w:color w:val="000000"/>
                <w:sz w:val="16"/>
                <w:szCs w:val="16"/>
              </w:rPr>
            </w:pPr>
            <w:r w:rsidRPr="008D21F0">
              <w:rPr>
                <w:rFonts w:ascii="Calibri" w:hAnsi="Calibri" w:cs="Calibri"/>
                <w:color w:val="000000"/>
                <w:sz w:val="16"/>
                <w:szCs w:val="16"/>
              </w:rPr>
              <w:t>427.778</w:t>
            </w:r>
          </w:p>
        </w:tc>
      </w:tr>
      <w:tr w:rsidR="00FF0023" w:rsidRPr="008D21F0" w14:paraId="790C5C3D" w14:textId="77777777" w:rsidTr="00FF0023">
        <w:trPr>
          <w:trHeight w:val="300"/>
        </w:trPr>
        <w:tc>
          <w:tcPr>
            <w:tcW w:w="2771" w:type="pct"/>
            <w:tcBorders>
              <w:top w:val="nil"/>
              <w:left w:val="nil"/>
              <w:bottom w:val="nil"/>
              <w:right w:val="nil"/>
            </w:tcBorders>
            <w:shd w:val="clear" w:color="auto" w:fill="auto"/>
            <w:noWrap/>
            <w:vAlign w:val="center"/>
            <w:hideMark/>
          </w:tcPr>
          <w:p w14:paraId="7A4C13F8" w14:textId="77777777" w:rsidR="00FF0023" w:rsidRPr="008D21F0" w:rsidRDefault="00FF0023" w:rsidP="00FF0023">
            <w:pPr>
              <w:rPr>
                <w:rFonts w:ascii="Calibri" w:hAnsi="Calibri" w:cs="Calibri"/>
                <w:color w:val="000000"/>
                <w:sz w:val="16"/>
                <w:szCs w:val="16"/>
              </w:rPr>
            </w:pPr>
            <w:r w:rsidRPr="008D21F0">
              <w:rPr>
                <w:rFonts w:ascii="Calibri" w:hAnsi="Calibri" w:cs="Calibri"/>
                <w:color w:val="000000"/>
                <w:sz w:val="16"/>
                <w:szCs w:val="16"/>
              </w:rPr>
              <w:t>Bunge Alimentos S.A. 12/1999</w:t>
            </w:r>
          </w:p>
        </w:tc>
        <w:tc>
          <w:tcPr>
            <w:tcW w:w="1111" w:type="pct"/>
            <w:tcBorders>
              <w:top w:val="nil"/>
              <w:left w:val="nil"/>
              <w:bottom w:val="nil"/>
              <w:right w:val="nil"/>
            </w:tcBorders>
            <w:shd w:val="clear" w:color="auto" w:fill="auto"/>
            <w:noWrap/>
            <w:vAlign w:val="center"/>
            <w:hideMark/>
          </w:tcPr>
          <w:p w14:paraId="53A71AF6" w14:textId="2B6BA423" w:rsidR="00FF0023" w:rsidRPr="008D21F0" w:rsidRDefault="00FF0023" w:rsidP="00FF0023">
            <w:pPr>
              <w:jc w:val="center"/>
              <w:rPr>
                <w:rFonts w:ascii="Calibri" w:hAnsi="Calibri" w:cs="Calibri"/>
                <w:color w:val="000000"/>
                <w:sz w:val="16"/>
                <w:szCs w:val="16"/>
              </w:rPr>
            </w:pPr>
            <w:r>
              <w:rPr>
                <w:rFonts w:ascii="Calibri" w:hAnsi="Calibri" w:cs="Calibri"/>
                <w:color w:val="000000"/>
                <w:sz w:val="16"/>
                <w:szCs w:val="16"/>
              </w:rPr>
              <w:t>87</w:t>
            </w:r>
          </w:p>
        </w:tc>
        <w:tc>
          <w:tcPr>
            <w:tcW w:w="559" w:type="pct"/>
            <w:tcBorders>
              <w:top w:val="nil"/>
              <w:left w:val="nil"/>
              <w:bottom w:val="nil"/>
              <w:right w:val="nil"/>
            </w:tcBorders>
            <w:shd w:val="clear" w:color="auto" w:fill="auto"/>
            <w:noWrap/>
            <w:vAlign w:val="center"/>
            <w:hideMark/>
          </w:tcPr>
          <w:p w14:paraId="4CC23199" w14:textId="0D806033" w:rsidR="00FF0023" w:rsidRPr="008D21F0"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1.591.159 </w:t>
            </w:r>
          </w:p>
        </w:tc>
        <w:tc>
          <w:tcPr>
            <w:tcW w:w="559" w:type="pct"/>
            <w:tcBorders>
              <w:top w:val="nil"/>
              <w:left w:val="nil"/>
              <w:bottom w:val="nil"/>
              <w:right w:val="nil"/>
            </w:tcBorders>
            <w:shd w:val="clear" w:color="auto" w:fill="auto"/>
            <w:vAlign w:val="center"/>
            <w:hideMark/>
          </w:tcPr>
          <w:p w14:paraId="50F59971" w14:textId="1744935F" w:rsidR="00FF0023" w:rsidRPr="008D21F0" w:rsidRDefault="00FF0023" w:rsidP="00FF0023">
            <w:pPr>
              <w:jc w:val="right"/>
              <w:rPr>
                <w:rFonts w:ascii="Calibri" w:hAnsi="Calibri" w:cs="Calibri"/>
                <w:color w:val="000000"/>
                <w:sz w:val="16"/>
                <w:szCs w:val="16"/>
              </w:rPr>
            </w:pPr>
            <w:r w:rsidRPr="008D21F0">
              <w:rPr>
                <w:rFonts w:ascii="Calibri" w:hAnsi="Calibri" w:cs="Calibri"/>
                <w:color w:val="000000"/>
                <w:sz w:val="16"/>
                <w:szCs w:val="16"/>
              </w:rPr>
              <w:t>1.755.762</w:t>
            </w:r>
          </w:p>
        </w:tc>
      </w:tr>
      <w:tr w:rsidR="00FF0023" w:rsidRPr="008D21F0" w14:paraId="7EF09123" w14:textId="77777777" w:rsidTr="00FF0023">
        <w:trPr>
          <w:trHeight w:val="300"/>
        </w:trPr>
        <w:tc>
          <w:tcPr>
            <w:tcW w:w="2771" w:type="pct"/>
            <w:tcBorders>
              <w:top w:val="nil"/>
              <w:left w:val="nil"/>
              <w:bottom w:val="nil"/>
              <w:right w:val="nil"/>
            </w:tcBorders>
            <w:shd w:val="clear" w:color="auto" w:fill="auto"/>
            <w:noWrap/>
            <w:vAlign w:val="center"/>
            <w:hideMark/>
          </w:tcPr>
          <w:p w14:paraId="6A3B8858" w14:textId="77777777" w:rsidR="00FF0023" w:rsidRPr="008D21F0" w:rsidRDefault="00FF0023" w:rsidP="00FF0023">
            <w:pPr>
              <w:rPr>
                <w:rFonts w:ascii="Calibri" w:hAnsi="Calibri" w:cs="Calibri"/>
                <w:color w:val="000000"/>
                <w:sz w:val="16"/>
                <w:szCs w:val="16"/>
              </w:rPr>
            </w:pPr>
            <w:r w:rsidRPr="008D21F0">
              <w:rPr>
                <w:rFonts w:ascii="Calibri" w:hAnsi="Calibri" w:cs="Calibri"/>
                <w:color w:val="000000"/>
                <w:sz w:val="16"/>
                <w:szCs w:val="16"/>
              </w:rPr>
              <w:t>Cargill Agrícola S.A. 01/2000</w:t>
            </w:r>
          </w:p>
        </w:tc>
        <w:tc>
          <w:tcPr>
            <w:tcW w:w="1111" w:type="pct"/>
            <w:tcBorders>
              <w:top w:val="nil"/>
              <w:left w:val="nil"/>
              <w:bottom w:val="nil"/>
              <w:right w:val="nil"/>
            </w:tcBorders>
            <w:shd w:val="clear" w:color="auto" w:fill="auto"/>
            <w:noWrap/>
            <w:vAlign w:val="center"/>
            <w:hideMark/>
          </w:tcPr>
          <w:p w14:paraId="08EA7F4C" w14:textId="34FA03D9" w:rsidR="00FF0023" w:rsidRPr="008D21F0" w:rsidRDefault="00FF0023" w:rsidP="00FF0023">
            <w:pPr>
              <w:jc w:val="center"/>
              <w:rPr>
                <w:rFonts w:ascii="Calibri" w:hAnsi="Calibri" w:cs="Calibri"/>
                <w:color w:val="000000"/>
                <w:sz w:val="16"/>
                <w:szCs w:val="16"/>
              </w:rPr>
            </w:pPr>
            <w:r>
              <w:rPr>
                <w:rFonts w:ascii="Calibri" w:hAnsi="Calibri" w:cs="Calibri"/>
                <w:color w:val="000000"/>
                <w:sz w:val="16"/>
                <w:szCs w:val="16"/>
              </w:rPr>
              <w:t>89</w:t>
            </w:r>
          </w:p>
        </w:tc>
        <w:tc>
          <w:tcPr>
            <w:tcW w:w="559" w:type="pct"/>
            <w:tcBorders>
              <w:top w:val="nil"/>
              <w:left w:val="nil"/>
              <w:bottom w:val="nil"/>
              <w:right w:val="nil"/>
            </w:tcBorders>
            <w:shd w:val="clear" w:color="auto" w:fill="auto"/>
            <w:noWrap/>
            <w:vAlign w:val="center"/>
            <w:hideMark/>
          </w:tcPr>
          <w:p w14:paraId="27224C98" w14:textId="76859788" w:rsidR="00FF0023" w:rsidRPr="008D21F0"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1.555.841 </w:t>
            </w:r>
          </w:p>
        </w:tc>
        <w:tc>
          <w:tcPr>
            <w:tcW w:w="559" w:type="pct"/>
            <w:tcBorders>
              <w:top w:val="nil"/>
              <w:left w:val="nil"/>
              <w:bottom w:val="nil"/>
              <w:right w:val="nil"/>
            </w:tcBorders>
            <w:shd w:val="clear" w:color="auto" w:fill="auto"/>
            <w:vAlign w:val="center"/>
            <w:hideMark/>
          </w:tcPr>
          <w:p w14:paraId="69E12FB8" w14:textId="069D3088" w:rsidR="00FF0023" w:rsidRPr="008D21F0" w:rsidRDefault="00FF0023" w:rsidP="00FF0023">
            <w:pPr>
              <w:jc w:val="right"/>
              <w:rPr>
                <w:rFonts w:ascii="Calibri" w:hAnsi="Calibri" w:cs="Calibri"/>
                <w:color w:val="000000"/>
                <w:sz w:val="16"/>
                <w:szCs w:val="16"/>
              </w:rPr>
            </w:pPr>
            <w:r w:rsidRPr="008D21F0">
              <w:rPr>
                <w:rFonts w:ascii="Calibri" w:hAnsi="Calibri" w:cs="Calibri"/>
                <w:color w:val="000000"/>
                <w:sz w:val="16"/>
                <w:szCs w:val="16"/>
              </w:rPr>
              <w:t>1.713.173</w:t>
            </w:r>
          </w:p>
        </w:tc>
      </w:tr>
      <w:tr w:rsidR="00FF0023" w:rsidRPr="008D21F0" w14:paraId="0E5E4D50" w14:textId="77777777" w:rsidTr="00FF0023">
        <w:trPr>
          <w:trHeight w:val="300"/>
        </w:trPr>
        <w:tc>
          <w:tcPr>
            <w:tcW w:w="2771" w:type="pct"/>
            <w:tcBorders>
              <w:top w:val="nil"/>
              <w:left w:val="nil"/>
              <w:bottom w:val="nil"/>
              <w:right w:val="nil"/>
            </w:tcBorders>
            <w:shd w:val="clear" w:color="auto" w:fill="auto"/>
            <w:noWrap/>
            <w:vAlign w:val="center"/>
            <w:hideMark/>
          </w:tcPr>
          <w:p w14:paraId="6DFCF01C" w14:textId="77777777" w:rsidR="00FF0023" w:rsidRPr="008D21F0" w:rsidRDefault="00FF0023" w:rsidP="00FF0023">
            <w:pPr>
              <w:rPr>
                <w:rFonts w:ascii="Calibri" w:hAnsi="Calibri" w:cs="Calibri"/>
                <w:color w:val="000000"/>
                <w:sz w:val="16"/>
                <w:szCs w:val="16"/>
              </w:rPr>
            </w:pPr>
            <w:r w:rsidRPr="008D21F0">
              <w:rPr>
                <w:rFonts w:ascii="Calibri" w:hAnsi="Calibri" w:cs="Calibri"/>
                <w:color w:val="000000"/>
                <w:sz w:val="16"/>
                <w:szCs w:val="16"/>
              </w:rPr>
              <w:t>Norship Participações e Representações Comerciais LTDA 11/2011</w:t>
            </w:r>
          </w:p>
        </w:tc>
        <w:tc>
          <w:tcPr>
            <w:tcW w:w="1111" w:type="pct"/>
            <w:tcBorders>
              <w:top w:val="nil"/>
              <w:left w:val="nil"/>
              <w:bottom w:val="nil"/>
              <w:right w:val="nil"/>
            </w:tcBorders>
            <w:shd w:val="clear" w:color="auto" w:fill="auto"/>
            <w:noWrap/>
            <w:vAlign w:val="center"/>
            <w:hideMark/>
          </w:tcPr>
          <w:p w14:paraId="1B9460E1" w14:textId="2086543E" w:rsidR="00FF0023" w:rsidRPr="008D21F0" w:rsidRDefault="00FF0023" w:rsidP="00FF0023">
            <w:pPr>
              <w:jc w:val="center"/>
              <w:rPr>
                <w:rFonts w:ascii="Calibri" w:hAnsi="Calibri" w:cs="Calibri"/>
                <w:color w:val="000000"/>
                <w:sz w:val="16"/>
                <w:szCs w:val="16"/>
              </w:rPr>
            </w:pPr>
            <w:r>
              <w:rPr>
                <w:rFonts w:ascii="Calibri" w:hAnsi="Calibri" w:cs="Calibri"/>
                <w:color w:val="000000"/>
                <w:sz w:val="16"/>
                <w:szCs w:val="16"/>
              </w:rPr>
              <w:t>42</w:t>
            </w:r>
          </w:p>
        </w:tc>
        <w:tc>
          <w:tcPr>
            <w:tcW w:w="559" w:type="pct"/>
            <w:tcBorders>
              <w:top w:val="nil"/>
              <w:left w:val="nil"/>
              <w:bottom w:val="nil"/>
              <w:right w:val="nil"/>
            </w:tcBorders>
            <w:shd w:val="clear" w:color="auto" w:fill="auto"/>
            <w:noWrap/>
            <w:vAlign w:val="center"/>
            <w:hideMark/>
          </w:tcPr>
          <w:p w14:paraId="26555136" w14:textId="444AEFEF" w:rsidR="00FF0023" w:rsidRPr="008D21F0"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108.601 </w:t>
            </w:r>
          </w:p>
        </w:tc>
        <w:tc>
          <w:tcPr>
            <w:tcW w:w="559" w:type="pct"/>
            <w:tcBorders>
              <w:top w:val="nil"/>
              <w:left w:val="nil"/>
              <w:bottom w:val="nil"/>
              <w:right w:val="nil"/>
            </w:tcBorders>
            <w:shd w:val="clear" w:color="auto" w:fill="auto"/>
            <w:vAlign w:val="center"/>
            <w:hideMark/>
          </w:tcPr>
          <w:p w14:paraId="3219444F" w14:textId="6FB784BC" w:rsidR="00FF0023" w:rsidRPr="008D21F0" w:rsidRDefault="00FF0023" w:rsidP="00FF0023">
            <w:pPr>
              <w:jc w:val="right"/>
              <w:rPr>
                <w:rFonts w:ascii="Calibri" w:hAnsi="Calibri" w:cs="Calibri"/>
                <w:color w:val="000000"/>
                <w:sz w:val="16"/>
                <w:szCs w:val="16"/>
              </w:rPr>
            </w:pPr>
            <w:r w:rsidRPr="008D21F0">
              <w:rPr>
                <w:rFonts w:ascii="Calibri" w:hAnsi="Calibri" w:cs="Calibri"/>
                <w:color w:val="000000"/>
                <w:sz w:val="16"/>
                <w:szCs w:val="16"/>
              </w:rPr>
              <w:t>131.873</w:t>
            </w:r>
          </w:p>
        </w:tc>
      </w:tr>
      <w:tr w:rsidR="00FF0023" w:rsidRPr="008D21F0" w14:paraId="30911B82" w14:textId="77777777" w:rsidTr="00FF0023">
        <w:trPr>
          <w:trHeight w:val="300"/>
        </w:trPr>
        <w:tc>
          <w:tcPr>
            <w:tcW w:w="2771" w:type="pct"/>
            <w:tcBorders>
              <w:top w:val="nil"/>
              <w:left w:val="nil"/>
              <w:bottom w:val="nil"/>
              <w:right w:val="nil"/>
            </w:tcBorders>
            <w:shd w:val="clear" w:color="auto" w:fill="auto"/>
            <w:noWrap/>
            <w:vAlign w:val="center"/>
            <w:hideMark/>
          </w:tcPr>
          <w:p w14:paraId="52C8BBE5" w14:textId="77777777" w:rsidR="00FF0023" w:rsidRPr="008D21F0" w:rsidRDefault="00FF0023" w:rsidP="00FF0023">
            <w:pPr>
              <w:rPr>
                <w:rFonts w:ascii="Calibri" w:hAnsi="Calibri" w:cs="Calibri"/>
                <w:color w:val="000000"/>
                <w:sz w:val="16"/>
                <w:szCs w:val="16"/>
              </w:rPr>
            </w:pPr>
            <w:r w:rsidRPr="008D21F0">
              <w:rPr>
                <w:rFonts w:ascii="Calibri" w:hAnsi="Calibri" w:cs="Calibri"/>
                <w:color w:val="000000"/>
                <w:sz w:val="16"/>
                <w:szCs w:val="16"/>
              </w:rPr>
              <w:t>Nova Agri - Estrutura de Armazenagem e Escoamento S.A. 40/2008</w:t>
            </w:r>
          </w:p>
        </w:tc>
        <w:tc>
          <w:tcPr>
            <w:tcW w:w="1111" w:type="pct"/>
            <w:tcBorders>
              <w:top w:val="nil"/>
              <w:left w:val="nil"/>
              <w:bottom w:val="nil"/>
              <w:right w:val="nil"/>
            </w:tcBorders>
            <w:shd w:val="clear" w:color="auto" w:fill="auto"/>
            <w:noWrap/>
            <w:vAlign w:val="center"/>
            <w:hideMark/>
          </w:tcPr>
          <w:p w14:paraId="79DD251E" w14:textId="1C6FCFAB" w:rsidR="00FF0023" w:rsidRPr="008D21F0" w:rsidRDefault="00FF0023" w:rsidP="00FF0023">
            <w:pPr>
              <w:jc w:val="center"/>
              <w:rPr>
                <w:rFonts w:ascii="Calibri" w:hAnsi="Calibri" w:cs="Calibri"/>
                <w:color w:val="000000"/>
                <w:sz w:val="16"/>
                <w:szCs w:val="16"/>
              </w:rPr>
            </w:pPr>
            <w:r>
              <w:rPr>
                <w:rFonts w:ascii="Calibri" w:hAnsi="Calibri" w:cs="Calibri"/>
                <w:color w:val="000000"/>
                <w:sz w:val="16"/>
                <w:szCs w:val="16"/>
              </w:rPr>
              <w:t>21</w:t>
            </w:r>
          </w:p>
        </w:tc>
        <w:tc>
          <w:tcPr>
            <w:tcW w:w="559" w:type="pct"/>
            <w:tcBorders>
              <w:top w:val="nil"/>
              <w:left w:val="nil"/>
              <w:bottom w:val="nil"/>
              <w:right w:val="nil"/>
            </w:tcBorders>
            <w:shd w:val="clear" w:color="auto" w:fill="auto"/>
            <w:noWrap/>
            <w:vAlign w:val="center"/>
            <w:hideMark/>
          </w:tcPr>
          <w:p w14:paraId="33E5E370" w14:textId="7827AB1D" w:rsidR="00FF0023" w:rsidRPr="008D21F0"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39.157 </w:t>
            </w:r>
          </w:p>
        </w:tc>
        <w:tc>
          <w:tcPr>
            <w:tcW w:w="559" w:type="pct"/>
            <w:tcBorders>
              <w:top w:val="nil"/>
              <w:left w:val="nil"/>
              <w:bottom w:val="nil"/>
              <w:right w:val="nil"/>
            </w:tcBorders>
            <w:shd w:val="clear" w:color="auto" w:fill="auto"/>
            <w:vAlign w:val="center"/>
            <w:hideMark/>
          </w:tcPr>
          <w:p w14:paraId="15531D20" w14:textId="409894C1" w:rsidR="00FF0023" w:rsidRPr="008D21F0" w:rsidRDefault="00FF0023" w:rsidP="00FF0023">
            <w:pPr>
              <w:jc w:val="right"/>
              <w:rPr>
                <w:rFonts w:ascii="Calibri" w:hAnsi="Calibri" w:cs="Calibri"/>
                <w:color w:val="000000"/>
                <w:sz w:val="16"/>
                <w:szCs w:val="16"/>
              </w:rPr>
            </w:pPr>
            <w:r w:rsidRPr="008D21F0">
              <w:rPr>
                <w:rFonts w:ascii="Calibri" w:hAnsi="Calibri" w:cs="Calibri"/>
                <w:color w:val="000000"/>
                <w:sz w:val="16"/>
                <w:szCs w:val="16"/>
              </w:rPr>
              <w:t>55.938</w:t>
            </w:r>
          </w:p>
        </w:tc>
      </w:tr>
      <w:tr w:rsidR="00FF0023" w:rsidRPr="008D21F0" w14:paraId="30B53DD8" w14:textId="77777777" w:rsidTr="00FF0023">
        <w:trPr>
          <w:trHeight w:val="300"/>
        </w:trPr>
        <w:tc>
          <w:tcPr>
            <w:tcW w:w="2771" w:type="pct"/>
            <w:tcBorders>
              <w:top w:val="nil"/>
              <w:left w:val="nil"/>
              <w:bottom w:val="nil"/>
              <w:right w:val="nil"/>
            </w:tcBorders>
            <w:shd w:val="clear" w:color="auto" w:fill="auto"/>
            <w:noWrap/>
            <w:vAlign w:val="center"/>
            <w:hideMark/>
          </w:tcPr>
          <w:p w14:paraId="49D91D9F" w14:textId="77777777" w:rsidR="00FF0023" w:rsidRPr="008D21F0" w:rsidRDefault="00FF0023" w:rsidP="00FF0023">
            <w:pPr>
              <w:rPr>
                <w:rFonts w:ascii="Calibri" w:hAnsi="Calibri" w:cs="Calibri"/>
                <w:color w:val="000000"/>
                <w:sz w:val="16"/>
                <w:szCs w:val="16"/>
              </w:rPr>
            </w:pPr>
            <w:r w:rsidRPr="008D21F0">
              <w:rPr>
                <w:rFonts w:ascii="Calibri" w:hAnsi="Calibri" w:cs="Calibri"/>
                <w:color w:val="000000"/>
                <w:sz w:val="16"/>
                <w:szCs w:val="16"/>
              </w:rPr>
              <w:t>Nova Agri - Estrutura de Armazenagem e Escoamento S.A. 07/2011</w:t>
            </w:r>
          </w:p>
        </w:tc>
        <w:tc>
          <w:tcPr>
            <w:tcW w:w="1111" w:type="pct"/>
            <w:tcBorders>
              <w:top w:val="nil"/>
              <w:left w:val="nil"/>
              <w:bottom w:val="nil"/>
              <w:right w:val="nil"/>
            </w:tcBorders>
            <w:shd w:val="clear" w:color="auto" w:fill="auto"/>
            <w:noWrap/>
            <w:vAlign w:val="center"/>
            <w:hideMark/>
          </w:tcPr>
          <w:p w14:paraId="29523CF9" w14:textId="79D323AE" w:rsidR="00FF0023" w:rsidRPr="008D21F0" w:rsidRDefault="00FF0023" w:rsidP="00FF0023">
            <w:pPr>
              <w:jc w:val="center"/>
              <w:rPr>
                <w:rFonts w:ascii="Calibri" w:hAnsi="Calibri" w:cs="Calibri"/>
                <w:color w:val="000000"/>
                <w:sz w:val="16"/>
                <w:szCs w:val="16"/>
              </w:rPr>
            </w:pPr>
            <w:r>
              <w:rPr>
                <w:rFonts w:ascii="Calibri" w:hAnsi="Calibri" w:cs="Calibri"/>
                <w:color w:val="000000"/>
                <w:sz w:val="16"/>
                <w:szCs w:val="16"/>
              </w:rPr>
              <w:t>43</w:t>
            </w:r>
          </w:p>
        </w:tc>
        <w:tc>
          <w:tcPr>
            <w:tcW w:w="559" w:type="pct"/>
            <w:tcBorders>
              <w:top w:val="nil"/>
              <w:left w:val="nil"/>
              <w:bottom w:val="nil"/>
              <w:right w:val="nil"/>
            </w:tcBorders>
            <w:shd w:val="clear" w:color="auto" w:fill="auto"/>
            <w:noWrap/>
            <w:vAlign w:val="center"/>
            <w:hideMark/>
          </w:tcPr>
          <w:p w14:paraId="52F9D8A0" w14:textId="3A600E98" w:rsidR="00FF0023" w:rsidRPr="008D21F0"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124.392 </w:t>
            </w:r>
          </w:p>
        </w:tc>
        <w:tc>
          <w:tcPr>
            <w:tcW w:w="559" w:type="pct"/>
            <w:tcBorders>
              <w:top w:val="nil"/>
              <w:left w:val="nil"/>
              <w:bottom w:val="nil"/>
              <w:right w:val="nil"/>
            </w:tcBorders>
            <w:shd w:val="clear" w:color="auto" w:fill="auto"/>
            <w:vAlign w:val="center"/>
            <w:hideMark/>
          </w:tcPr>
          <w:p w14:paraId="55F8467E" w14:textId="746FF589" w:rsidR="00FF0023" w:rsidRPr="008D21F0" w:rsidRDefault="00FF0023" w:rsidP="00FF0023">
            <w:pPr>
              <w:jc w:val="right"/>
              <w:rPr>
                <w:rFonts w:ascii="Calibri" w:hAnsi="Calibri" w:cs="Calibri"/>
                <w:color w:val="000000"/>
                <w:sz w:val="16"/>
                <w:szCs w:val="16"/>
              </w:rPr>
            </w:pPr>
            <w:r w:rsidRPr="008D21F0">
              <w:rPr>
                <w:rFonts w:ascii="Calibri" w:hAnsi="Calibri" w:cs="Calibri"/>
                <w:color w:val="000000"/>
                <w:sz w:val="16"/>
                <w:szCs w:val="16"/>
              </w:rPr>
              <w:t>150.427</w:t>
            </w:r>
          </w:p>
        </w:tc>
      </w:tr>
      <w:tr w:rsidR="00FF0023" w:rsidRPr="008D21F0" w14:paraId="0133582C" w14:textId="77777777" w:rsidTr="00FF0023">
        <w:trPr>
          <w:trHeight w:val="300"/>
        </w:trPr>
        <w:tc>
          <w:tcPr>
            <w:tcW w:w="2771" w:type="pct"/>
            <w:tcBorders>
              <w:top w:val="nil"/>
              <w:left w:val="nil"/>
              <w:bottom w:val="nil"/>
              <w:right w:val="nil"/>
            </w:tcBorders>
            <w:shd w:val="clear" w:color="auto" w:fill="auto"/>
            <w:noWrap/>
            <w:vAlign w:val="center"/>
            <w:hideMark/>
          </w:tcPr>
          <w:p w14:paraId="34125ACA" w14:textId="77777777" w:rsidR="00FF0023" w:rsidRPr="008D21F0" w:rsidRDefault="00FF0023" w:rsidP="00FF0023">
            <w:pPr>
              <w:rPr>
                <w:rFonts w:ascii="Calibri" w:hAnsi="Calibri" w:cs="Calibri"/>
                <w:color w:val="000000"/>
                <w:sz w:val="16"/>
                <w:szCs w:val="16"/>
              </w:rPr>
            </w:pPr>
            <w:r w:rsidRPr="008D21F0">
              <w:rPr>
                <w:rFonts w:ascii="Calibri" w:hAnsi="Calibri" w:cs="Calibri"/>
                <w:color w:val="000000"/>
                <w:sz w:val="16"/>
                <w:szCs w:val="16"/>
              </w:rPr>
              <w:t>Nova Agri - Estrutura de Armazenagem e Escoamento S.A. 25/2012</w:t>
            </w:r>
          </w:p>
        </w:tc>
        <w:tc>
          <w:tcPr>
            <w:tcW w:w="1111" w:type="pct"/>
            <w:tcBorders>
              <w:top w:val="nil"/>
              <w:left w:val="nil"/>
              <w:bottom w:val="nil"/>
              <w:right w:val="nil"/>
            </w:tcBorders>
            <w:shd w:val="clear" w:color="auto" w:fill="auto"/>
            <w:noWrap/>
            <w:vAlign w:val="center"/>
            <w:hideMark/>
          </w:tcPr>
          <w:p w14:paraId="3F31D09F" w14:textId="69F793AA" w:rsidR="00FF0023" w:rsidRPr="008D21F0" w:rsidRDefault="00FF0023" w:rsidP="00FF0023">
            <w:pPr>
              <w:jc w:val="center"/>
              <w:rPr>
                <w:rFonts w:ascii="Calibri" w:hAnsi="Calibri" w:cs="Calibri"/>
                <w:color w:val="000000"/>
                <w:sz w:val="16"/>
                <w:szCs w:val="16"/>
              </w:rPr>
            </w:pPr>
            <w:r w:rsidRPr="008D21F0">
              <w:rPr>
                <w:rFonts w:ascii="Calibri" w:hAnsi="Calibri" w:cs="Calibri"/>
                <w:color w:val="000000"/>
                <w:sz w:val="16"/>
                <w:szCs w:val="16"/>
              </w:rPr>
              <w:t>6</w:t>
            </w:r>
            <w:r>
              <w:rPr>
                <w:rFonts w:ascii="Calibri" w:hAnsi="Calibri" w:cs="Calibri"/>
                <w:color w:val="000000"/>
                <w:sz w:val="16"/>
                <w:szCs w:val="16"/>
              </w:rPr>
              <w:t>0</w:t>
            </w:r>
          </w:p>
        </w:tc>
        <w:tc>
          <w:tcPr>
            <w:tcW w:w="559" w:type="pct"/>
            <w:tcBorders>
              <w:top w:val="nil"/>
              <w:left w:val="nil"/>
              <w:bottom w:val="nil"/>
              <w:right w:val="nil"/>
            </w:tcBorders>
            <w:shd w:val="clear" w:color="auto" w:fill="auto"/>
            <w:noWrap/>
            <w:vAlign w:val="center"/>
            <w:hideMark/>
          </w:tcPr>
          <w:p w14:paraId="751D4A69" w14:textId="73D55E8A" w:rsidR="00FF0023" w:rsidRPr="008D21F0"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666.669 </w:t>
            </w:r>
          </w:p>
        </w:tc>
        <w:tc>
          <w:tcPr>
            <w:tcW w:w="559" w:type="pct"/>
            <w:tcBorders>
              <w:top w:val="nil"/>
              <w:left w:val="nil"/>
              <w:bottom w:val="nil"/>
              <w:right w:val="nil"/>
            </w:tcBorders>
            <w:shd w:val="clear" w:color="auto" w:fill="auto"/>
            <w:vAlign w:val="center"/>
            <w:hideMark/>
          </w:tcPr>
          <w:p w14:paraId="7FBC9880" w14:textId="4E131723" w:rsidR="00FF0023" w:rsidRPr="008D21F0" w:rsidRDefault="00FF0023" w:rsidP="00FF0023">
            <w:pPr>
              <w:jc w:val="right"/>
              <w:rPr>
                <w:rFonts w:ascii="Calibri" w:hAnsi="Calibri" w:cs="Calibri"/>
                <w:color w:val="000000"/>
                <w:sz w:val="16"/>
                <w:szCs w:val="16"/>
              </w:rPr>
            </w:pPr>
            <w:r w:rsidRPr="008D21F0">
              <w:rPr>
                <w:rFonts w:ascii="Calibri" w:hAnsi="Calibri" w:cs="Calibri"/>
                <w:color w:val="000000"/>
                <w:sz w:val="16"/>
                <w:szCs w:val="16"/>
              </w:rPr>
              <w:t>766.669</w:t>
            </w:r>
          </w:p>
        </w:tc>
      </w:tr>
      <w:tr w:rsidR="00FF0023" w:rsidRPr="008D21F0" w14:paraId="04124B52" w14:textId="77777777" w:rsidTr="00FF0023">
        <w:trPr>
          <w:trHeight w:val="300"/>
        </w:trPr>
        <w:tc>
          <w:tcPr>
            <w:tcW w:w="2771" w:type="pct"/>
            <w:tcBorders>
              <w:top w:val="nil"/>
              <w:left w:val="nil"/>
              <w:bottom w:val="nil"/>
              <w:right w:val="nil"/>
            </w:tcBorders>
            <w:shd w:val="clear" w:color="auto" w:fill="auto"/>
            <w:noWrap/>
            <w:vAlign w:val="center"/>
            <w:hideMark/>
          </w:tcPr>
          <w:p w14:paraId="29CA323A" w14:textId="77777777" w:rsidR="00FF0023" w:rsidRPr="008D21F0" w:rsidRDefault="00FF0023" w:rsidP="00FF0023">
            <w:pPr>
              <w:rPr>
                <w:rFonts w:ascii="Calibri" w:hAnsi="Calibri" w:cs="Calibri"/>
                <w:color w:val="000000"/>
                <w:sz w:val="16"/>
                <w:szCs w:val="16"/>
              </w:rPr>
            </w:pPr>
            <w:r w:rsidRPr="008D21F0">
              <w:rPr>
                <w:rFonts w:ascii="Calibri" w:hAnsi="Calibri" w:cs="Calibri"/>
                <w:color w:val="000000"/>
                <w:sz w:val="16"/>
                <w:szCs w:val="16"/>
              </w:rPr>
              <w:t>Consórcio Pedro Afonso – Bunge S.A. 38/2010</w:t>
            </w:r>
          </w:p>
        </w:tc>
        <w:tc>
          <w:tcPr>
            <w:tcW w:w="1111" w:type="pct"/>
            <w:tcBorders>
              <w:top w:val="nil"/>
              <w:left w:val="nil"/>
              <w:bottom w:val="nil"/>
              <w:right w:val="nil"/>
            </w:tcBorders>
            <w:shd w:val="clear" w:color="auto" w:fill="auto"/>
            <w:noWrap/>
            <w:vAlign w:val="center"/>
            <w:hideMark/>
          </w:tcPr>
          <w:p w14:paraId="4CF5B549" w14:textId="562AAD9E" w:rsidR="00FF0023" w:rsidRPr="008D21F0" w:rsidRDefault="00FF0023" w:rsidP="00FF0023">
            <w:pPr>
              <w:jc w:val="center"/>
              <w:rPr>
                <w:rFonts w:ascii="Calibri" w:hAnsi="Calibri" w:cs="Calibri"/>
                <w:color w:val="000000"/>
                <w:sz w:val="16"/>
                <w:szCs w:val="16"/>
              </w:rPr>
            </w:pPr>
            <w:r>
              <w:rPr>
                <w:rFonts w:ascii="Calibri" w:hAnsi="Calibri" w:cs="Calibri"/>
                <w:color w:val="000000"/>
                <w:sz w:val="16"/>
                <w:szCs w:val="16"/>
              </w:rPr>
              <w:t>32</w:t>
            </w:r>
          </w:p>
        </w:tc>
        <w:tc>
          <w:tcPr>
            <w:tcW w:w="559" w:type="pct"/>
            <w:tcBorders>
              <w:top w:val="nil"/>
              <w:left w:val="nil"/>
              <w:bottom w:val="nil"/>
              <w:right w:val="nil"/>
            </w:tcBorders>
            <w:shd w:val="clear" w:color="auto" w:fill="auto"/>
            <w:noWrap/>
            <w:vAlign w:val="center"/>
            <w:hideMark/>
          </w:tcPr>
          <w:p w14:paraId="09388B2D" w14:textId="0F6A6C56" w:rsidR="00FF0023" w:rsidRPr="008D21F0"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54.616 </w:t>
            </w:r>
          </w:p>
        </w:tc>
        <w:tc>
          <w:tcPr>
            <w:tcW w:w="559" w:type="pct"/>
            <w:tcBorders>
              <w:top w:val="nil"/>
              <w:left w:val="nil"/>
              <w:bottom w:val="nil"/>
              <w:right w:val="nil"/>
            </w:tcBorders>
            <w:shd w:val="clear" w:color="auto" w:fill="auto"/>
            <w:vAlign w:val="center"/>
            <w:hideMark/>
          </w:tcPr>
          <w:p w14:paraId="593FEA74" w14:textId="2DBB8614" w:rsidR="00FF0023" w:rsidRPr="008D21F0" w:rsidRDefault="00FF0023" w:rsidP="00FF0023">
            <w:pPr>
              <w:jc w:val="right"/>
              <w:rPr>
                <w:rFonts w:ascii="Calibri" w:hAnsi="Calibri" w:cs="Calibri"/>
                <w:color w:val="000000"/>
                <w:sz w:val="16"/>
                <w:szCs w:val="16"/>
              </w:rPr>
            </w:pPr>
            <w:r w:rsidRPr="008D21F0">
              <w:rPr>
                <w:rFonts w:ascii="Calibri" w:hAnsi="Calibri" w:cs="Calibri"/>
                <w:color w:val="000000"/>
                <w:sz w:val="16"/>
                <w:szCs w:val="16"/>
              </w:rPr>
              <w:t>69.512</w:t>
            </w:r>
          </w:p>
        </w:tc>
      </w:tr>
      <w:tr w:rsidR="00FF0023" w:rsidRPr="008D21F0" w14:paraId="3A782FB9" w14:textId="77777777" w:rsidTr="00FF0023">
        <w:trPr>
          <w:trHeight w:val="300"/>
        </w:trPr>
        <w:tc>
          <w:tcPr>
            <w:tcW w:w="2771" w:type="pct"/>
            <w:tcBorders>
              <w:top w:val="nil"/>
              <w:left w:val="nil"/>
              <w:bottom w:val="nil"/>
              <w:right w:val="nil"/>
            </w:tcBorders>
            <w:shd w:val="clear" w:color="auto" w:fill="auto"/>
            <w:noWrap/>
            <w:vAlign w:val="center"/>
            <w:hideMark/>
          </w:tcPr>
          <w:p w14:paraId="4CE040D6" w14:textId="77777777" w:rsidR="00FF0023" w:rsidRPr="008D21F0" w:rsidRDefault="00FF0023" w:rsidP="00FF0023">
            <w:pPr>
              <w:rPr>
                <w:rFonts w:ascii="Calibri" w:hAnsi="Calibri" w:cs="Calibri"/>
                <w:color w:val="000000"/>
                <w:sz w:val="16"/>
                <w:szCs w:val="16"/>
              </w:rPr>
            </w:pPr>
            <w:r w:rsidRPr="008D21F0">
              <w:rPr>
                <w:rFonts w:ascii="Calibri" w:hAnsi="Calibri" w:cs="Calibri"/>
                <w:color w:val="000000"/>
                <w:sz w:val="16"/>
                <w:szCs w:val="16"/>
              </w:rPr>
              <w:t>Consórcio Pedro Afonso – Bunge S.A. 39/2010</w:t>
            </w:r>
          </w:p>
        </w:tc>
        <w:tc>
          <w:tcPr>
            <w:tcW w:w="1111" w:type="pct"/>
            <w:tcBorders>
              <w:top w:val="nil"/>
              <w:left w:val="nil"/>
              <w:bottom w:val="nil"/>
              <w:right w:val="nil"/>
            </w:tcBorders>
            <w:shd w:val="clear" w:color="auto" w:fill="auto"/>
            <w:noWrap/>
            <w:vAlign w:val="center"/>
            <w:hideMark/>
          </w:tcPr>
          <w:p w14:paraId="5224267C" w14:textId="1E8342A3" w:rsidR="00FF0023" w:rsidRPr="008D21F0" w:rsidRDefault="00FF0023" w:rsidP="00FF0023">
            <w:pPr>
              <w:jc w:val="center"/>
              <w:rPr>
                <w:rFonts w:ascii="Calibri" w:hAnsi="Calibri" w:cs="Calibri"/>
                <w:color w:val="000000"/>
                <w:sz w:val="16"/>
                <w:szCs w:val="16"/>
              </w:rPr>
            </w:pPr>
            <w:r>
              <w:rPr>
                <w:rFonts w:ascii="Calibri" w:hAnsi="Calibri" w:cs="Calibri"/>
                <w:color w:val="000000"/>
                <w:sz w:val="16"/>
                <w:szCs w:val="16"/>
              </w:rPr>
              <w:t>32</w:t>
            </w:r>
          </w:p>
        </w:tc>
        <w:tc>
          <w:tcPr>
            <w:tcW w:w="559" w:type="pct"/>
            <w:tcBorders>
              <w:top w:val="nil"/>
              <w:left w:val="nil"/>
              <w:bottom w:val="nil"/>
              <w:right w:val="nil"/>
            </w:tcBorders>
            <w:shd w:val="clear" w:color="auto" w:fill="auto"/>
            <w:noWrap/>
            <w:vAlign w:val="center"/>
            <w:hideMark/>
          </w:tcPr>
          <w:p w14:paraId="4FE54D98" w14:textId="0210B6DA" w:rsidR="00FF0023" w:rsidRPr="008D21F0"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54.616 </w:t>
            </w:r>
          </w:p>
        </w:tc>
        <w:tc>
          <w:tcPr>
            <w:tcW w:w="559" w:type="pct"/>
            <w:tcBorders>
              <w:top w:val="nil"/>
              <w:left w:val="nil"/>
              <w:bottom w:val="nil"/>
              <w:right w:val="nil"/>
            </w:tcBorders>
            <w:shd w:val="clear" w:color="auto" w:fill="auto"/>
            <w:vAlign w:val="center"/>
            <w:hideMark/>
          </w:tcPr>
          <w:p w14:paraId="2ADEA54C" w14:textId="1D2D5440" w:rsidR="00FF0023" w:rsidRPr="008D21F0" w:rsidRDefault="00FF0023" w:rsidP="00FF0023">
            <w:pPr>
              <w:jc w:val="right"/>
              <w:rPr>
                <w:rFonts w:ascii="Calibri" w:hAnsi="Calibri" w:cs="Calibri"/>
                <w:color w:val="000000"/>
                <w:sz w:val="16"/>
                <w:szCs w:val="16"/>
              </w:rPr>
            </w:pPr>
            <w:r w:rsidRPr="008D21F0">
              <w:rPr>
                <w:rFonts w:ascii="Calibri" w:hAnsi="Calibri" w:cs="Calibri"/>
                <w:color w:val="000000"/>
                <w:sz w:val="16"/>
                <w:szCs w:val="16"/>
              </w:rPr>
              <w:t>69.512</w:t>
            </w:r>
          </w:p>
        </w:tc>
      </w:tr>
      <w:tr w:rsidR="00FF0023" w:rsidRPr="008D21F0" w14:paraId="54AFDAE1" w14:textId="77777777" w:rsidTr="00FF0023">
        <w:trPr>
          <w:trHeight w:val="300"/>
        </w:trPr>
        <w:tc>
          <w:tcPr>
            <w:tcW w:w="2771" w:type="pct"/>
            <w:tcBorders>
              <w:top w:val="nil"/>
              <w:left w:val="nil"/>
              <w:bottom w:val="nil"/>
              <w:right w:val="nil"/>
            </w:tcBorders>
            <w:shd w:val="clear" w:color="auto" w:fill="auto"/>
            <w:noWrap/>
            <w:vAlign w:val="center"/>
            <w:hideMark/>
          </w:tcPr>
          <w:p w14:paraId="2FCBA141" w14:textId="77777777" w:rsidR="00FF0023" w:rsidRPr="008D21F0" w:rsidRDefault="00FF0023" w:rsidP="00FF0023">
            <w:pPr>
              <w:rPr>
                <w:rFonts w:ascii="Calibri" w:hAnsi="Calibri" w:cs="Calibri"/>
                <w:color w:val="000000"/>
                <w:sz w:val="16"/>
                <w:szCs w:val="16"/>
              </w:rPr>
            </w:pPr>
            <w:r w:rsidRPr="008D21F0">
              <w:rPr>
                <w:rFonts w:ascii="Calibri" w:hAnsi="Calibri" w:cs="Calibri"/>
                <w:color w:val="000000"/>
                <w:sz w:val="16"/>
                <w:szCs w:val="16"/>
              </w:rPr>
              <w:t>Petrobras Distribuidora S.A. 08/2011</w:t>
            </w:r>
          </w:p>
        </w:tc>
        <w:tc>
          <w:tcPr>
            <w:tcW w:w="1111" w:type="pct"/>
            <w:tcBorders>
              <w:top w:val="nil"/>
              <w:left w:val="nil"/>
              <w:bottom w:val="nil"/>
              <w:right w:val="nil"/>
            </w:tcBorders>
            <w:shd w:val="clear" w:color="auto" w:fill="auto"/>
            <w:noWrap/>
            <w:vAlign w:val="center"/>
            <w:hideMark/>
          </w:tcPr>
          <w:p w14:paraId="31F5F44F" w14:textId="18C1C0B8" w:rsidR="00FF0023" w:rsidRPr="008D21F0" w:rsidRDefault="00FF0023" w:rsidP="00FF0023">
            <w:pPr>
              <w:jc w:val="center"/>
              <w:rPr>
                <w:rFonts w:ascii="Calibri" w:hAnsi="Calibri" w:cs="Calibri"/>
                <w:color w:val="000000"/>
                <w:sz w:val="16"/>
                <w:szCs w:val="16"/>
              </w:rPr>
            </w:pPr>
            <w:r>
              <w:rPr>
                <w:rFonts w:ascii="Calibri" w:hAnsi="Calibri" w:cs="Calibri"/>
                <w:color w:val="000000"/>
                <w:sz w:val="16"/>
                <w:szCs w:val="16"/>
              </w:rPr>
              <w:t>43</w:t>
            </w:r>
          </w:p>
        </w:tc>
        <w:tc>
          <w:tcPr>
            <w:tcW w:w="559" w:type="pct"/>
            <w:tcBorders>
              <w:top w:val="nil"/>
              <w:left w:val="nil"/>
              <w:bottom w:val="nil"/>
              <w:right w:val="nil"/>
            </w:tcBorders>
            <w:shd w:val="clear" w:color="auto" w:fill="auto"/>
            <w:noWrap/>
            <w:vAlign w:val="center"/>
            <w:hideMark/>
          </w:tcPr>
          <w:p w14:paraId="43AA4F4B" w14:textId="77F879CC" w:rsidR="00FF0023" w:rsidRPr="008D21F0"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387.239 </w:t>
            </w:r>
          </w:p>
        </w:tc>
        <w:tc>
          <w:tcPr>
            <w:tcW w:w="559" w:type="pct"/>
            <w:tcBorders>
              <w:top w:val="nil"/>
              <w:left w:val="nil"/>
              <w:bottom w:val="nil"/>
              <w:right w:val="nil"/>
            </w:tcBorders>
            <w:shd w:val="clear" w:color="auto" w:fill="auto"/>
            <w:vAlign w:val="center"/>
            <w:hideMark/>
          </w:tcPr>
          <w:p w14:paraId="77B0CCDB" w14:textId="513C74AD" w:rsidR="00FF0023" w:rsidRPr="008D21F0" w:rsidRDefault="00FF0023" w:rsidP="00FF0023">
            <w:pPr>
              <w:jc w:val="right"/>
              <w:rPr>
                <w:rFonts w:ascii="Calibri" w:hAnsi="Calibri" w:cs="Calibri"/>
                <w:color w:val="000000"/>
                <w:sz w:val="16"/>
                <w:szCs w:val="16"/>
              </w:rPr>
            </w:pPr>
            <w:r w:rsidRPr="008D21F0">
              <w:rPr>
                <w:rFonts w:ascii="Calibri" w:hAnsi="Calibri" w:cs="Calibri"/>
                <w:color w:val="000000"/>
                <w:sz w:val="16"/>
                <w:szCs w:val="16"/>
              </w:rPr>
              <w:t>468.289</w:t>
            </w:r>
          </w:p>
        </w:tc>
      </w:tr>
      <w:tr w:rsidR="00FF0023" w14:paraId="32E41543" w14:textId="77777777" w:rsidTr="00FF0023">
        <w:trPr>
          <w:trHeight w:val="300"/>
        </w:trPr>
        <w:tc>
          <w:tcPr>
            <w:tcW w:w="2771" w:type="pct"/>
            <w:tcBorders>
              <w:top w:val="nil"/>
              <w:left w:val="nil"/>
              <w:bottom w:val="nil"/>
              <w:right w:val="nil"/>
            </w:tcBorders>
            <w:shd w:val="clear" w:color="auto" w:fill="auto"/>
            <w:noWrap/>
            <w:vAlign w:val="center"/>
            <w:hideMark/>
          </w:tcPr>
          <w:p w14:paraId="796CC42C" w14:textId="77777777" w:rsidR="00FF0023" w:rsidRPr="008D21F0" w:rsidRDefault="00FF0023" w:rsidP="00FF0023">
            <w:pPr>
              <w:rPr>
                <w:rFonts w:ascii="Calibri" w:hAnsi="Calibri" w:cs="Calibri"/>
                <w:color w:val="000000"/>
                <w:sz w:val="16"/>
                <w:szCs w:val="16"/>
              </w:rPr>
            </w:pPr>
            <w:r w:rsidRPr="008D21F0">
              <w:rPr>
                <w:rFonts w:ascii="Calibri" w:hAnsi="Calibri" w:cs="Calibri"/>
                <w:color w:val="000000"/>
                <w:sz w:val="16"/>
                <w:szCs w:val="16"/>
              </w:rPr>
              <w:t>Porto Seco Centro Oeste S.A. 13/2016</w:t>
            </w:r>
          </w:p>
        </w:tc>
        <w:tc>
          <w:tcPr>
            <w:tcW w:w="1111" w:type="pct"/>
            <w:tcBorders>
              <w:top w:val="nil"/>
              <w:left w:val="nil"/>
              <w:bottom w:val="nil"/>
              <w:right w:val="nil"/>
            </w:tcBorders>
            <w:shd w:val="clear" w:color="auto" w:fill="auto"/>
            <w:noWrap/>
            <w:vAlign w:val="center"/>
            <w:hideMark/>
          </w:tcPr>
          <w:p w14:paraId="5CAED567" w14:textId="3222F9BE" w:rsidR="00FF0023" w:rsidRPr="008D21F0" w:rsidRDefault="00FF0023" w:rsidP="00FF0023">
            <w:pPr>
              <w:jc w:val="center"/>
              <w:rPr>
                <w:rFonts w:ascii="Calibri" w:hAnsi="Calibri" w:cs="Calibri"/>
                <w:color w:val="000000"/>
                <w:sz w:val="16"/>
                <w:szCs w:val="16"/>
              </w:rPr>
            </w:pPr>
            <w:r w:rsidRPr="008D21F0">
              <w:rPr>
                <w:rFonts w:ascii="Calibri" w:hAnsi="Calibri" w:cs="Calibri"/>
                <w:color w:val="000000"/>
                <w:sz w:val="16"/>
                <w:szCs w:val="16"/>
              </w:rPr>
              <w:t>2</w:t>
            </w:r>
            <w:r>
              <w:rPr>
                <w:rFonts w:ascii="Calibri" w:hAnsi="Calibri" w:cs="Calibri"/>
                <w:color w:val="000000"/>
                <w:sz w:val="16"/>
                <w:szCs w:val="16"/>
              </w:rPr>
              <w:t>84</w:t>
            </w:r>
          </w:p>
        </w:tc>
        <w:tc>
          <w:tcPr>
            <w:tcW w:w="559" w:type="pct"/>
            <w:tcBorders>
              <w:top w:val="nil"/>
              <w:left w:val="nil"/>
              <w:bottom w:val="nil"/>
              <w:right w:val="nil"/>
            </w:tcBorders>
            <w:shd w:val="clear" w:color="auto" w:fill="auto"/>
            <w:noWrap/>
            <w:vAlign w:val="center"/>
            <w:hideMark/>
          </w:tcPr>
          <w:p w14:paraId="3A3DAF5A" w14:textId="59D17328" w:rsidR="00FF0023" w:rsidRPr="008D21F0"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7.573.333 </w:t>
            </w:r>
          </w:p>
        </w:tc>
        <w:tc>
          <w:tcPr>
            <w:tcW w:w="559" w:type="pct"/>
            <w:tcBorders>
              <w:top w:val="nil"/>
              <w:left w:val="nil"/>
              <w:bottom w:val="nil"/>
              <w:right w:val="nil"/>
            </w:tcBorders>
            <w:shd w:val="clear" w:color="auto" w:fill="auto"/>
            <w:vAlign w:val="center"/>
            <w:hideMark/>
          </w:tcPr>
          <w:p w14:paraId="6B7CEEDA" w14:textId="2FAAF463" w:rsidR="00FF0023" w:rsidRDefault="00FF0023" w:rsidP="00FF0023">
            <w:pPr>
              <w:jc w:val="right"/>
              <w:rPr>
                <w:rFonts w:ascii="Calibri" w:hAnsi="Calibri" w:cs="Calibri"/>
                <w:color w:val="000000"/>
                <w:sz w:val="16"/>
                <w:szCs w:val="16"/>
              </w:rPr>
            </w:pPr>
            <w:r w:rsidRPr="008D21F0">
              <w:rPr>
                <w:rFonts w:ascii="Calibri" w:hAnsi="Calibri" w:cs="Calibri"/>
                <w:color w:val="000000"/>
                <w:sz w:val="16"/>
                <w:szCs w:val="16"/>
              </w:rPr>
              <w:t>7.813.333</w:t>
            </w:r>
          </w:p>
        </w:tc>
      </w:tr>
      <w:tr w:rsidR="00FF0023" w14:paraId="525448F6" w14:textId="77777777" w:rsidTr="00FF0023">
        <w:trPr>
          <w:trHeight w:val="300"/>
        </w:trPr>
        <w:tc>
          <w:tcPr>
            <w:tcW w:w="2771" w:type="pct"/>
            <w:tcBorders>
              <w:top w:val="nil"/>
              <w:left w:val="nil"/>
              <w:bottom w:val="nil"/>
              <w:right w:val="nil"/>
            </w:tcBorders>
            <w:shd w:val="clear" w:color="auto" w:fill="auto"/>
            <w:noWrap/>
            <w:vAlign w:val="center"/>
            <w:hideMark/>
          </w:tcPr>
          <w:p w14:paraId="73106CC0" w14:textId="77777777" w:rsidR="00FF0023" w:rsidRDefault="00FF0023" w:rsidP="00FF0023">
            <w:pPr>
              <w:rPr>
                <w:rFonts w:ascii="Calibri" w:hAnsi="Calibri" w:cs="Calibri"/>
                <w:color w:val="000000"/>
                <w:sz w:val="16"/>
                <w:szCs w:val="16"/>
              </w:rPr>
            </w:pPr>
            <w:r>
              <w:rPr>
                <w:rFonts w:ascii="Calibri" w:hAnsi="Calibri" w:cs="Calibri"/>
                <w:color w:val="000000"/>
                <w:sz w:val="16"/>
                <w:szCs w:val="16"/>
              </w:rPr>
              <w:t>Raízen Combustíveis S.A. 10/2011</w:t>
            </w:r>
          </w:p>
        </w:tc>
        <w:tc>
          <w:tcPr>
            <w:tcW w:w="1111" w:type="pct"/>
            <w:tcBorders>
              <w:top w:val="nil"/>
              <w:left w:val="nil"/>
              <w:bottom w:val="nil"/>
              <w:right w:val="nil"/>
            </w:tcBorders>
            <w:shd w:val="clear" w:color="auto" w:fill="auto"/>
            <w:noWrap/>
            <w:vAlign w:val="center"/>
            <w:hideMark/>
          </w:tcPr>
          <w:p w14:paraId="5828F18B" w14:textId="0DEA0607" w:rsidR="00FF0023" w:rsidRPr="008D21F0" w:rsidRDefault="00FF0023" w:rsidP="00FF0023">
            <w:pPr>
              <w:jc w:val="center"/>
              <w:rPr>
                <w:rFonts w:ascii="Calibri" w:hAnsi="Calibri" w:cs="Calibri"/>
                <w:color w:val="000000"/>
                <w:sz w:val="16"/>
                <w:szCs w:val="16"/>
              </w:rPr>
            </w:pPr>
            <w:r>
              <w:rPr>
                <w:rFonts w:ascii="Calibri" w:hAnsi="Calibri" w:cs="Calibri"/>
                <w:color w:val="000000"/>
                <w:sz w:val="16"/>
                <w:szCs w:val="16"/>
              </w:rPr>
              <w:t>42</w:t>
            </w:r>
          </w:p>
        </w:tc>
        <w:tc>
          <w:tcPr>
            <w:tcW w:w="559" w:type="pct"/>
            <w:tcBorders>
              <w:top w:val="nil"/>
              <w:left w:val="nil"/>
              <w:bottom w:val="nil"/>
              <w:right w:val="nil"/>
            </w:tcBorders>
            <w:shd w:val="clear" w:color="auto" w:fill="auto"/>
            <w:noWrap/>
            <w:vAlign w:val="center"/>
            <w:hideMark/>
          </w:tcPr>
          <w:p w14:paraId="35C73BA3" w14:textId="32A86250" w:rsidR="00FF0023"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241.278 </w:t>
            </w:r>
          </w:p>
        </w:tc>
        <w:tc>
          <w:tcPr>
            <w:tcW w:w="559" w:type="pct"/>
            <w:tcBorders>
              <w:top w:val="nil"/>
              <w:left w:val="nil"/>
              <w:bottom w:val="nil"/>
              <w:right w:val="nil"/>
            </w:tcBorders>
            <w:shd w:val="clear" w:color="auto" w:fill="auto"/>
            <w:vAlign w:val="center"/>
            <w:hideMark/>
          </w:tcPr>
          <w:p w14:paraId="3747A366" w14:textId="3D756FD2" w:rsidR="00FF0023" w:rsidRDefault="00FF0023" w:rsidP="00FF0023">
            <w:pPr>
              <w:jc w:val="right"/>
              <w:rPr>
                <w:rFonts w:ascii="Calibri" w:hAnsi="Calibri" w:cs="Calibri"/>
                <w:color w:val="000000"/>
                <w:sz w:val="16"/>
                <w:szCs w:val="16"/>
              </w:rPr>
            </w:pPr>
            <w:r>
              <w:rPr>
                <w:rFonts w:ascii="Calibri" w:hAnsi="Calibri" w:cs="Calibri"/>
                <w:color w:val="000000"/>
                <w:sz w:val="16"/>
                <w:szCs w:val="16"/>
              </w:rPr>
              <w:t>291.778</w:t>
            </w:r>
          </w:p>
        </w:tc>
      </w:tr>
      <w:tr w:rsidR="00FF0023" w14:paraId="62B6F728" w14:textId="77777777" w:rsidTr="00FF0023">
        <w:trPr>
          <w:trHeight w:val="300"/>
        </w:trPr>
        <w:tc>
          <w:tcPr>
            <w:tcW w:w="2771" w:type="pct"/>
            <w:tcBorders>
              <w:top w:val="nil"/>
              <w:left w:val="nil"/>
              <w:bottom w:val="nil"/>
              <w:right w:val="nil"/>
            </w:tcBorders>
            <w:shd w:val="clear" w:color="auto" w:fill="auto"/>
            <w:noWrap/>
            <w:vAlign w:val="center"/>
            <w:hideMark/>
          </w:tcPr>
          <w:p w14:paraId="3C789098" w14:textId="77777777" w:rsidR="00FF0023" w:rsidRDefault="00FF0023" w:rsidP="00FF0023">
            <w:pPr>
              <w:rPr>
                <w:rFonts w:ascii="Calibri" w:hAnsi="Calibri" w:cs="Calibri"/>
                <w:color w:val="000000"/>
                <w:sz w:val="16"/>
                <w:szCs w:val="16"/>
              </w:rPr>
            </w:pPr>
            <w:r>
              <w:rPr>
                <w:rFonts w:ascii="Calibri" w:hAnsi="Calibri" w:cs="Calibri"/>
                <w:color w:val="000000"/>
                <w:sz w:val="16"/>
                <w:szCs w:val="16"/>
              </w:rPr>
              <w:t>TDC - Distribuidora de Combustíveis S.A. 01/2016</w:t>
            </w:r>
          </w:p>
        </w:tc>
        <w:tc>
          <w:tcPr>
            <w:tcW w:w="1111" w:type="pct"/>
            <w:tcBorders>
              <w:top w:val="nil"/>
              <w:left w:val="nil"/>
              <w:bottom w:val="nil"/>
              <w:right w:val="nil"/>
            </w:tcBorders>
            <w:shd w:val="clear" w:color="auto" w:fill="auto"/>
            <w:noWrap/>
            <w:vAlign w:val="center"/>
            <w:hideMark/>
          </w:tcPr>
          <w:p w14:paraId="784FDEC6" w14:textId="25578E66" w:rsidR="00FF0023" w:rsidRPr="008D21F0" w:rsidRDefault="00FF0023" w:rsidP="00FF0023">
            <w:pPr>
              <w:jc w:val="center"/>
              <w:rPr>
                <w:rFonts w:ascii="Calibri" w:hAnsi="Calibri" w:cs="Calibri"/>
                <w:color w:val="000000"/>
                <w:sz w:val="16"/>
                <w:szCs w:val="16"/>
              </w:rPr>
            </w:pPr>
            <w:r w:rsidRPr="008D21F0">
              <w:rPr>
                <w:rFonts w:ascii="Calibri" w:hAnsi="Calibri" w:cs="Calibri"/>
                <w:color w:val="000000"/>
                <w:sz w:val="16"/>
                <w:szCs w:val="16"/>
              </w:rPr>
              <w:t>2</w:t>
            </w:r>
            <w:r>
              <w:rPr>
                <w:rFonts w:ascii="Calibri" w:hAnsi="Calibri" w:cs="Calibri"/>
                <w:color w:val="000000"/>
                <w:sz w:val="16"/>
                <w:szCs w:val="16"/>
              </w:rPr>
              <w:t>81</w:t>
            </w:r>
          </w:p>
        </w:tc>
        <w:tc>
          <w:tcPr>
            <w:tcW w:w="559" w:type="pct"/>
            <w:tcBorders>
              <w:top w:val="nil"/>
              <w:left w:val="nil"/>
              <w:bottom w:val="nil"/>
              <w:right w:val="nil"/>
            </w:tcBorders>
            <w:shd w:val="clear" w:color="auto" w:fill="auto"/>
            <w:noWrap/>
            <w:vAlign w:val="center"/>
            <w:hideMark/>
          </w:tcPr>
          <w:p w14:paraId="2B223DAE" w14:textId="556E97C6" w:rsidR="00FF0023"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7.883.611 </w:t>
            </w:r>
          </w:p>
        </w:tc>
        <w:tc>
          <w:tcPr>
            <w:tcW w:w="559" w:type="pct"/>
            <w:tcBorders>
              <w:top w:val="nil"/>
              <w:left w:val="nil"/>
              <w:bottom w:val="nil"/>
              <w:right w:val="nil"/>
            </w:tcBorders>
            <w:shd w:val="clear" w:color="auto" w:fill="auto"/>
            <w:vAlign w:val="center"/>
            <w:hideMark/>
          </w:tcPr>
          <w:p w14:paraId="5BA4F77A" w14:textId="7056A1C2" w:rsidR="00FF0023" w:rsidRDefault="00FF0023" w:rsidP="00FF0023">
            <w:pPr>
              <w:jc w:val="right"/>
              <w:rPr>
                <w:rFonts w:ascii="Calibri" w:hAnsi="Calibri" w:cs="Calibri"/>
                <w:color w:val="000000"/>
                <w:sz w:val="16"/>
                <w:szCs w:val="16"/>
              </w:rPr>
            </w:pPr>
            <w:r>
              <w:rPr>
                <w:rFonts w:ascii="Calibri" w:hAnsi="Calibri" w:cs="Calibri"/>
                <w:color w:val="000000"/>
                <w:sz w:val="16"/>
                <w:szCs w:val="16"/>
              </w:rPr>
              <w:t>8.136.111</w:t>
            </w:r>
          </w:p>
        </w:tc>
      </w:tr>
      <w:tr w:rsidR="00FF0023" w14:paraId="688B807F" w14:textId="77777777" w:rsidTr="00FF0023">
        <w:trPr>
          <w:trHeight w:hRule="exact" w:val="315"/>
        </w:trPr>
        <w:tc>
          <w:tcPr>
            <w:tcW w:w="2771" w:type="pct"/>
            <w:tcBorders>
              <w:top w:val="nil"/>
              <w:left w:val="nil"/>
              <w:right w:val="nil"/>
            </w:tcBorders>
            <w:shd w:val="clear" w:color="auto" w:fill="auto"/>
            <w:noWrap/>
            <w:vAlign w:val="center"/>
            <w:hideMark/>
          </w:tcPr>
          <w:p w14:paraId="2034B2B1" w14:textId="77777777" w:rsidR="00FF0023" w:rsidRDefault="00FF0023" w:rsidP="00FF0023">
            <w:pPr>
              <w:rPr>
                <w:rFonts w:ascii="Calibri" w:hAnsi="Calibri" w:cs="Calibri"/>
                <w:color w:val="000000"/>
                <w:sz w:val="16"/>
                <w:szCs w:val="16"/>
              </w:rPr>
            </w:pPr>
            <w:r>
              <w:rPr>
                <w:rFonts w:ascii="Calibri" w:hAnsi="Calibri" w:cs="Calibri"/>
                <w:color w:val="000000"/>
                <w:sz w:val="16"/>
                <w:szCs w:val="16"/>
              </w:rPr>
              <w:t>Terminal VLI Porto Franco S.A. 19/2021</w:t>
            </w:r>
          </w:p>
        </w:tc>
        <w:tc>
          <w:tcPr>
            <w:tcW w:w="1111" w:type="pct"/>
            <w:tcBorders>
              <w:top w:val="nil"/>
              <w:left w:val="nil"/>
              <w:right w:val="nil"/>
            </w:tcBorders>
            <w:shd w:val="clear" w:color="auto" w:fill="auto"/>
            <w:noWrap/>
            <w:vAlign w:val="center"/>
            <w:hideMark/>
          </w:tcPr>
          <w:p w14:paraId="20B7FF21" w14:textId="08D43D32" w:rsidR="00FF0023" w:rsidRPr="008D21F0" w:rsidRDefault="00FF0023" w:rsidP="00FF0023">
            <w:pPr>
              <w:jc w:val="center"/>
              <w:rPr>
                <w:rFonts w:ascii="Calibri" w:hAnsi="Calibri" w:cs="Calibri"/>
                <w:color w:val="000000"/>
                <w:sz w:val="16"/>
                <w:szCs w:val="16"/>
              </w:rPr>
            </w:pPr>
            <w:r w:rsidRPr="008D21F0">
              <w:rPr>
                <w:rFonts w:ascii="Calibri" w:hAnsi="Calibri" w:cs="Calibri"/>
                <w:color w:val="000000"/>
                <w:sz w:val="16"/>
                <w:szCs w:val="16"/>
              </w:rPr>
              <w:t>1</w:t>
            </w:r>
            <w:r>
              <w:rPr>
                <w:rFonts w:ascii="Calibri" w:hAnsi="Calibri" w:cs="Calibri"/>
                <w:color w:val="000000"/>
                <w:sz w:val="16"/>
                <w:szCs w:val="16"/>
              </w:rPr>
              <w:t>66</w:t>
            </w:r>
          </w:p>
        </w:tc>
        <w:tc>
          <w:tcPr>
            <w:tcW w:w="559" w:type="pct"/>
            <w:tcBorders>
              <w:top w:val="nil"/>
              <w:left w:val="nil"/>
              <w:right w:val="nil"/>
            </w:tcBorders>
            <w:shd w:val="clear" w:color="auto" w:fill="auto"/>
            <w:noWrap/>
            <w:vAlign w:val="center"/>
            <w:hideMark/>
          </w:tcPr>
          <w:p w14:paraId="4DC34BC3" w14:textId="2C1A5DA9" w:rsidR="00FF0023"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12.367.003 </w:t>
            </w:r>
          </w:p>
        </w:tc>
        <w:tc>
          <w:tcPr>
            <w:tcW w:w="559" w:type="pct"/>
            <w:tcBorders>
              <w:top w:val="nil"/>
              <w:left w:val="nil"/>
              <w:right w:val="nil"/>
            </w:tcBorders>
            <w:shd w:val="clear" w:color="auto" w:fill="auto"/>
            <w:vAlign w:val="center"/>
            <w:hideMark/>
          </w:tcPr>
          <w:p w14:paraId="583E4936" w14:textId="7EAF66F5" w:rsidR="00FF0023" w:rsidRDefault="00FF0023" w:rsidP="00FF0023">
            <w:pPr>
              <w:jc w:val="right"/>
              <w:rPr>
                <w:rFonts w:ascii="Calibri" w:hAnsi="Calibri" w:cs="Calibri"/>
                <w:color w:val="000000"/>
                <w:sz w:val="16"/>
                <w:szCs w:val="16"/>
              </w:rPr>
            </w:pPr>
            <w:r>
              <w:rPr>
                <w:rFonts w:ascii="Calibri" w:hAnsi="Calibri" w:cs="Calibri"/>
                <w:color w:val="000000"/>
                <w:sz w:val="16"/>
                <w:szCs w:val="16"/>
              </w:rPr>
              <w:t>13.037.503</w:t>
            </w:r>
          </w:p>
        </w:tc>
      </w:tr>
      <w:tr w:rsidR="00FF0023" w14:paraId="405B89C1" w14:textId="77777777" w:rsidTr="00FF0023">
        <w:trPr>
          <w:trHeight w:hRule="exact" w:val="315"/>
        </w:trPr>
        <w:tc>
          <w:tcPr>
            <w:tcW w:w="2771" w:type="pct"/>
            <w:tcBorders>
              <w:top w:val="nil"/>
              <w:left w:val="nil"/>
              <w:bottom w:val="single" w:sz="8" w:space="0" w:color="auto"/>
              <w:right w:val="nil"/>
            </w:tcBorders>
            <w:shd w:val="clear" w:color="auto" w:fill="auto"/>
            <w:noWrap/>
            <w:vAlign w:val="center"/>
          </w:tcPr>
          <w:p w14:paraId="0F769FB2" w14:textId="3CAE3499" w:rsidR="00FF0023" w:rsidRDefault="00FF0023" w:rsidP="00FF0023">
            <w:pPr>
              <w:rPr>
                <w:rFonts w:ascii="Calibri" w:hAnsi="Calibri" w:cs="Calibri"/>
                <w:color w:val="000000"/>
                <w:sz w:val="16"/>
                <w:szCs w:val="16"/>
              </w:rPr>
            </w:pPr>
            <w:r w:rsidRPr="00FA66E4">
              <w:rPr>
                <w:rFonts w:ascii="Calibri" w:hAnsi="Calibri" w:cs="Calibri"/>
                <w:color w:val="000000"/>
                <w:sz w:val="16"/>
                <w:szCs w:val="16"/>
              </w:rPr>
              <w:t xml:space="preserve">MIL - Modal de Integração e Logística SPE S/A - </w:t>
            </w:r>
            <w:r>
              <w:rPr>
                <w:rFonts w:ascii="Calibri" w:hAnsi="Calibri" w:cs="Calibri"/>
                <w:color w:val="000000"/>
                <w:sz w:val="16"/>
                <w:szCs w:val="16"/>
              </w:rPr>
              <w:t>0</w:t>
            </w:r>
            <w:r w:rsidRPr="00FA66E4">
              <w:rPr>
                <w:rFonts w:ascii="Calibri" w:hAnsi="Calibri" w:cs="Calibri"/>
                <w:color w:val="000000"/>
                <w:sz w:val="16"/>
                <w:szCs w:val="16"/>
              </w:rPr>
              <w:t>1/2022</w:t>
            </w:r>
          </w:p>
        </w:tc>
        <w:tc>
          <w:tcPr>
            <w:tcW w:w="1111" w:type="pct"/>
            <w:tcBorders>
              <w:top w:val="nil"/>
              <w:left w:val="nil"/>
              <w:bottom w:val="single" w:sz="8" w:space="0" w:color="auto"/>
              <w:right w:val="nil"/>
            </w:tcBorders>
            <w:shd w:val="clear" w:color="auto" w:fill="auto"/>
            <w:noWrap/>
            <w:vAlign w:val="center"/>
          </w:tcPr>
          <w:p w14:paraId="54D93A37" w14:textId="12FB1C6D" w:rsidR="00FF0023" w:rsidRPr="008D21F0" w:rsidRDefault="00FF0023" w:rsidP="00FF0023">
            <w:pPr>
              <w:jc w:val="center"/>
              <w:rPr>
                <w:rFonts w:ascii="Calibri" w:hAnsi="Calibri" w:cs="Calibri"/>
                <w:color w:val="000000"/>
                <w:sz w:val="16"/>
                <w:szCs w:val="16"/>
              </w:rPr>
            </w:pPr>
            <w:r>
              <w:rPr>
                <w:rFonts w:ascii="Calibri" w:hAnsi="Calibri" w:cs="Calibri"/>
                <w:color w:val="000000"/>
                <w:sz w:val="16"/>
                <w:szCs w:val="16"/>
              </w:rPr>
              <w:t>172</w:t>
            </w:r>
          </w:p>
        </w:tc>
        <w:tc>
          <w:tcPr>
            <w:tcW w:w="559" w:type="pct"/>
            <w:tcBorders>
              <w:top w:val="nil"/>
              <w:left w:val="nil"/>
              <w:bottom w:val="single" w:sz="8" w:space="0" w:color="auto"/>
              <w:right w:val="nil"/>
            </w:tcBorders>
            <w:shd w:val="clear" w:color="auto" w:fill="auto"/>
            <w:noWrap/>
            <w:vAlign w:val="center"/>
          </w:tcPr>
          <w:p w14:paraId="2C9B45EB" w14:textId="1AA288A1" w:rsidR="00FF0023" w:rsidRDefault="00FF0023" w:rsidP="00FF0023">
            <w:pPr>
              <w:jc w:val="right"/>
              <w:rPr>
                <w:rFonts w:ascii="Calibri" w:hAnsi="Calibri" w:cs="Calibri"/>
                <w:color w:val="000000"/>
                <w:sz w:val="16"/>
                <w:szCs w:val="16"/>
              </w:rPr>
            </w:pPr>
            <w:r w:rsidRPr="00FF0023">
              <w:rPr>
                <w:rFonts w:ascii="Calibri" w:hAnsi="Calibri" w:cs="Calibri"/>
                <w:color w:val="000000"/>
                <w:sz w:val="16"/>
                <w:szCs w:val="16"/>
              </w:rPr>
              <w:t xml:space="preserve">                              8.600.551 </w:t>
            </w:r>
          </w:p>
        </w:tc>
        <w:tc>
          <w:tcPr>
            <w:tcW w:w="559" w:type="pct"/>
            <w:tcBorders>
              <w:top w:val="nil"/>
              <w:left w:val="nil"/>
              <w:bottom w:val="single" w:sz="8" w:space="0" w:color="auto"/>
              <w:right w:val="nil"/>
            </w:tcBorders>
            <w:shd w:val="clear" w:color="auto" w:fill="auto"/>
            <w:vAlign w:val="center"/>
          </w:tcPr>
          <w:p w14:paraId="5BD61E76" w14:textId="736B39F9" w:rsidR="00FF0023" w:rsidRDefault="00FF0023" w:rsidP="00FF0023">
            <w:pPr>
              <w:jc w:val="right"/>
              <w:rPr>
                <w:rFonts w:ascii="Calibri" w:hAnsi="Calibri" w:cs="Calibri"/>
                <w:color w:val="000000"/>
                <w:sz w:val="16"/>
                <w:szCs w:val="16"/>
              </w:rPr>
            </w:pPr>
            <w:r>
              <w:rPr>
                <w:rFonts w:ascii="Calibri" w:hAnsi="Calibri" w:cs="Calibri"/>
                <w:color w:val="000000"/>
                <w:sz w:val="16"/>
                <w:szCs w:val="16"/>
              </w:rPr>
              <w:t>0</w:t>
            </w:r>
          </w:p>
        </w:tc>
      </w:tr>
      <w:tr w:rsidR="00925A0D" w14:paraId="1029D2AA" w14:textId="77777777" w:rsidTr="004866D6">
        <w:trPr>
          <w:trHeight w:hRule="exact" w:val="315"/>
        </w:trPr>
        <w:tc>
          <w:tcPr>
            <w:tcW w:w="3882" w:type="pct"/>
            <w:gridSpan w:val="2"/>
            <w:tcBorders>
              <w:top w:val="single" w:sz="8" w:space="0" w:color="auto"/>
              <w:left w:val="nil"/>
              <w:bottom w:val="single" w:sz="8" w:space="0" w:color="auto"/>
              <w:right w:val="nil"/>
            </w:tcBorders>
            <w:shd w:val="clear" w:color="auto" w:fill="auto"/>
            <w:noWrap/>
            <w:vAlign w:val="center"/>
            <w:hideMark/>
          </w:tcPr>
          <w:p w14:paraId="4ACD66D9" w14:textId="77777777" w:rsidR="00925A0D" w:rsidRDefault="00925A0D">
            <w:pPr>
              <w:rPr>
                <w:rFonts w:ascii="Calibri" w:hAnsi="Calibri" w:cs="Calibri"/>
                <w:b/>
                <w:bCs/>
                <w:color w:val="000000"/>
                <w:sz w:val="16"/>
                <w:szCs w:val="16"/>
              </w:rPr>
            </w:pPr>
            <w:r>
              <w:rPr>
                <w:rFonts w:ascii="Calibri" w:hAnsi="Calibri" w:cs="Calibri"/>
                <w:b/>
                <w:bCs/>
                <w:color w:val="000000"/>
                <w:sz w:val="16"/>
                <w:szCs w:val="16"/>
              </w:rPr>
              <w:t>TOTAL</w:t>
            </w:r>
          </w:p>
        </w:tc>
        <w:tc>
          <w:tcPr>
            <w:tcW w:w="559" w:type="pct"/>
            <w:tcBorders>
              <w:top w:val="nil"/>
              <w:left w:val="nil"/>
              <w:bottom w:val="single" w:sz="8" w:space="0" w:color="auto"/>
              <w:right w:val="nil"/>
            </w:tcBorders>
            <w:shd w:val="clear" w:color="auto" w:fill="auto"/>
            <w:noWrap/>
            <w:vAlign w:val="center"/>
            <w:hideMark/>
          </w:tcPr>
          <w:p w14:paraId="44EF5D16" w14:textId="721984B3" w:rsidR="00925A0D" w:rsidRDefault="00FF0023">
            <w:pPr>
              <w:jc w:val="right"/>
              <w:rPr>
                <w:rFonts w:ascii="Calibri" w:hAnsi="Calibri" w:cs="Calibri"/>
                <w:b/>
                <w:bCs/>
                <w:color w:val="000000"/>
                <w:sz w:val="16"/>
                <w:szCs w:val="16"/>
              </w:rPr>
            </w:pPr>
            <w:r>
              <w:rPr>
                <w:rFonts w:ascii="Calibri" w:hAnsi="Calibri" w:cs="Calibri"/>
                <w:b/>
                <w:bCs/>
                <w:color w:val="000000"/>
                <w:sz w:val="16"/>
                <w:szCs w:val="16"/>
              </w:rPr>
              <w:t>42.611.588</w:t>
            </w:r>
          </w:p>
        </w:tc>
        <w:tc>
          <w:tcPr>
            <w:tcW w:w="559" w:type="pct"/>
            <w:tcBorders>
              <w:top w:val="nil"/>
              <w:left w:val="nil"/>
              <w:bottom w:val="single" w:sz="8" w:space="0" w:color="auto"/>
              <w:right w:val="nil"/>
            </w:tcBorders>
            <w:shd w:val="clear" w:color="auto" w:fill="auto"/>
            <w:vAlign w:val="center"/>
            <w:hideMark/>
          </w:tcPr>
          <w:p w14:paraId="2DD2EF0F" w14:textId="55536721" w:rsidR="00925A0D" w:rsidRDefault="004866D6">
            <w:pPr>
              <w:jc w:val="right"/>
              <w:rPr>
                <w:rFonts w:ascii="Calibri" w:hAnsi="Calibri" w:cs="Calibri"/>
                <w:b/>
                <w:bCs/>
                <w:color w:val="000000"/>
                <w:sz w:val="16"/>
                <w:szCs w:val="16"/>
              </w:rPr>
            </w:pPr>
            <w:r>
              <w:rPr>
                <w:rFonts w:ascii="Calibri" w:hAnsi="Calibri" w:cs="Calibri"/>
                <w:b/>
                <w:bCs/>
                <w:color w:val="000000"/>
                <w:sz w:val="16"/>
                <w:szCs w:val="16"/>
              </w:rPr>
              <w:t>36.363.102</w:t>
            </w:r>
          </w:p>
        </w:tc>
      </w:tr>
    </w:tbl>
    <w:p w14:paraId="23AE1BF6" w14:textId="7D727D4C" w:rsidR="00071C48" w:rsidRPr="00071C48" w:rsidRDefault="00071C48" w:rsidP="00071C48">
      <w:pPr>
        <w:spacing w:before="120" w:after="120"/>
        <w:jc w:val="both"/>
        <w:rPr>
          <w:b/>
          <w:bCs/>
        </w:rPr>
      </w:pPr>
      <w:r>
        <w:rPr>
          <w:rFonts w:ascii="Calibri" w:hAnsi="Calibri" w:cs="Calibri"/>
          <w:sz w:val="22"/>
          <w:szCs w:val="22"/>
        </w:rPr>
        <w:t xml:space="preserve">Além dos contratos acima evidenciados, a </w:t>
      </w:r>
      <w:r w:rsidR="00D60F6A">
        <w:rPr>
          <w:rFonts w:ascii="Calibri" w:hAnsi="Calibri" w:cs="Calibri"/>
          <w:sz w:val="22"/>
          <w:szCs w:val="22"/>
        </w:rPr>
        <w:t>Infra</w:t>
      </w:r>
      <w:r w:rsidR="00B406C5">
        <w:rPr>
          <w:rFonts w:ascii="Calibri" w:hAnsi="Calibri" w:cs="Calibri"/>
          <w:sz w:val="22"/>
          <w:szCs w:val="22"/>
        </w:rPr>
        <w:t xml:space="preserve"> S.A.</w:t>
      </w:r>
      <w:r>
        <w:rPr>
          <w:rFonts w:ascii="Calibri" w:hAnsi="Calibri" w:cs="Calibri"/>
          <w:sz w:val="22"/>
          <w:szCs w:val="22"/>
        </w:rPr>
        <w:t xml:space="preserve"> possui o </w:t>
      </w:r>
      <w:r w:rsidRPr="000F4409">
        <w:rPr>
          <w:rFonts w:ascii="Calibri" w:hAnsi="Calibri" w:cs="Calibri"/>
          <w:sz w:val="22"/>
          <w:szCs w:val="22"/>
        </w:rPr>
        <w:t>Termo de Permissão Especial de Uso n° 1/2020</w:t>
      </w:r>
      <w:r>
        <w:rPr>
          <w:rFonts w:ascii="Calibri" w:hAnsi="Calibri" w:cs="Calibri"/>
          <w:sz w:val="22"/>
          <w:szCs w:val="22"/>
        </w:rPr>
        <w:t xml:space="preserve"> firmado </w:t>
      </w:r>
      <w:r w:rsidRPr="000F4409">
        <w:rPr>
          <w:rFonts w:ascii="Calibri" w:hAnsi="Calibri" w:cs="Calibri"/>
          <w:sz w:val="22"/>
          <w:szCs w:val="22"/>
        </w:rPr>
        <w:t>com a empresa ADM do Brasil Ltda, des</w:t>
      </w:r>
      <w:r>
        <w:rPr>
          <w:rFonts w:ascii="Calibri" w:hAnsi="Calibri" w:cs="Calibri"/>
          <w:sz w:val="22"/>
          <w:szCs w:val="22"/>
        </w:rPr>
        <w:t>ti</w:t>
      </w:r>
      <w:r w:rsidRPr="000F4409">
        <w:rPr>
          <w:rFonts w:ascii="Calibri" w:hAnsi="Calibri" w:cs="Calibri"/>
          <w:sz w:val="22"/>
          <w:szCs w:val="22"/>
        </w:rPr>
        <w:t>nado ao acesso ao Polo de Cargas de Porto Franco</w:t>
      </w:r>
      <w:r>
        <w:rPr>
          <w:rFonts w:ascii="Calibri" w:hAnsi="Calibri" w:cs="Calibri"/>
          <w:sz w:val="22"/>
          <w:szCs w:val="22"/>
        </w:rPr>
        <w:t>/</w:t>
      </w:r>
      <w:r w:rsidRPr="000F4409">
        <w:rPr>
          <w:rFonts w:ascii="Calibri" w:hAnsi="Calibri" w:cs="Calibri"/>
          <w:sz w:val="22"/>
          <w:szCs w:val="22"/>
        </w:rPr>
        <w:t>MA para operação de equipamentos de transbordo de graneis sólidos agrícolas e derivados</w:t>
      </w:r>
      <w:r>
        <w:rPr>
          <w:rFonts w:ascii="Calibri" w:hAnsi="Calibri" w:cs="Calibri"/>
          <w:sz w:val="22"/>
          <w:szCs w:val="22"/>
        </w:rPr>
        <w:t xml:space="preserve">, </w:t>
      </w:r>
      <w:r w:rsidRPr="00485A72">
        <w:rPr>
          <w:rFonts w:ascii="Calibri" w:hAnsi="Calibri" w:cs="Calibri"/>
          <w:sz w:val="22"/>
          <w:szCs w:val="22"/>
        </w:rPr>
        <w:t>o prazo inicial</w:t>
      </w:r>
      <w:r>
        <w:rPr>
          <w:rFonts w:ascii="Calibri" w:hAnsi="Calibri" w:cs="Calibri"/>
          <w:sz w:val="22"/>
          <w:szCs w:val="22"/>
        </w:rPr>
        <w:t xml:space="preserve"> da permissão é de</w:t>
      </w:r>
      <w:r w:rsidRPr="00485A72">
        <w:rPr>
          <w:rFonts w:ascii="Calibri" w:hAnsi="Calibri" w:cs="Calibri"/>
          <w:sz w:val="22"/>
          <w:szCs w:val="22"/>
        </w:rPr>
        <w:t xml:space="preserve"> 15 (quinze) anos, prorrogável por igual período, sendo livre a revogação do instrumento.</w:t>
      </w:r>
      <w:r>
        <w:rPr>
          <w:rFonts w:ascii="Calibri" w:hAnsi="Calibri" w:cs="Calibri"/>
          <w:sz w:val="22"/>
          <w:szCs w:val="22"/>
        </w:rPr>
        <w:t xml:space="preserve"> As receitas relativas ao presente Termo de Permissão são calculadas de acordo com a movimentação realizada em cada período, sendo, portanto, variáveis.</w:t>
      </w:r>
    </w:p>
    <w:p w14:paraId="00EEFCF3" w14:textId="5DAF2869" w:rsidR="00E75123" w:rsidRDefault="00E75123" w:rsidP="000B3A75">
      <w:pPr>
        <w:pStyle w:val="PargrafodaLista"/>
        <w:numPr>
          <w:ilvl w:val="0"/>
          <w:numId w:val="39"/>
        </w:numPr>
        <w:spacing w:before="120" w:after="120"/>
        <w:ind w:left="284" w:hanging="284"/>
        <w:rPr>
          <w:b/>
          <w:bCs/>
        </w:rPr>
      </w:pPr>
      <w:r w:rsidRPr="00761A71">
        <w:rPr>
          <w:rFonts w:ascii="Calibri" w:hAnsi="Calibri" w:cs="Calibri"/>
          <w:b/>
          <w:bCs/>
          <w:sz w:val="22"/>
          <w:szCs w:val="22"/>
        </w:rPr>
        <w:t>Receita e Diferir – Subconcessão – FIOL I</w:t>
      </w:r>
    </w:p>
    <w:p w14:paraId="34649069" w14:textId="570ACDF6" w:rsidR="00E75123" w:rsidRPr="003364DA" w:rsidRDefault="009F1683" w:rsidP="00937ED9">
      <w:pPr>
        <w:spacing w:after="120"/>
        <w:jc w:val="both"/>
        <w:rPr>
          <w:rFonts w:ascii="Calibri" w:hAnsi="Calibri" w:cs="Calibri"/>
          <w:sz w:val="22"/>
          <w:szCs w:val="22"/>
        </w:rPr>
      </w:pPr>
      <w:r w:rsidRPr="003364DA">
        <w:rPr>
          <w:rFonts w:ascii="Calibri" w:hAnsi="Calibri" w:cs="Calibri"/>
          <w:sz w:val="22"/>
          <w:szCs w:val="22"/>
        </w:rPr>
        <w:t xml:space="preserve">O trecho da Ferrovia de Integração Oeste </w:t>
      </w:r>
      <w:r w:rsidR="00164619" w:rsidRPr="003364DA">
        <w:rPr>
          <w:rFonts w:ascii="Calibri" w:hAnsi="Calibri" w:cs="Calibri"/>
          <w:sz w:val="22"/>
          <w:szCs w:val="22"/>
        </w:rPr>
        <w:t>L</w:t>
      </w:r>
      <w:r w:rsidRPr="003364DA">
        <w:rPr>
          <w:rFonts w:ascii="Calibri" w:hAnsi="Calibri" w:cs="Calibri"/>
          <w:sz w:val="22"/>
          <w:szCs w:val="22"/>
        </w:rPr>
        <w:t xml:space="preserve">este, denominado FIOL I, compreendido entre os municípios de Ilhéus/BA e Caetité/BA foi subconcedido à Bahia Ferrovias S/A </w:t>
      </w:r>
      <w:r w:rsidR="002901F5">
        <w:rPr>
          <w:rFonts w:ascii="Calibri" w:hAnsi="Calibri" w:cs="Calibri"/>
          <w:sz w:val="22"/>
          <w:szCs w:val="22"/>
        </w:rPr>
        <w:t xml:space="preserve">em </w:t>
      </w:r>
      <w:r w:rsidRPr="003364DA">
        <w:rPr>
          <w:rFonts w:ascii="Calibri" w:hAnsi="Calibri" w:cs="Calibri"/>
          <w:sz w:val="22"/>
          <w:szCs w:val="22"/>
        </w:rPr>
        <w:t xml:space="preserve">um período de 35 anos. O Contrato foi assinado em </w:t>
      </w:r>
      <w:r w:rsidR="00164619" w:rsidRPr="003364DA">
        <w:rPr>
          <w:rFonts w:ascii="Calibri" w:hAnsi="Calibri" w:cs="Calibri"/>
          <w:sz w:val="22"/>
          <w:szCs w:val="22"/>
        </w:rPr>
        <w:t xml:space="preserve">03 de setembro de 2021, no valor de R$ R$ 32,7 milhões de reais. </w:t>
      </w:r>
    </w:p>
    <w:p w14:paraId="14054D46" w14:textId="05B76DCB" w:rsidR="00164619" w:rsidRDefault="00164619" w:rsidP="00937ED9">
      <w:pPr>
        <w:spacing w:after="120"/>
        <w:jc w:val="both"/>
        <w:rPr>
          <w:rFonts w:ascii="Calibri" w:hAnsi="Calibri" w:cs="Calibri"/>
          <w:sz w:val="22"/>
          <w:szCs w:val="22"/>
        </w:rPr>
      </w:pPr>
      <w:r w:rsidRPr="003364DA">
        <w:rPr>
          <w:rFonts w:ascii="Calibri" w:hAnsi="Calibri" w:cs="Calibri"/>
          <w:sz w:val="22"/>
          <w:szCs w:val="22"/>
        </w:rPr>
        <w:t>Por ser um contrato de longo prazo, em atendimento ao regime de competência, o valor contratual foi registrado no passivo como Receita a Diferir – Subconcessão FIOL I e será diferido no resultado mensa</w:t>
      </w:r>
      <w:r w:rsidR="00761A71">
        <w:rPr>
          <w:rFonts w:ascii="Calibri" w:hAnsi="Calibri" w:cs="Calibri"/>
          <w:sz w:val="22"/>
          <w:szCs w:val="22"/>
        </w:rPr>
        <w:t>l</w:t>
      </w:r>
      <w:r w:rsidRPr="003364DA">
        <w:rPr>
          <w:rFonts w:ascii="Calibri" w:hAnsi="Calibri" w:cs="Calibri"/>
          <w:sz w:val="22"/>
          <w:szCs w:val="22"/>
        </w:rPr>
        <w:t>mente</w:t>
      </w:r>
      <w:r w:rsidRPr="00761A71">
        <w:rPr>
          <w:rFonts w:ascii="Calibri" w:hAnsi="Calibri" w:cs="Calibri"/>
          <w:sz w:val="22"/>
          <w:szCs w:val="22"/>
        </w:rPr>
        <w:t xml:space="preserve"> pelo prazo contratual</w:t>
      </w:r>
      <w:r w:rsidR="00761A71">
        <w:rPr>
          <w:rFonts w:ascii="Calibri" w:hAnsi="Calibri" w:cs="Calibri"/>
          <w:sz w:val="22"/>
          <w:szCs w:val="22"/>
        </w:rPr>
        <w:t>.</w:t>
      </w:r>
    </w:p>
    <w:p w14:paraId="192DF308" w14:textId="46C9DD4E" w:rsidR="00761A71" w:rsidRDefault="00617FD8" w:rsidP="00937ED9">
      <w:pPr>
        <w:spacing w:after="120"/>
        <w:ind w:right="57"/>
        <w:jc w:val="both"/>
        <w:rPr>
          <w:rFonts w:ascii="Calibri" w:hAnsi="Calibri" w:cs="Calibri"/>
          <w:sz w:val="22"/>
          <w:szCs w:val="22"/>
        </w:rPr>
      </w:pPr>
      <w:r>
        <w:rPr>
          <w:rFonts w:ascii="Calibri" w:hAnsi="Calibri" w:cs="Calibri"/>
          <w:sz w:val="22"/>
          <w:szCs w:val="22"/>
        </w:rPr>
        <w:t>Até o</w:t>
      </w:r>
      <w:r w:rsidR="00761A71">
        <w:rPr>
          <w:rFonts w:ascii="Calibri" w:hAnsi="Calibri" w:cs="Calibri"/>
          <w:sz w:val="22"/>
          <w:szCs w:val="22"/>
        </w:rPr>
        <w:t xml:space="preserve"> </w:t>
      </w:r>
      <w:r w:rsidR="00FF0023">
        <w:rPr>
          <w:rFonts w:ascii="Calibri" w:hAnsi="Calibri" w:cs="Calibri"/>
          <w:sz w:val="22"/>
          <w:szCs w:val="22"/>
        </w:rPr>
        <w:t>3</w:t>
      </w:r>
      <w:r w:rsidR="00A77647">
        <w:rPr>
          <w:rFonts w:ascii="Calibri" w:hAnsi="Calibri" w:cs="Calibri"/>
          <w:sz w:val="22"/>
          <w:szCs w:val="22"/>
        </w:rPr>
        <w:t>º trimestre de 2022</w:t>
      </w:r>
      <w:r w:rsidR="00761A71">
        <w:rPr>
          <w:rFonts w:ascii="Calibri" w:hAnsi="Calibri" w:cs="Calibri"/>
          <w:sz w:val="22"/>
          <w:szCs w:val="22"/>
        </w:rPr>
        <w:t xml:space="preserve">, </w:t>
      </w:r>
      <w:r w:rsidR="00761A71" w:rsidRPr="002E2B5B">
        <w:rPr>
          <w:rFonts w:ascii="Calibri" w:hAnsi="Calibri" w:cs="Calibri"/>
          <w:sz w:val="22"/>
          <w:szCs w:val="22"/>
        </w:rPr>
        <w:t xml:space="preserve">as contas de Receita a Diferir – </w:t>
      </w:r>
      <w:r w:rsidR="00FD011B" w:rsidRPr="003364DA">
        <w:rPr>
          <w:rFonts w:ascii="Calibri" w:hAnsi="Calibri" w:cs="Calibri"/>
          <w:sz w:val="22"/>
          <w:szCs w:val="22"/>
        </w:rPr>
        <w:t>Subconcessão FIOL I</w:t>
      </w:r>
      <w:r w:rsidR="00761A71" w:rsidRPr="002E2B5B">
        <w:rPr>
          <w:rFonts w:ascii="Calibri" w:hAnsi="Calibri" w:cs="Calibri"/>
          <w:sz w:val="22"/>
          <w:szCs w:val="22"/>
        </w:rPr>
        <w:t>, de curto e longo prazo, apresentaram os seguintes movimentos:</w:t>
      </w:r>
    </w:p>
    <w:tbl>
      <w:tblPr>
        <w:tblW w:w="5000" w:type="pct"/>
        <w:tblCellMar>
          <w:left w:w="70" w:type="dxa"/>
          <w:right w:w="70" w:type="dxa"/>
        </w:tblCellMar>
        <w:tblLook w:val="04A0" w:firstRow="1" w:lastRow="0" w:firstColumn="1" w:lastColumn="0" w:noHBand="0" w:noVBand="1"/>
      </w:tblPr>
      <w:tblGrid>
        <w:gridCol w:w="5507"/>
        <w:gridCol w:w="389"/>
        <w:gridCol w:w="389"/>
        <w:gridCol w:w="2093"/>
        <w:gridCol w:w="2089"/>
      </w:tblGrid>
      <w:tr w:rsidR="00761A71" w14:paraId="7F296AA6" w14:textId="77777777" w:rsidTr="000B3A75">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0A263597" w14:textId="5D537271"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RECEITA A DIFERIR – SUBCONCESSÃO FIOL I </w:t>
            </w:r>
          </w:p>
        </w:tc>
        <w:tc>
          <w:tcPr>
            <w:tcW w:w="1000" w:type="pct"/>
            <w:tcBorders>
              <w:top w:val="nil"/>
              <w:left w:val="nil"/>
              <w:bottom w:val="single" w:sz="8" w:space="0" w:color="auto"/>
              <w:right w:val="nil"/>
            </w:tcBorders>
            <w:shd w:val="clear" w:color="auto" w:fill="auto"/>
            <w:noWrap/>
            <w:vAlign w:val="center"/>
            <w:hideMark/>
          </w:tcPr>
          <w:p w14:paraId="76E2A510" w14:textId="1907012B"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617FD8">
              <w:rPr>
                <w:rFonts w:ascii="Calibri" w:hAnsi="Calibri" w:cs="Calibri"/>
                <w:b/>
                <w:bCs/>
                <w:color w:val="000000"/>
                <w:sz w:val="16"/>
                <w:szCs w:val="16"/>
              </w:rPr>
              <w:t>0</w:t>
            </w:r>
            <w:r>
              <w:rPr>
                <w:rFonts w:ascii="Calibri" w:hAnsi="Calibri" w:cs="Calibri"/>
                <w:b/>
                <w:bCs/>
                <w:color w:val="000000"/>
                <w:sz w:val="16"/>
                <w:szCs w:val="16"/>
              </w:rPr>
              <w:t>/</w:t>
            </w:r>
            <w:r w:rsidR="00A77647">
              <w:rPr>
                <w:rFonts w:ascii="Calibri" w:hAnsi="Calibri" w:cs="Calibri"/>
                <w:b/>
                <w:bCs/>
                <w:color w:val="000000"/>
                <w:sz w:val="16"/>
                <w:szCs w:val="16"/>
              </w:rPr>
              <w:t>0</w:t>
            </w:r>
            <w:r w:rsidR="00FF0023">
              <w:rPr>
                <w:rFonts w:ascii="Calibri" w:hAnsi="Calibri" w:cs="Calibri"/>
                <w:b/>
                <w:bCs/>
                <w:color w:val="000000"/>
                <w:sz w:val="16"/>
                <w:szCs w:val="16"/>
              </w:rPr>
              <w:t>9</w:t>
            </w:r>
            <w:r>
              <w:rPr>
                <w:rFonts w:ascii="Calibri" w:hAnsi="Calibri" w:cs="Calibri"/>
                <w:b/>
                <w:bCs/>
                <w:color w:val="000000"/>
                <w:sz w:val="16"/>
                <w:szCs w:val="16"/>
              </w:rPr>
              <w:t>/202</w:t>
            </w:r>
            <w:r w:rsidR="00A77647">
              <w:rPr>
                <w:rFonts w:ascii="Calibri" w:hAnsi="Calibri" w:cs="Calibri"/>
                <w:b/>
                <w:bCs/>
                <w:color w:val="000000"/>
                <w:sz w:val="16"/>
                <w:szCs w:val="16"/>
              </w:rPr>
              <w:t>2</w:t>
            </w:r>
          </w:p>
        </w:tc>
        <w:tc>
          <w:tcPr>
            <w:tcW w:w="999" w:type="pct"/>
            <w:tcBorders>
              <w:top w:val="nil"/>
              <w:left w:val="nil"/>
              <w:bottom w:val="single" w:sz="8" w:space="0" w:color="auto"/>
              <w:right w:val="nil"/>
            </w:tcBorders>
            <w:shd w:val="clear" w:color="auto" w:fill="auto"/>
            <w:vAlign w:val="center"/>
            <w:hideMark/>
          </w:tcPr>
          <w:p w14:paraId="6FE35464" w14:textId="1B9FDA99"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A77647">
              <w:rPr>
                <w:rFonts w:ascii="Calibri" w:hAnsi="Calibri" w:cs="Calibri"/>
                <w:b/>
                <w:bCs/>
                <w:color w:val="000000"/>
                <w:sz w:val="16"/>
                <w:szCs w:val="16"/>
              </w:rPr>
              <w:t>1</w:t>
            </w:r>
          </w:p>
        </w:tc>
      </w:tr>
      <w:tr w:rsidR="00761A71" w14:paraId="649F52E7" w14:textId="77777777" w:rsidTr="000B3A75">
        <w:trPr>
          <w:trHeight w:hRule="exact" w:val="227"/>
        </w:trPr>
        <w:tc>
          <w:tcPr>
            <w:tcW w:w="2630" w:type="pct"/>
            <w:tcBorders>
              <w:top w:val="nil"/>
              <w:left w:val="nil"/>
              <w:bottom w:val="nil"/>
              <w:right w:val="nil"/>
            </w:tcBorders>
            <w:shd w:val="clear" w:color="auto" w:fill="auto"/>
            <w:noWrap/>
            <w:vAlign w:val="center"/>
            <w:hideMark/>
          </w:tcPr>
          <w:p w14:paraId="72ED58EA" w14:textId="77777777"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 xml:space="preserve">Saldo anterior </w:t>
            </w:r>
          </w:p>
        </w:tc>
        <w:tc>
          <w:tcPr>
            <w:tcW w:w="186" w:type="pct"/>
            <w:tcBorders>
              <w:top w:val="nil"/>
              <w:left w:val="nil"/>
              <w:bottom w:val="nil"/>
              <w:right w:val="nil"/>
            </w:tcBorders>
            <w:shd w:val="clear" w:color="auto" w:fill="auto"/>
            <w:noWrap/>
            <w:vAlign w:val="center"/>
            <w:hideMark/>
          </w:tcPr>
          <w:p w14:paraId="1678F788" w14:textId="77777777" w:rsidR="00761A71" w:rsidRDefault="00761A71" w:rsidP="00937ED9">
            <w:pPr>
              <w:spacing w:after="120"/>
              <w:rPr>
                <w:rFonts w:ascii="Calibri" w:hAnsi="Calibri" w:cs="Calibri"/>
                <w:color w:val="000000"/>
                <w:sz w:val="16"/>
                <w:szCs w:val="16"/>
              </w:rPr>
            </w:pPr>
          </w:p>
        </w:tc>
        <w:tc>
          <w:tcPr>
            <w:tcW w:w="186" w:type="pct"/>
            <w:tcBorders>
              <w:top w:val="nil"/>
              <w:left w:val="nil"/>
              <w:bottom w:val="nil"/>
              <w:right w:val="nil"/>
            </w:tcBorders>
            <w:shd w:val="clear" w:color="auto" w:fill="auto"/>
            <w:noWrap/>
            <w:vAlign w:val="center"/>
            <w:hideMark/>
          </w:tcPr>
          <w:p w14:paraId="39BCCCE3" w14:textId="77777777" w:rsidR="00761A71" w:rsidRDefault="00761A71" w:rsidP="00937ED9">
            <w:pPr>
              <w:spacing w:after="120"/>
              <w:rPr>
                <w:sz w:val="20"/>
                <w:szCs w:val="20"/>
              </w:rPr>
            </w:pPr>
          </w:p>
        </w:tc>
        <w:tc>
          <w:tcPr>
            <w:tcW w:w="1000" w:type="pct"/>
            <w:tcBorders>
              <w:top w:val="nil"/>
              <w:left w:val="nil"/>
              <w:bottom w:val="nil"/>
              <w:right w:val="nil"/>
            </w:tcBorders>
            <w:shd w:val="clear" w:color="auto" w:fill="auto"/>
            <w:noWrap/>
            <w:vAlign w:val="center"/>
            <w:hideMark/>
          </w:tcPr>
          <w:p w14:paraId="1B0CE7F3" w14:textId="2BC686CA" w:rsidR="00761A71" w:rsidRDefault="00A77647" w:rsidP="00937ED9">
            <w:pPr>
              <w:spacing w:after="120"/>
              <w:jc w:val="right"/>
              <w:rPr>
                <w:rFonts w:ascii="Calibri" w:hAnsi="Calibri" w:cs="Calibri"/>
                <w:color w:val="000000"/>
                <w:sz w:val="16"/>
                <w:szCs w:val="16"/>
              </w:rPr>
            </w:pPr>
            <w:r w:rsidRPr="00A77647">
              <w:rPr>
                <w:rFonts w:ascii="Calibri" w:hAnsi="Calibri" w:cs="Calibri"/>
                <w:color w:val="000000"/>
                <w:sz w:val="16"/>
                <w:szCs w:val="16"/>
              </w:rPr>
              <w:t>32.184.500</w:t>
            </w:r>
          </w:p>
        </w:tc>
        <w:tc>
          <w:tcPr>
            <w:tcW w:w="999" w:type="pct"/>
            <w:tcBorders>
              <w:top w:val="nil"/>
              <w:left w:val="nil"/>
              <w:bottom w:val="nil"/>
              <w:right w:val="nil"/>
            </w:tcBorders>
            <w:shd w:val="clear" w:color="auto" w:fill="auto"/>
            <w:vAlign w:val="center"/>
            <w:hideMark/>
          </w:tcPr>
          <w:p w14:paraId="592B13B1" w14:textId="4FCF6CF7" w:rsidR="00761A71"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761A71" w14:paraId="623E49A4" w14:textId="77777777" w:rsidTr="000B3A75">
        <w:trPr>
          <w:trHeight w:hRule="exact" w:val="227"/>
        </w:trPr>
        <w:tc>
          <w:tcPr>
            <w:tcW w:w="2816" w:type="pct"/>
            <w:gridSpan w:val="2"/>
            <w:tcBorders>
              <w:top w:val="nil"/>
              <w:left w:val="nil"/>
              <w:bottom w:val="nil"/>
              <w:right w:val="nil"/>
            </w:tcBorders>
            <w:shd w:val="clear" w:color="auto" w:fill="auto"/>
            <w:noWrap/>
            <w:vAlign w:val="center"/>
            <w:hideMark/>
          </w:tcPr>
          <w:p w14:paraId="4F3C4D72" w14:textId="589FE7A9"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Valor Contratual</w:t>
            </w:r>
          </w:p>
        </w:tc>
        <w:tc>
          <w:tcPr>
            <w:tcW w:w="186" w:type="pct"/>
            <w:tcBorders>
              <w:top w:val="nil"/>
              <w:left w:val="nil"/>
              <w:bottom w:val="nil"/>
              <w:right w:val="nil"/>
            </w:tcBorders>
            <w:shd w:val="clear" w:color="auto" w:fill="auto"/>
            <w:noWrap/>
            <w:vAlign w:val="center"/>
            <w:hideMark/>
          </w:tcPr>
          <w:p w14:paraId="5773ECF9" w14:textId="77777777" w:rsidR="00761A71" w:rsidRDefault="00761A71" w:rsidP="00937ED9">
            <w:pPr>
              <w:spacing w:after="120"/>
              <w:rPr>
                <w:rFonts w:ascii="Calibri" w:hAnsi="Calibri" w:cs="Calibri"/>
                <w:color w:val="000000"/>
                <w:sz w:val="16"/>
                <w:szCs w:val="16"/>
              </w:rPr>
            </w:pPr>
          </w:p>
        </w:tc>
        <w:tc>
          <w:tcPr>
            <w:tcW w:w="1000" w:type="pct"/>
            <w:tcBorders>
              <w:top w:val="nil"/>
              <w:left w:val="nil"/>
              <w:bottom w:val="nil"/>
              <w:right w:val="nil"/>
            </w:tcBorders>
            <w:shd w:val="clear" w:color="auto" w:fill="auto"/>
            <w:noWrap/>
            <w:vAlign w:val="center"/>
            <w:hideMark/>
          </w:tcPr>
          <w:p w14:paraId="1556EF24" w14:textId="37DF501B" w:rsidR="00761A71" w:rsidRDefault="00A77647" w:rsidP="00937ED9">
            <w:pPr>
              <w:spacing w:after="120"/>
              <w:jc w:val="right"/>
              <w:rPr>
                <w:rFonts w:ascii="Calibri" w:hAnsi="Calibri" w:cs="Calibri"/>
                <w:color w:val="000000"/>
                <w:sz w:val="16"/>
                <w:szCs w:val="16"/>
              </w:rPr>
            </w:pPr>
            <w:r>
              <w:rPr>
                <w:rFonts w:ascii="Calibri" w:hAnsi="Calibri" w:cs="Calibri"/>
                <w:color w:val="000000"/>
                <w:sz w:val="16"/>
                <w:szCs w:val="16"/>
              </w:rPr>
              <w:t>0</w:t>
            </w:r>
          </w:p>
        </w:tc>
        <w:tc>
          <w:tcPr>
            <w:tcW w:w="999" w:type="pct"/>
            <w:tcBorders>
              <w:top w:val="nil"/>
              <w:left w:val="nil"/>
              <w:bottom w:val="nil"/>
              <w:right w:val="nil"/>
            </w:tcBorders>
            <w:shd w:val="clear" w:color="auto" w:fill="auto"/>
            <w:vAlign w:val="center"/>
            <w:hideMark/>
          </w:tcPr>
          <w:p w14:paraId="4320F405" w14:textId="6B14F860" w:rsidR="00761A71" w:rsidRDefault="00A77647" w:rsidP="00937ED9">
            <w:pPr>
              <w:spacing w:after="120"/>
              <w:jc w:val="right"/>
              <w:rPr>
                <w:rFonts w:ascii="Calibri" w:hAnsi="Calibri" w:cs="Calibri"/>
                <w:color w:val="000000"/>
                <w:sz w:val="16"/>
                <w:szCs w:val="16"/>
              </w:rPr>
            </w:pPr>
            <w:r>
              <w:rPr>
                <w:rFonts w:ascii="Calibri" w:hAnsi="Calibri" w:cs="Calibri"/>
                <w:color w:val="000000"/>
                <w:sz w:val="16"/>
                <w:szCs w:val="16"/>
              </w:rPr>
              <w:t>32.730.000</w:t>
            </w:r>
          </w:p>
        </w:tc>
      </w:tr>
      <w:tr w:rsidR="00761A71" w14:paraId="565C3A91" w14:textId="77777777" w:rsidTr="000B3A75">
        <w:trPr>
          <w:trHeight w:hRule="exact" w:val="227"/>
        </w:trPr>
        <w:tc>
          <w:tcPr>
            <w:tcW w:w="2816" w:type="pct"/>
            <w:gridSpan w:val="2"/>
            <w:tcBorders>
              <w:top w:val="nil"/>
              <w:left w:val="nil"/>
              <w:bottom w:val="nil"/>
              <w:right w:val="nil"/>
            </w:tcBorders>
            <w:shd w:val="clear" w:color="auto" w:fill="auto"/>
            <w:noWrap/>
            <w:vAlign w:val="center"/>
            <w:hideMark/>
          </w:tcPr>
          <w:p w14:paraId="0A9C1304" w14:textId="77777777"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Reconhecimento da receita</w:t>
            </w:r>
          </w:p>
        </w:tc>
        <w:tc>
          <w:tcPr>
            <w:tcW w:w="186" w:type="pct"/>
            <w:tcBorders>
              <w:top w:val="nil"/>
              <w:left w:val="nil"/>
              <w:bottom w:val="nil"/>
              <w:right w:val="nil"/>
            </w:tcBorders>
            <w:shd w:val="clear" w:color="auto" w:fill="auto"/>
            <w:noWrap/>
            <w:vAlign w:val="center"/>
            <w:hideMark/>
          </w:tcPr>
          <w:p w14:paraId="20922C4A" w14:textId="77777777" w:rsidR="00761A71" w:rsidRDefault="00761A71" w:rsidP="00937ED9">
            <w:pPr>
              <w:spacing w:after="120"/>
              <w:rPr>
                <w:rFonts w:ascii="Calibri" w:hAnsi="Calibri" w:cs="Calibri"/>
                <w:color w:val="000000"/>
                <w:sz w:val="16"/>
                <w:szCs w:val="16"/>
              </w:rPr>
            </w:pPr>
          </w:p>
        </w:tc>
        <w:tc>
          <w:tcPr>
            <w:tcW w:w="1000" w:type="pct"/>
            <w:tcBorders>
              <w:top w:val="nil"/>
              <w:left w:val="nil"/>
              <w:bottom w:val="nil"/>
              <w:right w:val="nil"/>
            </w:tcBorders>
            <w:shd w:val="clear" w:color="auto" w:fill="auto"/>
            <w:noWrap/>
            <w:vAlign w:val="center"/>
            <w:hideMark/>
          </w:tcPr>
          <w:p w14:paraId="22B9D053" w14:textId="5A28CE79" w:rsidR="00761A71" w:rsidRDefault="00761A71" w:rsidP="00937ED9">
            <w:pPr>
              <w:spacing w:after="120"/>
              <w:jc w:val="right"/>
              <w:rPr>
                <w:rFonts w:ascii="Calibri" w:hAnsi="Calibri" w:cs="Calibri"/>
                <w:color w:val="000000"/>
                <w:sz w:val="16"/>
                <w:szCs w:val="16"/>
              </w:rPr>
            </w:pPr>
            <w:r>
              <w:rPr>
                <w:rFonts w:ascii="Calibri" w:hAnsi="Calibri" w:cs="Calibri"/>
                <w:color w:val="000000"/>
                <w:sz w:val="16"/>
                <w:szCs w:val="16"/>
              </w:rPr>
              <w:t>(</w:t>
            </w:r>
            <w:r w:rsidR="00FF0023">
              <w:rPr>
                <w:rFonts w:ascii="Calibri" w:hAnsi="Calibri" w:cs="Calibri"/>
                <w:color w:val="000000"/>
                <w:sz w:val="16"/>
                <w:szCs w:val="16"/>
              </w:rPr>
              <w:t>1.636.500</w:t>
            </w:r>
            <w:r>
              <w:rPr>
                <w:rFonts w:ascii="Calibri" w:hAnsi="Calibri" w:cs="Calibri"/>
                <w:color w:val="000000"/>
                <w:sz w:val="16"/>
                <w:szCs w:val="16"/>
              </w:rPr>
              <w:t>)</w:t>
            </w:r>
          </w:p>
        </w:tc>
        <w:tc>
          <w:tcPr>
            <w:tcW w:w="999" w:type="pct"/>
            <w:tcBorders>
              <w:top w:val="nil"/>
              <w:left w:val="nil"/>
              <w:bottom w:val="nil"/>
              <w:right w:val="nil"/>
            </w:tcBorders>
            <w:shd w:val="clear" w:color="auto" w:fill="auto"/>
            <w:vAlign w:val="center"/>
            <w:hideMark/>
          </w:tcPr>
          <w:p w14:paraId="4D79D7E5" w14:textId="4E560498" w:rsidR="00761A71" w:rsidRDefault="00A77647" w:rsidP="00937ED9">
            <w:pPr>
              <w:spacing w:after="120"/>
              <w:jc w:val="right"/>
              <w:rPr>
                <w:rFonts w:ascii="Calibri" w:hAnsi="Calibri" w:cs="Calibri"/>
                <w:color w:val="000000"/>
                <w:sz w:val="16"/>
                <w:szCs w:val="16"/>
              </w:rPr>
            </w:pPr>
            <w:r>
              <w:rPr>
                <w:rFonts w:ascii="Calibri" w:hAnsi="Calibri" w:cs="Calibri"/>
                <w:color w:val="000000"/>
                <w:sz w:val="16"/>
                <w:szCs w:val="16"/>
              </w:rPr>
              <w:t>(545.500)</w:t>
            </w:r>
          </w:p>
        </w:tc>
      </w:tr>
      <w:tr w:rsidR="00761A71" w14:paraId="467D8765" w14:textId="77777777" w:rsidTr="000B3A75">
        <w:trPr>
          <w:trHeight w:hRule="exact" w:val="227"/>
        </w:trPr>
        <w:tc>
          <w:tcPr>
            <w:tcW w:w="2630" w:type="pct"/>
            <w:tcBorders>
              <w:top w:val="nil"/>
              <w:left w:val="nil"/>
              <w:bottom w:val="single" w:sz="8" w:space="0" w:color="auto"/>
              <w:right w:val="nil"/>
            </w:tcBorders>
            <w:shd w:val="clear" w:color="auto" w:fill="auto"/>
            <w:noWrap/>
            <w:vAlign w:val="center"/>
            <w:hideMark/>
          </w:tcPr>
          <w:p w14:paraId="2B3FA65E" w14:textId="77777777"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86" w:type="pct"/>
            <w:tcBorders>
              <w:top w:val="nil"/>
              <w:left w:val="nil"/>
              <w:bottom w:val="single" w:sz="8" w:space="0" w:color="auto"/>
              <w:right w:val="nil"/>
            </w:tcBorders>
            <w:shd w:val="clear" w:color="auto" w:fill="auto"/>
            <w:noWrap/>
            <w:vAlign w:val="center"/>
            <w:hideMark/>
          </w:tcPr>
          <w:p w14:paraId="43DE27E2" w14:textId="77777777" w:rsidR="00761A71" w:rsidRDefault="00761A71" w:rsidP="00937ED9">
            <w:pPr>
              <w:spacing w:after="120"/>
              <w:rPr>
                <w:rFonts w:ascii="Calibri" w:hAnsi="Calibri" w:cs="Calibri"/>
                <w:color w:val="000000"/>
                <w:sz w:val="16"/>
                <w:szCs w:val="16"/>
              </w:rPr>
            </w:pPr>
            <w:r>
              <w:rPr>
                <w:rFonts w:ascii="Calibri" w:hAnsi="Calibri" w:cs="Calibri"/>
                <w:color w:val="000000"/>
                <w:sz w:val="16"/>
                <w:szCs w:val="16"/>
              </w:rPr>
              <w:t> </w:t>
            </w:r>
          </w:p>
        </w:tc>
        <w:tc>
          <w:tcPr>
            <w:tcW w:w="186" w:type="pct"/>
            <w:tcBorders>
              <w:top w:val="nil"/>
              <w:left w:val="nil"/>
              <w:bottom w:val="single" w:sz="8" w:space="0" w:color="auto"/>
              <w:right w:val="nil"/>
            </w:tcBorders>
            <w:shd w:val="clear" w:color="auto" w:fill="auto"/>
            <w:noWrap/>
            <w:vAlign w:val="center"/>
            <w:hideMark/>
          </w:tcPr>
          <w:p w14:paraId="3CACEABC" w14:textId="77777777"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000" w:type="pct"/>
            <w:tcBorders>
              <w:top w:val="nil"/>
              <w:left w:val="nil"/>
              <w:bottom w:val="single" w:sz="8" w:space="0" w:color="auto"/>
              <w:right w:val="nil"/>
            </w:tcBorders>
            <w:shd w:val="clear" w:color="auto" w:fill="auto"/>
            <w:noWrap/>
            <w:vAlign w:val="center"/>
            <w:hideMark/>
          </w:tcPr>
          <w:p w14:paraId="50B5FBC6" w14:textId="1D8F72E1" w:rsidR="00761A71" w:rsidRDefault="00617FD8"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FF0023">
              <w:rPr>
                <w:rFonts w:ascii="Calibri" w:hAnsi="Calibri" w:cs="Calibri"/>
                <w:b/>
                <w:bCs/>
                <w:color w:val="000000"/>
                <w:sz w:val="16"/>
                <w:szCs w:val="16"/>
              </w:rPr>
              <w:t>0</w:t>
            </w:r>
            <w:r>
              <w:rPr>
                <w:rFonts w:ascii="Calibri" w:hAnsi="Calibri" w:cs="Calibri"/>
                <w:b/>
                <w:bCs/>
                <w:color w:val="000000"/>
                <w:sz w:val="16"/>
                <w:szCs w:val="16"/>
              </w:rPr>
              <w:t>.</w:t>
            </w:r>
            <w:r w:rsidR="00FF0023">
              <w:rPr>
                <w:rFonts w:ascii="Calibri" w:hAnsi="Calibri" w:cs="Calibri"/>
                <w:b/>
                <w:bCs/>
                <w:color w:val="000000"/>
                <w:sz w:val="16"/>
                <w:szCs w:val="16"/>
              </w:rPr>
              <w:t>548</w:t>
            </w:r>
            <w:r>
              <w:rPr>
                <w:rFonts w:ascii="Calibri" w:hAnsi="Calibri" w:cs="Calibri"/>
                <w:b/>
                <w:bCs/>
                <w:color w:val="000000"/>
                <w:sz w:val="16"/>
                <w:szCs w:val="16"/>
              </w:rPr>
              <w:t>.</w:t>
            </w:r>
            <w:r w:rsidR="00FF0023">
              <w:rPr>
                <w:rFonts w:ascii="Calibri" w:hAnsi="Calibri" w:cs="Calibri"/>
                <w:b/>
                <w:bCs/>
                <w:color w:val="000000"/>
                <w:sz w:val="16"/>
                <w:szCs w:val="16"/>
              </w:rPr>
              <w:t>0</w:t>
            </w:r>
            <w:r>
              <w:rPr>
                <w:rFonts w:ascii="Calibri" w:hAnsi="Calibri" w:cs="Calibri"/>
                <w:b/>
                <w:bCs/>
                <w:color w:val="000000"/>
                <w:sz w:val="16"/>
                <w:szCs w:val="16"/>
              </w:rPr>
              <w:t>00</w:t>
            </w:r>
          </w:p>
        </w:tc>
        <w:tc>
          <w:tcPr>
            <w:tcW w:w="999" w:type="pct"/>
            <w:tcBorders>
              <w:top w:val="nil"/>
              <w:left w:val="nil"/>
              <w:bottom w:val="single" w:sz="8" w:space="0" w:color="auto"/>
              <w:right w:val="nil"/>
            </w:tcBorders>
            <w:shd w:val="clear" w:color="auto" w:fill="auto"/>
            <w:vAlign w:val="center"/>
            <w:hideMark/>
          </w:tcPr>
          <w:p w14:paraId="7088ADB9" w14:textId="3825CCB6" w:rsidR="00761A71" w:rsidRDefault="00A7764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32.184.500</w:t>
            </w:r>
          </w:p>
        </w:tc>
      </w:tr>
      <w:tr w:rsidR="00761A71" w14:paraId="3E056A2E" w14:textId="77777777" w:rsidTr="000B3A75">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58C00AD3" w14:textId="5E3C4180"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Receita a Diferir</w:t>
            </w:r>
            <w:r w:rsidR="004438A4">
              <w:rPr>
                <w:rFonts w:ascii="Calibri" w:hAnsi="Calibri" w:cs="Calibri"/>
                <w:b/>
                <w:bCs/>
                <w:color w:val="000000"/>
                <w:sz w:val="16"/>
                <w:szCs w:val="16"/>
              </w:rPr>
              <w:t xml:space="preserve"> Subconcessão FIOL</w:t>
            </w:r>
            <w:r w:rsidR="005454C1">
              <w:rPr>
                <w:rFonts w:ascii="Calibri" w:hAnsi="Calibri" w:cs="Calibri"/>
                <w:b/>
                <w:bCs/>
                <w:color w:val="000000"/>
                <w:sz w:val="16"/>
                <w:szCs w:val="16"/>
              </w:rPr>
              <w:t xml:space="preserve"> I</w:t>
            </w:r>
            <w:r>
              <w:rPr>
                <w:rFonts w:ascii="Calibri" w:hAnsi="Calibri" w:cs="Calibri"/>
                <w:b/>
                <w:bCs/>
                <w:color w:val="000000"/>
                <w:sz w:val="16"/>
                <w:szCs w:val="16"/>
              </w:rPr>
              <w:t xml:space="preserve"> – Circulante</w:t>
            </w:r>
          </w:p>
        </w:tc>
        <w:tc>
          <w:tcPr>
            <w:tcW w:w="1000" w:type="pct"/>
            <w:tcBorders>
              <w:top w:val="nil"/>
              <w:left w:val="nil"/>
              <w:bottom w:val="single" w:sz="8" w:space="0" w:color="auto"/>
              <w:right w:val="nil"/>
            </w:tcBorders>
            <w:shd w:val="clear" w:color="auto" w:fill="auto"/>
            <w:noWrap/>
            <w:vAlign w:val="center"/>
            <w:hideMark/>
          </w:tcPr>
          <w:p w14:paraId="5A6C3863" w14:textId="6597F240" w:rsidR="00761A71" w:rsidRDefault="00761A71"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2.182.000</w:t>
            </w:r>
          </w:p>
        </w:tc>
        <w:tc>
          <w:tcPr>
            <w:tcW w:w="999" w:type="pct"/>
            <w:tcBorders>
              <w:top w:val="nil"/>
              <w:left w:val="nil"/>
              <w:bottom w:val="single" w:sz="8" w:space="0" w:color="auto"/>
              <w:right w:val="nil"/>
            </w:tcBorders>
            <w:shd w:val="clear" w:color="auto" w:fill="auto"/>
            <w:vAlign w:val="center"/>
            <w:hideMark/>
          </w:tcPr>
          <w:p w14:paraId="04BC11D9" w14:textId="3815D215" w:rsidR="00761A71" w:rsidRDefault="00A77647" w:rsidP="00937ED9">
            <w:pPr>
              <w:spacing w:after="120"/>
              <w:jc w:val="right"/>
              <w:rPr>
                <w:rFonts w:ascii="Calibri" w:hAnsi="Calibri" w:cs="Calibri"/>
                <w:b/>
                <w:bCs/>
                <w:color w:val="000000"/>
                <w:sz w:val="16"/>
                <w:szCs w:val="16"/>
              </w:rPr>
            </w:pPr>
            <w:r>
              <w:rPr>
                <w:rFonts w:ascii="Calibri" w:hAnsi="Calibri" w:cs="Calibri"/>
                <w:b/>
                <w:bCs/>
                <w:color w:val="000000"/>
                <w:sz w:val="16"/>
                <w:szCs w:val="16"/>
              </w:rPr>
              <w:t>2.182.000</w:t>
            </w:r>
          </w:p>
        </w:tc>
      </w:tr>
      <w:tr w:rsidR="00761A71" w14:paraId="56BB3BEB" w14:textId="77777777" w:rsidTr="000B3A75">
        <w:trPr>
          <w:trHeight w:hRule="exact" w:val="227"/>
        </w:trPr>
        <w:tc>
          <w:tcPr>
            <w:tcW w:w="3001" w:type="pct"/>
            <w:gridSpan w:val="3"/>
            <w:tcBorders>
              <w:top w:val="nil"/>
              <w:left w:val="nil"/>
              <w:bottom w:val="single" w:sz="8" w:space="0" w:color="auto"/>
              <w:right w:val="nil"/>
            </w:tcBorders>
            <w:shd w:val="clear" w:color="auto" w:fill="auto"/>
            <w:noWrap/>
            <w:vAlign w:val="center"/>
            <w:hideMark/>
          </w:tcPr>
          <w:p w14:paraId="70C730F6" w14:textId="3274A708" w:rsidR="00761A71" w:rsidRDefault="00761A71"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Receita a Diferir </w:t>
            </w:r>
            <w:r w:rsidR="004438A4">
              <w:rPr>
                <w:rFonts w:ascii="Calibri" w:hAnsi="Calibri" w:cs="Calibri"/>
                <w:b/>
                <w:bCs/>
                <w:color w:val="000000"/>
                <w:sz w:val="16"/>
                <w:szCs w:val="16"/>
              </w:rPr>
              <w:t xml:space="preserve">Subconcessão FIOL </w:t>
            </w:r>
            <w:r w:rsidR="005454C1">
              <w:rPr>
                <w:rFonts w:ascii="Calibri" w:hAnsi="Calibri" w:cs="Calibri"/>
                <w:b/>
                <w:bCs/>
                <w:color w:val="000000"/>
                <w:sz w:val="16"/>
                <w:szCs w:val="16"/>
              </w:rPr>
              <w:t xml:space="preserve">I </w:t>
            </w:r>
            <w:r>
              <w:rPr>
                <w:rFonts w:ascii="Calibri" w:hAnsi="Calibri" w:cs="Calibri"/>
                <w:b/>
                <w:bCs/>
                <w:color w:val="000000"/>
                <w:sz w:val="16"/>
                <w:szCs w:val="16"/>
              </w:rPr>
              <w:t>– Não Circulante</w:t>
            </w:r>
          </w:p>
        </w:tc>
        <w:tc>
          <w:tcPr>
            <w:tcW w:w="1000" w:type="pct"/>
            <w:tcBorders>
              <w:top w:val="nil"/>
              <w:left w:val="nil"/>
              <w:bottom w:val="single" w:sz="8" w:space="0" w:color="auto"/>
              <w:right w:val="nil"/>
            </w:tcBorders>
            <w:shd w:val="clear" w:color="auto" w:fill="auto"/>
            <w:noWrap/>
            <w:vAlign w:val="center"/>
            <w:hideMark/>
          </w:tcPr>
          <w:p w14:paraId="24AE4DCC" w14:textId="7FE5F800" w:rsidR="00761A71" w:rsidRDefault="00FF0023" w:rsidP="00937ED9">
            <w:pPr>
              <w:spacing w:after="120"/>
              <w:jc w:val="right"/>
              <w:rPr>
                <w:rFonts w:ascii="Calibri" w:hAnsi="Calibri" w:cs="Calibri"/>
                <w:b/>
                <w:bCs/>
                <w:color w:val="000000"/>
                <w:sz w:val="16"/>
                <w:szCs w:val="16"/>
              </w:rPr>
            </w:pPr>
            <w:r>
              <w:rPr>
                <w:rFonts w:ascii="Calibri" w:hAnsi="Calibri" w:cs="Calibri"/>
                <w:b/>
                <w:bCs/>
                <w:color w:val="000000"/>
                <w:sz w:val="16"/>
                <w:szCs w:val="16"/>
              </w:rPr>
              <w:t>28.366.000</w:t>
            </w:r>
          </w:p>
        </w:tc>
        <w:tc>
          <w:tcPr>
            <w:tcW w:w="999" w:type="pct"/>
            <w:tcBorders>
              <w:top w:val="nil"/>
              <w:left w:val="nil"/>
              <w:bottom w:val="single" w:sz="8" w:space="0" w:color="auto"/>
              <w:right w:val="nil"/>
            </w:tcBorders>
            <w:shd w:val="clear" w:color="auto" w:fill="auto"/>
            <w:vAlign w:val="center"/>
            <w:hideMark/>
          </w:tcPr>
          <w:p w14:paraId="4DEB4B79" w14:textId="5E496AF1" w:rsidR="00761A71" w:rsidRDefault="00A77647" w:rsidP="00937ED9">
            <w:pPr>
              <w:spacing w:after="120"/>
              <w:jc w:val="right"/>
              <w:rPr>
                <w:rFonts w:ascii="Calibri" w:hAnsi="Calibri" w:cs="Calibri"/>
                <w:b/>
                <w:bCs/>
                <w:color w:val="000000"/>
                <w:sz w:val="16"/>
                <w:szCs w:val="16"/>
              </w:rPr>
            </w:pPr>
            <w:r>
              <w:rPr>
                <w:rFonts w:ascii="Calibri" w:hAnsi="Calibri" w:cs="Calibri"/>
                <w:b/>
                <w:bCs/>
                <w:color w:val="000000"/>
                <w:sz w:val="16"/>
                <w:szCs w:val="16"/>
              </w:rPr>
              <w:t>30.002.500</w:t>
            </w:r>
          </w:p>
        </w:tc>
      </w:tr>
    </w:tbl>
    <w:p w14:paraId="41266124" w14:textId="48B28471" w:rsidR="000F4827" w:rsidRPr="002D2F93" w:rsidRDefault="0097313E" w:rsidP="002D2F93">
      <w:pPr>
        <w:pStyle w:val="Ttulo4"/>
        <w:tabs>
          <w:tab w:val="left" w:pos="0"/>
        </w:tabs>
        <w:spacing w:before="120" w:after="120" w:line="240" w:lineRule="auto"/>
        <w:rPr>
          <w:rFonts w:ascii="Calibri" w:hAnsi="Calibri" w:cs="Calibri"/>
          <w:bCs w:val="0"/>
          <w:sz w:val="22"/>
          <w:szCs w:val="22"/>
        </w:rPr>
      </w:pPr>
      <w:r w:rsidRPr="00BD4F85">
        <w:rPr>
          <w:rFonts w:ascii="Calibri" w:hAnsi="Calibri" w:cs="Calibri"/>
          <w:bCs w:val="0"/>
          <w:sz w:val="22"/>
          <w:szCs w:val="22"/>
        </w:rPr>
        <w:lastRenderedPageBreak/>
        <w:t xml:space="preserve">NOTA </w:t>
      </w:r>
      <w:r w:rsidR="00C57BA3" w:rsidRPr="00BD4F85">
        <w:rPr>
          <w:rFonts w:ascii="Calibri" w:hAnsi="Calibri" w:cs="Calibri"/>
          <w:bCs w:val="0"/>
          <w:sz w:val="22"/>
          <w:szCs w:val="22"/>
        </w:rPr>
        <w:t>1</w:t>
      </w:r>
      <w:r w:rsidR="002E37B1">
        <w:rPr>
          <w:rFonts w:ascii="Calibri" w:hAnsi="Calibri" w:cs="Calibri"/>
          <w:bCs w:val="0"/>
          <w:sz w:val="22"/>
          <w:szCs w:val="22"/>
        </w:rPr>
        <w:t>5</w:t>
      </w:r>
      <w:r w:rsidR="00427353" w:rsidRPr="00BD4F85">
        <w:rPr>
          <w:rFonts w:ascii="Calibri" w:hAnsi="Calibri" w:cs="Calibri"/>
          <w:bCs w:val="0"/>
          <w:sz w:val="22"/>
          <w:szCs w:val="22"/>
        </w:rPr>
        <w:t xml:space="preserve"> – PASSIVO INVESTIMENTO CRUZADO</w:t>
      </w:r>
    </w:p>
    <w:p w14:paraId="6A2228B2" w14:textId="77777777" w:rsidR="000F4827" w:rsidRPr="00BD4F85"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A Lei nº 13.448/2017 trouxe como inovação no ordenamento jurídico a possibilidade de realização de investimentos em malhas ferroviárias distintas como contrapartida às prorrogações de contratos de concessão, onde configura-se obrigações de fazer, impostas como contrapartida à celebração de um contrato de concessão, em substituição à obrigação de pagar o correspondente valor de outorga. </w:t>
      </w:r>
    </w:p>
    <w:p w14:paraId="508278C0" w14:textId="5A4BB4DB" w:rsidR="000F4827" w:rsidRPr="00BD4F85"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Como os investimentos cruzados são aqueles realizados sobre malha alheia, diferentemente do investimento ordinário em contratos de concessão, pressupõe-se uma relação trilateral. No caso, conforme descrito na </w:t>
      </w:r>
      <w:r w:rsidRPr="00572476">
        <w:rPr>
          <w:rFonts w:ascii="Calibri" w:hAnsi="Calibri" w:cs="Calibri"/>
          <w:sz w:val="22"/>
          <w:szCs w:val="22"/>
        </w:rPr>
        <w:t>Nota 1-IV, envolve</w:t>
      </w:r>
      <w:r w:rsidRPr="00BD4F85">
        <w:rPr>
          <w:rFonts w:ascii="Calibri" w:hAnsi="Calibri" w:cs="Calibri"/>
          <w:sz w:val="22"/>
          <w:szCs w:val="22"/>
        </w:rPr>
        <w:t xml:space="preserve"> a União, como poder concedente; a Vale S/A, como concessionária da Ferrovia Vitória Minas; e a </w:t>
      </w:r>
      <w:r w:rsidR="00D60F6A">
        <w:rPr>
          <w:rFonts w:ascii="Calibri" w:hAnsi="Calibri" w:cs="Calibri"/>
          <w:sz w:val="22"/>
          <w:szCs w:val="22"/>
        </w:rPr>
        <w:t>Infra</w:t>
      </w:r>
      <w:r w:rsidR="00B406C5">
        <w:rPr>
          <w:rFonts w:ascii="Calibri" w:hAnsi="Calibri" w:cs="Calibri"/>
          <w:sz w:val="22"/>
          <w:szCs w:val="22"/>
        </w:rPr>
        <w:t xml:space="preserve"> S.A.</w:t>
      </w:r>
      <w:r w:rsidRPr="00BD4F85">
        <w:rPr>
          <w:rFonts w:ascii="Calibri" w:hAnsi="Calibri" w:cs="Calibri"/>
          <w:sz w:val="22"/>
          <w:szCs w:val="22"/>
        </w:rPr>
        <w:t xml:space="preserve"> como concessionária da Ferrovia de Integração Oeste Leste e da Ferrovia de Integração Centro-Oeste, como titular dos projetos a serem executados. </w:t>
      </w:r>
    </w:p>
    <w:p w14:paraId="2D74ACEA" w14:textId="2D982608" w:rsidR="00BD4F85" w:rsidRPr="00BD4F85" w:rsidRDefault="000F4827" w:rsidP="000F4827">
      <w:pPr>
        <w:spacing w:after="120"/>
        <w:jc w:val="both"/>
        <w:rPr>
          <w:rFonts w:ascii="Calibri" w:hAnsi="Calibri" w:cs="Calibri"/>
          <w:sz w:val="22"/>
          <w:szCs w:val="22"/>
        </w:rPr>
      </w:pPr>
      <w:r w:rsidRPr="00BD4F85">
        <w:rPr>
          <w:rFonts w:ascii="Calibri" w:hAnsi="Calibri" w:cs="Calibri"/>
          <w:sz w:val="22"/>
          <w:szCs w:val="22"/>
        </w:rPr>
        <w:t xml:space="preserve">A relação tripartite requer uma série de especificidades, dentre elas destaca-se necessidade de um crédito em favor da União (enquanto titular do direito à contrapartida exigida da Vale S/A por ocasião da Prorrogação Antecipada da Ferrovia Vitória Minas), contra a </w:t>
      </w:r>
      <w:r w:rsidR="00D60F6A">
        <w:rPr>
          <w:rFonts w:ascii="Calibri" w:hAnsi="Calibri" w:cs="Calibri"/>
          <w:sz w:val="22"/>
          <w:szCs w:val="22"/>
        </w:rPr>
        <w:t>Infra</w:t>
      </w:r>
      <w:r w:rsidR="00B406C5">
        <w:rPr>
          <w:rFonts w:ascii="Calibri" w:hAnsi="Calibri" w:cs="Calibri"/>
          <w:sz w:val="22"/>
          <w:szCs w:val="22"/>
        </w:rPr>
        <w:t xml:space="preserve"> S.A.</w:t>
      </w:r>
      <w:r w:rsidRPr="00BD4F85">
        <w:rPr>
          <w:rFonts w:ascii="Calibri" w:hAnsi="Calibri" w:cs="Calibri"/>
          <w:sz w:val="22"/>
          <w:szCs w:val="22"/>
        </w:rPr>
        <w:t xml:space="preserve"> (beneficiária-final dos Investimentos Cruzados empreendidos pela Vale S/A). Está sendo discutido com o Ministério da </w:t>
      </w:r>
      <w:r w:rsidR="00E11BEF">
        <w:rPr>
          <w:rFonts w:ascii="Calibri" w:hAnsi="Calibri" w:cs="Calibri"/>
          <w:sz w:val="22"/>
          <w:szCs w:val="22"/>
        </w:rPr>
        <w:t>Infra</w:t>
      </w:r>
      <w:r w:rsidRPr="00BD4F85">
        <w:rPr>
          <w:rFonts w:ascii="Calibri" w:hAnsi="Calibri" w:cs="Calibri"/>
          <w:sz w:val="22"/>
          <w:szCs w:val="22"/>
        </w:rPr>
        <w:t>estrutura, Coordenação de Contabilidade da Secretaria do Tesouro Nacional</w:t>
      </w:r>
      <w:r w:rsidR="00BD4F85" w:rsidRPr="00BD4F85">
        <w:rPr>
          <w:rFonts w:ascii="Calibri" w:hAnsi="Calibri" w:cs="Calibri"/>
          <w:sz w:val="22"/>
          <w:szCs w:val="22"/>
        </w:rPr>
        <w:t xml:space="preserve"> e</w:t>
      </w:r>
      <w:r w:rsidRPr="00BD4F85">
        <w:rPr>
          <w:rFonts w:ascii="Calibri" w:hAnsi="Calibri" w:cs="Calibri"/>
          <w:sz w:val="22"/>
          <w:szCs w:val="22"/>
        </w:rPr>
        <w:t xml:space="preserve"> a Coordenação de Participações Societária do Tesouro Nacional uma forma de internalização na</w:t>
      </w:r>
      <w:r w:rsidR="00BD4F85" w:rsidRPr="00BD4F85">
        <w:rPr>
          <w:rFonts w:ascii="Calibri" w:hAnsi="Calibri" w:cs="Calibri"/>
          <w:sz w:val="22"/>
          <w:szCs w:val="22"/>
        </w:rPr>
        <w:t xml:space="preserve"> </w:t>
      </w:r>
      <w:r w:rsidR="00D60F6A">
        <w:rPr>
          <w:rFonts w:ascii="Calibri" w:hAnsi="Calibri" w:cs="Calibri"/>
          <w:sz w:val="22"/>
          <w:szCs w:val="22"/>
        </w:rPr>
        <w:t>Infra</w:t>
      </w:r>
      <w:r w:rsidR="00B406C5">
        <w:rPr>
          <w:rFonts w:ascii="Calibri" w:hAnsi="Calibri" w:cs="Calibri"/>
          <w:sz w:val="22"/>
          <w:szCs w:val="22"/>
        </w:rPr>
        <w:t xml:space="preserve"> S.A.</w:t>
      </w:r>
      <w:r w:rsidRPr="00BD4F85">
        <w:rPr>
          <w:rFonts w:ascii="Calibri" w:hAnsi="Calibri" w:cs="Calibri"/>
          <w:sz w:val="22"/>
          <w:szCs w:val="22"/>
        </w:rPr>
        <w:t xml:space="preserve"> do direito de receber da V</w:t>
      </w:r>
      <w:r w:rsidR="00BD4F85" w:rsidRPr="00BD4F85">
        <w:rPr>
          <w:rFonts w:ascii="Calibri" w:hAnsi="Calibri" w:cs="Calibri"/>
          <w:sz w:val="22"/>
          <w:szCs w:val="22"/>
        </w:rPr>
        <w:t>ale</w:t>
      </w:r>
      <w:r w:rsidRPr="00BD4F85">
        <w:rPr>
          <w:rFonts w:ascii="Calibri" w:hAnsi="Calibri" w:cs="Calibri"/>
          <w:sz w:val="22"/>
          <w:szCs w:val="22"/>
        </w:rPr>
        <w:t xml:space="preserve"> S/A, se por meio de aumento de capital social ou por outro meio. </w:t>
      </w:r>
    </w:p>
    <w:p w14:paraId="43DD1AC5" w14:textId="4A9D9679" w:rsidR="00FE4D59" w:rsidRPr="002E37B1" w:rsidRDefault="000F4827" w:rsidP="000F4827">
      <w:pPr>
        <w:spacing w:after="120"/>
        <w:jc w:val="both"/>
        <w:rPr>
          <w:rFonts w:ascii="Calibri" w:hAnsi="Calibri" w:cs="Calibri"/>
          <w:sz w:val="22"/>
          <w:szCs w:val="22"/>
          <w:highlight w:val="cyan"/>
        </w:rPr>
      </w:pPr>
      <w:r w:rsidRPr="00BD4F85">
        <w:rPr>
          <w:rFonts w:ascii="Calibri" w:hAnsi="Calibri" w:cs="Calibri"/>
          <w:sz w:val="22"/>
          <w:szCs w:val="22"/>
        </w:rPr>
        <w:t xml:space="preserve">No entanto, </w:t>
      </w:r>
      <w:r w:rsidR="008E7DC3">
        <w:rPr>
          <w:rFonts w:ascii="Calibri" w:hAnsi="Calibri" w:cs="Calibri"/>
          <w:sz w:val="22"/>
          <w:szCs w:val="22"/>
        </w:rPr>
        <w:t>enquanto não houver</w:t>
      </w:r>
      <w:r w:rsidRPr="00BD4F85">
        <w:rPr>
          <w:rFonts w:ascii="Calibri" w:hAnsi="Calibri" w:cs="Calibri"/>
          <w:sz w:val="22"/>
          <w:szCs w:val="22"/>
        </w:rPr>
        <w:t xml:space="preserve"> um entendimento em comum (discussões e estudos em andamento), mas com custos já efetuados, a </w:t>
      </w:r>
      <w:r w:rsidR="00D60F6A">
        <w:rPr>
          <w:rFonts w:ascii="Calibri" w:hAnsi="Calibri" w:cs="Calibri"/>
          <w:sz w:val="22"/>
          <w:szCs w:val="22"/>
        </w:rPr>
        <w:t>Infra</w:t>
      </w:r>
      <w:r w:rsidR="00B406C5">
        <w:rPr>
          <w:rFonts w:ascii="Calibri" w:hAnsi="Calibri" w:cs="Calibri"/>
          <w:sz w:val="22"/>
          <w:szCs w:val="22"/>
        </w:rPr>
        <w:t xml:space="preserve"> S.A.</w:t>
      </w:r>
      <w:r w:rsidR="00BD4F85" w:rsidRPr="00BD4F85">
        <w:rPr>
          <w:rFonts w:ascii="Calibri" w:hAnsi="Calibri" w:cs="Calibri"/>
          <w:sz w:val="22"/>
          <w:szCs w:val="22"/>
        </w:rPr>
        <w:t xml:space="preserve"> </w:t>
      </w:r>
      <w:r w:rsidR="008E7DC3">
        <w:rPr>
          <w:rFonts w:ascii="Calibri" w:hAnsi="Calibri" w:cs="Calibri"/>
          <w:sz w:val="22"/>
          <w:szCs w:val="22"/>
        </w:rPr>
        <w:t>está contabilizando</w:t>
      </w:r>
      <w:r w:rsidR="00BD4F85" w:rsidRPr="00BD4F85">
        <w:rPr>
          <w:rFonts w:ascii="Calibri" w:hAnsi="Calibri" w:cs="Calibri"/>
          <w:sz w:val="22"/>
          <w:szCs w:val="22"/>
        </w:rPr>
        <w:t xml:space="preserve"> como </w:t>
      </w:r>
      <w:r w:rsidRPr="00BD4F85">
        <w:rPr>
          <w:rFonts w:ascii="Calibri" w:hAnsi="Calibri" w:cs="Calibri"/>
          <w:sz w:val="22"/>
          <w:szCs w:val="22"/>
        </w:rPr>
        <w:t>um ativo e um passivo sem que interf</w:t>
      </w:r>
      <w:r w:rsidR="008E7DC3">
        <w:rPr>
          <w:rFonts w:ascii="Calibri" w:hAnsi="Calibri" w:cs="Calibri"/>
          <w:sz w:val="22"/>
          <w:szCs w:val="22"/>
        </w:rPr>
        <w:t>ira</w:t>
      </w:r>
      <w:r w:rsidRPr="00BD4F85">
        <w:rPr>
          <w:rFonts w:ascii="Calibri" w:hAnsi="Calibri" w:cs="Calibri"/>
          <w:sz w:val="22"/>
          <w:szCs w:val="22"/>
        </w:rPr>
        <w:t xml:space="preserve"> no orçamento e nem nas contas de resultado, até que seja concluído os estudos e todos os órgãos envolvidos estejam de acordo. </w:t>
      </w:r>
      <w:r w:rsidR="00BD4F85" w:rsidRPr="00BD4F85">
        <w:rPr>
          <w:rFonts w:ascii="Calibri" w:hAnsi="Calibri" w:cs="Calibri"/>
          <w:sz w:val="22"/>
          <w:szCs w:val="22"/>
        </w:rPr>
        <w:t>Assim</w:t>
      </w:r>
      <w:r w:rsidRPr="00BD4F85">
        <w:rPr>
          <w:rFonts w:ascii="Calibri" w:hAnsi="Calibri" w:cs="Calibri"/>
          <w:sz w:val="22"/>
          <w:szCs w:val="22"/>
        </w:rPr>
        <w:t xml:space="preserve">, a </w:t>
      </w:r>
      <w:r w:rsidR="00D60F6A">
        <w:rPr>
          <w:rFonts w:ascii="Calibri" w:hAnsi="Calibri" w:cs="Calibri"/>
          <w:sz w:val="22"/>
          <w:szCs w:val="22"/>
        </w:rPr>
        <w:t>Infra</w:t>
      </w:r>
      <w:r w:rsidR="00B406C5">
        <w:rPr>
          <w:rFonts w:ascii="Calibri" w:hAnsi="Calibri" w:cs="Calibri"/>
          <w:sz w:val="22"/>
          <w:szCs w:val="22"/>
        </w:rPr>
        <w:t xml:space="preserve"> S.A.</w:t>
      </w:r>
      <w:r w:rsidRPr="00BD4F85">
        <w:rPr>
          <w:rFonts w:ascii="Calibri" w:hAnsi="Calibri" w:cs="Calibri"/>
          <w:sz w:val="22"/>
          <w:szCs w:val="22"/>
        </w:rPr>
        <w:t xml:space="preserve"> reconheceu no Ativo Imobilizado </w:t>
      </w:r>
      <w:r w:rsidR="008E7DC3">
        <w:rPr>
          <w:rFonts w:ascii="Calibri" w:hAnsi="Calibri" w:cs="Calibri"/>
          <w:sz w:val="22"/>
          <w:szCs w:val="22"/>
        </w:rPr>
        <w:t xml:space="preserve">até o </w:t>
      </w:r>
      <w:r w:rsidR="002E37B1">
        <w:rPr>
          <w:rFonts w:ascii="Calibri" w:hAnsi="Calibri" w:cs="Calibri"/>
          <w:sz w:val="22"/>
          <w:szCs w:val="22"/>
        </w:rPr>
        <w:t>3</w:t>
      </w:r>
      <w:r w:rsidR="008E7DC3">
        <w:rPr>
          <w:rFonts w:ascii="Calibri" w:hAnsi="Calibri" w:cs="Calibri"/>
          <w:sz w:val="22"/>
          <w:szCs w:val="22"/>
        </w:rPr>
        <w:t xml:space="preserve">º trimestre de 2022 </w:t>
      </w:r>
      <w:r w:rsidRPr="00BD4F85">
        <w:rPr>
          <w:rFonts w:ascii="Calibri" w:hAnsi="Calibri" w:cs="Calibri"/>
          <w:sz w:val="22"/>
          <w:szCs w:val="22"/>
        </w:rPr>
        <w:t xml:space="preserve">o total de R$ </w:t>
      </w:r>
      <w:r w:rsidR="00F06BD6">
        <w:rPr>
          <w:rFonts w:ascii="Calibri" w:hAnsi="Calibri" w:cs="Calibri"/>
          <w:sz w:val="22"/>
          <w:szCs w:val="22"/>
        </w:rPr>
        <w:t>5</w:t>
      </w:r>
      <w:r w:rsidR="002E37B1">
        <w:rPr>
          <w:rFonts w:ascii="Calibri" w:hAnsi="Calibri" w:cs="Calibri"/>
          <w:sz w:val="22"/>
          <w:szCs w:val="22"/>
        </w:rPr>
        <w:t>1</w:t>
      </w:r>
      <w:r w:rsidR="00F06BD6">
        <w:rPr>
          <w:rFonts w:ascii="Calibri" w:hAnsi="Calibri" w:cs="Calibri"/>
          <w:sz w:val="22"/>
          <w:szCs w:val="22"/>
        </w:rPr>
        <w:t>8</w:t>
      </w:r>
      <w:r w:rsidR="008E7DC3">
        <w:rPr>
          <w:rFonts w:ascii="Calibri" w:hAnsi="Calibri" w:cs="Calibri"/>
          <w:sz w:val="22"/>
          <w:szCs w:val="22"/>
        </w:rPr>
        <w:t>,</w:t>
      </w:r>
      <w:r w:rsidR="002E37B1">
        <w:rPr>
          <w:rFonts w:ascii="Calibri" w:hAnsi="Calibri" w:cs="Calibri"/>
          <w:sz w:val="22"/>
          <w:szCs w:val="22"/>
        </w:rPr>
        <w:t>02</w:t>
      </w:r>
      <w:r w:rsidRPr="00BD4F85">
        <w:rPr>
          <w:rFonts w:ascii="Calibri" w:hAnsi="Calibri" w:cs="Calibri"/>
          <w:sz w:val="22"/>
          <w:szCs w:val="22"/>
        </w:rPr>
        <w:t xml:space="preserve"> milhões no âmbito do Investimento Cruzado, </w:t>
      </w:r>
      <w:r w:rsidRPr="00572476">
        <w:rPr>
          <w:rFonts w:ascii="Calibri" w:hAnsi="Calibri" w:cs="Calibri"/>
          <w:sz w:val="22"/>
          <w:szCs w:val="22"/>
        </w:rPr>
        <w:t xml:space="preserve">conforme Nota </w:t>
      </w:r>
      <w:r w:rsidR="002E37B1" w:rsidRPr="00572476">
        <w:rPr>
          <w:rFonts w:ascii="Calibri" w:hAnsi="Calibri" w:cs="Calibri"/>
          <w:sz w:val="22"/>
          <w:szCs w:val="22"/>
        </w:rPr>
        <w:t>9</w:t>
      </w:r>
      <w:r w:rsidR="00BD4F85" w:rsidRPr="00572476">
        <w:rPr>
          <w:rFonts w:ascii="Calibri" w:hAnsi="Calibri" w:cs="Calibri"/>
          <w:sz w:val="22"/>
          <w:szCs w:val="22"/>
        </w:rPr>
        <w:t>-IV</w:t>
      </w:r>
      <w:r w:rsidRPr="00572476">
        <w:rPr>
          <w:rFonts w:ascii="Calibri" w:hAnsi="Calibri" w:cs="Calibri"/>
          <w:sz w:val="22"/>
          <w:szCs w:val="22"/>
        </w:rPr>
        <w:t>, como contrapartida</w:t>
      </w:r>
      <w:r w:rsidRPr="00BD4F85">
        <w:rPr>
          <w:rFonts w:ascii="Calibri" w:hAnsi="Calibri" w:cs="Calibri"/>
          <w:sz w:val="22"/>
          <w:szCs w:val="22"/>
        </w:rPr>
        <w:t xml:space="preserve"> a presente conta de </w:t>
      </w:r>
      <w:r w:rsidR="00BD4F85" w:rsidRPr="00BD4F85">
        <w:rPr>
          <w:rFonts w:ascii="Calibri" w:hAnsi="Calibri" w:cs="Calibri"/>
          <w:sz w:val="22"/>
          <w:szCs w:val="22"/>
        </w:rPr>
        <w:t>passivo</w:t>
      </w:r>
      <w:r w:rsidRPr="00BD4F85">
        <w:rPr>
          <w:rFonts w:ascii="Calibri" w:hAnsi="Calibri" w:cs="Calibri"/>
          <w:sz w:val="22"/>
          <w:szCs w:val="22"/>
        </w:rPr>
        <w:t>.</w:t>
      </w:r>
      <w:r w:rsidR="00FE4D59">
        <w:rPr>
          <w:rFonts w:ascii="Calibri" w:hAnsi="Calibri" w:cs="Calibri"/>
          <w:sz w:val="22"/>
          <w:szCs w:val="22"/>
        </w:rPr>
        <w:t xml:space="preserve"> </w:t>
      </w:r>
    </w:p>
    <w:p w14:paraId="43798450" w14:textId="716F01E8" w:rsidR="0097313E" w:rsidRPr="002E2B5B" w:rsidRDefault="00427353" w:rsidP="00937ED9">
      <w:pPr>
        <w:pStyle w:val="Ttulo4"/>
        <w:tabs>
          <w:tab w:val="left" w:pos="0"/>
        </w:tabs>
        <w:spacing w:after="120" w:line="240" w:lineRule="auto"/>
        <w:rPr>
          <w:rFonts w:ascii="Calibri" w:hAnsi="Calibri" w:cs="Calibri"/>
          <w:bCs w:val="0"/>
          <w:sz w:val="22"/>
          <w:szCs w:val="22"/>
        </w:rPr>
      </w:pPr>
      <w:r>
        <w:rPr>
          <w:rFonts w:ascii="Calibri" w:hAnsi="Calibri" w:cs="Calibri"/>
          <w:bCs w:val="0"/>
          <w:sz w:val="22"/>
          <w:szCs w:val="22"/>
        </w:rPr>
        <w:t>NOTA 1</w:t>
      </w:r>
      <w:r w:rsidR="002E37B1">
        <w:rPr>
          <w:rFonts w:ascii="Calibri" w:hAnsi="Calibri" w:cs="Calibri"/>
          <w:bCs w:val="0"/>
          <w:sz w:val="22"/>
          <w:szCs w:val="22"/>
        </w:rPr>
        <w:t>6</w:t>
      </w:r>
      <w:r w:rsidR="0097313E" w:rsidRPr="002E2B5B">
        <w:rPr>
          <w:rFonts w:ascii="Calibri" w:hAnsi="Calibri" w:cs="Calibri"/>
          <w:bCs w:val="0"/>
          <w:sz w:val="22"/>
          <w:szCs w:val="22"/>
        </w:rPr>
        <w:t xml:space="preserve"> – DIREITOS DE USO E PASSIVOS DE ARRENDAMENTOS</w:t>
      </w:r>
    </w:p>
    <w:p w14:paraId="27D5C090" w14:textId="1FA7A9FF" w:rsidR="0097313E" w:rsidRDefault="0097313E" w:rsidP="00937ED9">
      <w:pPr>
        <w:spacing w:after="120"/>
        <w:ind w:right="57"/>
        <w:jc w:val="both"/>
        <w:rPr>
          <w:rFonts w:ascii="Calibri" w:hAnsi="Calibri" w:cs="Calibri"/>
          <w:sz w:val="22"/>
          <w:szCs w:val="22"/>
        </w:rPr>
      </w:pPr>
      <w:r w:rsidRPr="002E2B5B">
        <w:rPr>
          <w:rFonts w:ascii="Calibri" w:hAnsi="Calibri" w:cs="Calibri"/>
          <w:sz w:val="22"/>
          <w:szCs w:val="22"/>
        </w:rPr>
        <w:t>O Pronunciamento Contábil CPC  06 (R2) estabeleceu um modelo único de contabilização de arrendamentos no balanço patrimonial para arrendatários. Um arrendatário reconhece um ativo de direito de uso que representa o seu direito de utilizar o ativo arrendado, o qual é reconhecido inicialmente pelo custo e, subsequentemente, pelo custo menos qualquer depreciação acumulada e ajustado pela taxa dos respectivos contratos</w:t>
      </w:r>
      <w:r w:rsidR="004966A1" w:rsidRPr="002E2B5B">
        <w:rPr>
          <w:rFonts w:ascii="Calibri" w:hAnsi="Calibri" w:cs="Calibri"/>
          <w:sz w:val="22"/>
          <w:szCs w:val="22"/>
        </w:rPr>
        <w:t>; e um passivo de arrendamento que representa sua obrigação de efetuar pagamentos do arrendamento, mensurado inicialmente pelo valor presente dos pagamentos.</w:t>
      </w:r>
    </w:p>
    <w:p w14:paraId="653D95DA" w14:textId="67216D87" w:rsidR="001B71DD" w:rsidRPr="00E24F86" w:rsidRDefault="001B71DD" w:rsidP="00937ED9">
      <w:pPr>
        <w:spacing w:before="120" w:after="120"/>
        <w:ind w:right="57"/>
        <w:jc w:val="both"/>
        <w:rPr>
          <w:rFonts w:ascii="Calibri" w:hAnsi="Calibri" w:cs="Calibri"/>
          <w:sz w:val="22"/>
          <w:szCs w:val="22"/>
        </w:rPr>
      </w:pPr>
      <w:r w:rsidRPr="00E24F86">
        <w:rPr>
          <w:rFonts w:ascii="Calibri" w:hAnsi="Calibri" w:cs="Calibri"/>
          <w:sz w:val="22"/>
          <w:szCs w:val="22"/>
        </w:rPr>
        <w:t xml:space="preserve">A </w:t>
      </w:r>
      <w:r w:rsidR="00D60F6A">
        <w:rPr>
          <w:rFonts w:ascii="Calibri" w:hAnsi="Calibri" w:cs="Calibri"/>
          <w:sz w:val="22"/>
          <w:szCs w:val="22"/>
        </w:rPr>
        <w:t>Infra</w:t>
      </w:r>
      <w:r w:rsidR="00B406C5">
        <w:rPr>
          <w:rFonts w:ascii="Calibri" w:hAnsi="Calibri" w:cs="Calibri"/>
          <w:sz w:val="22"/>
          <w:szCs w:val="22"/>
        </w:rPr>
        <w:t xml:space="preserve"> S.A.</w:t>
      </w:r>
      <w:r w:rsidRPr="00E24F86">
        <w:rPr>
          <w:rFonts w:ascii="Calibri" w:hAnsi="Calibri" w:cs="Calibri"/>
          <w:sz w:val="22"/>
          <w:szCs w:val="22"/>
        </w:rPr>
        <w:t xml:space="preserve"> realiza periodicamente a análise de seus contratos de locação vigentes para identificar quais se enquadram no alcance do referido normativo contábil. Atualmente são contabilizados como Direito de Uso e Passivos de Arrendamentos os contratos de locação de imóveis e veículos, com período contratual superior a 12 meses, considerando a possibilidade de renovação, que obedecem aos critérios para mensuração, reconhecimento e registro de contratos de arrendamento.</w:t>
      </w:r>
    </w:p>
    <w:p w14:paraId="7497BEB3" w14:textId="5C943E39" w:rsidR="004D7AB3" w:rsidRDefault="0097313E" w:rsidP="00937ED9">
      <w:pPr>
        <w:spacing w:before="120" w:after="120"/>
        <w:ind w:right="57"/>
        <w:jc w:val="both"/>
        <w:rPr>
          <w:rFonts w:ascii="Calibri" w:hAnsi="Calibri" w:cs="Calibri"/>
          <w:sz w:val="22"/>
          <w:szCs w:val="22"/>
        </w:rPr>
      </w:pPr>
      <w:r w:rsidRPr="002E2B5B">
        <w:rPr>
          <w:rFonts w:ascii="Calibri" w:hAnsi="Calibri" w:cs="Calibri"/>
          <w:sz w:val="22"/>
          <w:szCs w:val="22"/>
        </w:rPr>
        <w:t xml:space="preserve">A conta “Direito de Uso de Veículos” trata-se de direitos estabelecidos em contratos de locação de veículos para utilização na sede e nos trechos em obras da </w:t>
      </w:r>
      <w:r w:rsidR="00D60F6A">
        <w:rPr>
          <w:rFonts w:ascii="Calibri" w:hAnsi="Calibri" w:cs="Calibri"/>
          <w:sz w:val="22"/>
          <w:szCs w:val="22"/>
        </w:rPr>
        <w:t>Infra</w:t>
      </w:r>
      <w:r w:rsidR="00B406C5">
        <w:rPr>
          <w:rFonts w:ascii="Calibri" w:hAnsi="Calibri" w:cs="Calibri"/>
          <w:sz w:val="22"/>
          <w:szCs w:val="22"/>
        </w:rPr>
        <w:t xml:space="preserve"> S.A.</w:t>
      </w:r>
      <w:r w:rsidRPr="002E2B5B">
        <w:rPr>
          <w:rFonts w:ascii="Calibri" w:hAnsi="Calibri" w:cs="Calibri"/>
          <w:sz w:val="22"/>
          <w:szCs w:val="22"/>
        </w:rPr>
        <w:t xml:space="preserve"> </w:t>
      </w:r>
      <w:r w:rsidR="004D7AB3">
        <w:rPr>
          <w:rFonts w:ascii="Calibri" w:hAnsi="Calibri" w:cs="Calibri"/>
          <w:sz w:val="22"/>
          <w:szCs w:val="22"/>
        </w:rPr>
        <w:t>A referida conta e</w:t>
      </w:r>
      <w:r w:rsidR="00F5156E">
        <w:rPr>
          <w:rFonts w:ascii="Calibri" w:hAnsi="Calibri" w:cs="Calibri"/>
          <w:sz w:val="22"/>
          <w:szCs w:val="22"/>
        </w:rPr>
        <w:t xml:space="preserve">ra composta apenas pelo Contrato nº 04/2022, </w:t>
      </w:r>
      <w:r w:rsidR="00005B4E">
        <w:rPr>
          <w:rFonts w:ascii="Calibri" w:hAnsi="Calibri" w:cs="Calibri"/>
          <w:sz w:val="22"/>
          <w:szCs w:val="22"/>
        </w:rPr>
        <w:t>com a vigência de 12 meses. E</w:t>
      </w:r>
      <w:r w:rsidR="00F5156E">
        <w:rPr>
          <w:rFonts w:ascii="Calibri" w:hAnsi="Calibri" w:cs="Calibri"/>
          <w:sz w:val="22"/>
          <w:szCs w:val="22"/>
        </w:rPr>
        <w:t>ntretanto</w:t>
      </w:r>
      <w:r w:rsidR="00005B4E">
        <w:rPr>
          <w:rFonts w:ascii="Calibri" w:hAnsi="Calibri" w:cs="Calibri"/>
          <w:sz w:val="22"/>
          <w:szCs w:val="22"/>
        </w:rPr>
        <w:t>,</w:t>
      </w:r>
      <w:r w:rsidR="00F5156E">
        <w:rPr>
          <w:rFonts w:ascii="Calibri" w:hAnsi="Calibri" w:cs="Calibri"/>
          <w:sz w:val="22"/>
          <w:szCs w:val="22"/>
        </w:rPr>
        <w:t xml:space="preserve"> </w:t>
      </w:r>
      <w:r w:rsidR="00BE17BD">
        <w:rPr>
          <w:rFonts w:ascii="Calibri" w:hAnsi="Calibri" w:cs="Calibri"/>
          <w:sz w:val="22"/>
          <w:szCs w:val="22"/>
        </w:rPr>
        <w:t>conforme</w:t>
      </w:r>
      <w:r w:rsidR="00821D6D">
        <w:rPr>
          <w:rFonts w:ascii="Calibri" w:hAnsi="Calibri" w:cs="Calibri"/>
          <w:sz w:val="22"/>
          <w:szCs w:val="22"/>
        </w:rPr>
        <w:t xml:space="preserve"> </w:t>
      </w:r>
      <w:r w:rsidR="00821D6D" w:rsidRPr="00821D6D">
        <w:rPr>
          <w:rFonts w:ascii="Calibri" w:hAnsi="Calibri" w:cs="Calibri"/>
          <w:sz w:val="22"/>
          <w:szCs w:val="22"/>
        </w:rPr>
        <w:t>Despacho nº 531/2022/GEADM-VALEC/SUADM-VALEC/DIRAF-VALEC</w:t>
      </w:r>
      <w:r w:rsidR="00821D6D">
        <w:rPr>
          <w:rFonts w:ascii="Calibri" w:hAnsi="Calibri" w:cs="Calibri"/>
          <w:sz w:val="22"/>
          <w:szCs w:val="22"/>
        </w:rPr>
        <w:t>,</w:t>
      </w:r>
      <w:r w:rsidR="00BE17BD">
        <w:rPr>
          <w:rFonts w:ascii="Calibri" w:hAnsi="Calibri" w:cs="Calibri"/>
          <w:sz w:val="22"/>
          <w:szCs w:val="22"/>
        </w:rPr>
        <w:t xml:space="preserve"> </w:t>
      </w:r>
      <w:r w:rsidR="00F5156E">
        <w:rPr>
          <w:rFonts w:ascii="Calibri" w:hAnsi="Calibri" w:cs="Calibri"/>
          <w:sz w:val="22"/>
          <w:szCs w:val="22"/>
        </w:rPr>
        <w:t>verificou-se que não há razo</w:t>
      </w:r>
      <w:r w:rsidR="00005B4E">
        <w:rPr>
          <w:rFonts w:ascii="Calibri" w:hAnsi="Calibri" w:cs="Calibri"/>
          <w:sz w:val="22"/>
          <w:szCs w:val="22"/>
        </w:rPr>
        <w:t>á</w:t>
      </w:r>
      <w:r w:rsidR="00F5156E">
        <w:rPr>
          <w:rFonts w:ascii="Calibri" w:hAnsi="Calibri" w:cs="Calibri"/>
          <w:sz w:val="22"/>
          <w:szCs w:val="22"/>
        </w:rPr>
        <w:t>vel certeza de</w:t>
      </w:r>
      <w:r w:rsidR="00005B4E">
        <w:rPr>
          <w:rFonts w:ascii="Calibri" w:hAnsi="Calibri" w:cs="Calibri"/>
          <w:sz w:val="22"/>
          <w:szCs w:val="22"/>
        </w:rPr>
        <w:t xml:space="preserve"> prorrogação do referido contrato. Sendo assim, de acordo com o CPC 06 (R2), não há a </w:t>
      </w:r>
      <w:r w:rsidR="00FC489F">
        <w:rPr>
          <w:rFonts w:ascii="Calibri" w:hAnsi="Calibri" w:cs="Calibri"/>
          <w:sz w:val="22"/>
          <w:szCs w:val="22"/>
        </w:rPr>
        <w:t>obrigatorie</w:t>
      </w:r>
      <w:r w:rsidR="00005B4E">
        <w:rPr>
          <w:rFonts w:ascii="Calibri" w:hAnsi="Calibri" w:cs="Calibri"/>
          <w:sz w:val="22"/>
          <w:szCs w:val="22"/>
        </w:rPr>
        <w:t xml:space="preserve">dade de contabilizá-lo </w:t>
      </w:r>
      <w:r w:rsidR="001C325F">
        <w:rPr>
          <w:rFonts w:ascii="Calibri" w:hAnsi="Calibri" w:cs="Calibri"/>
          <w:sz w:val="22"/>
          <w:szCs w:val="22"/>
        </w:rPr>
        <w:t>e por esse motivo efetuou-se a baixa dos respectivos valores.</w:t>
      </w:r>
      <w:r w:rsidR="00F5156E">
        <w:rPr>
          <w:rFonts w:ascii="Calibri" w:hAnsi="Calibri" w:cs="Calibri"/>
          <w:sz w:val="22"/>
          <w:szCs w:val="22"/>
        </w:rPr>
        <w:t xml:space="preserve"> </w:t>
      </w:r>
    </w:p>
    <w:p w14:paraId="4575897D" w14:textId="721EBEA2" w:rsidR="00AD6B87" w:rsidRDefault="0097313E" w:rsidP="00937ED9">
      <w:pPr>
        <w:spacing w:before="120" w:after="120"/>
        <w:ind w:right="57"/>
        <w:jc w:val="both"/>
        <w:rPr>
          <w:rFonts w:ascii="Calibri" w:hAnsi="Calibri" w:cs="Calibri"/>
          <w:sz w:val="22"/>
          <w:szCs w:val="22"/>
        </w:rPr>
      </w:pPr>
      <w:r w:rsidRPr="002E2B5B">
        <w:rPr>
          <w:rFonts w:ascii="Calibri" w:hAnsi="Calibri" w:cs="Calibri"/>
          <w:sz w:val="22"/>
          <w:szCs w:val="22"/>
        </w:rPr>
        <w:t>Já a conta “Direito de Uso de Imóvel” trata-se de direitos com origem em contratos de locação de imóveis que, após análise nos contratos, verificou-se que somente o contrato de locação do imóvel onde se encontra a sede</w:t>
      </w:r>
      <w:r w:rsidR="00F3074F">
        <w:rPr>
          <w:rFonts w:ascii="Calibri" w:hAnsi="Calibri" w:cs="Calibri"/>
          <w:sz w:val="22"/>
          <w:szCs w:val="22"/>
        </w:rPr>
        <w:t xml:space="preserve"> e a filial</w:t>
      </w:r>
      <w:r w:rsidRPr="002E2B5B">
        <w:rPr>
          <w:rFonts w:ascii="Calibri" w:hAnsi="Calibri" w:cs="Calibri"/>
          <w:sz w:val="22"/>
          <w:szCs w:val="22"/>
        </w:rPr>
        <w:t xml:space="preserve"> da empresa preenche os requisitos estabelecidos no CPC 06 (R2). </w:t>
      </w:r>
    </w:p>
    <w:p w14:paraId="22C93091" w14:textId="6588AF7B" w:rsidR="00C2026E" w:rsidRDefault="001C325F" w:rsidP="00937ED9">
      <w:pPr>
        <w:spacing w:before="120" w:after="120"/>
        <w:ind w:right="57"/>
        <w:jc w:val="both"/>
        <w:rPr>
          <w:rFonts w:ascii="Calibri" w:hAnsi="Calibri" w:cs="Calibri"/>
          <w:sz w:val="22"/>
          <w:szCs w:val="22"/>
        </w:rPr>
      </w:pPr>
      <w:r>
        <w:rPr>
          <w:rFonts w:ascii="Calibri" w:hAnsi="Calibri" w:cs="Calibri"/>
          <w:sz w:val="22"/>
          <w:szCs w:val="22"/>
        </w:rPr>
        <w:t>Para atender ao previsto no CPC 06 (R2), no que diz respeito a contabilização dos valores contratuais a valor presente, bem como o reconhecimento dos juros decorrentes de tal operação, foram realizados a</w:t>
      </w:r>
      <w:r w:rsidR="00BE4C03">
        <w:rPr>
          <w:rFonts w:ascii="Calibri" w:hAnsi="Calibri" w:cs="Calibri"/>
          <w:sz w:val="22"/>
          <w:szCs w:val="22"/>
        </w:rPr>
        <w:t xml:space="preserve">justes na contabilização que </w:t>
      </w:r>
      <w:r w:rsidR="00BE4C03">
        <w:rPr>
          <w:rFonts w:ascii="Calibri" w:hAnsi="Calibri" w:cs="Calibri"/>
          <w:sz w:val="22"/>
          <w:szCs w:val="22"/>
        </w:rPr>
        <w:lastRenderedPageBreak/>
        <w:t>ocasionaram</w:t>
      </w:r>
      <w:r w:rsidR="00C2026E">
        <w:rPr>
          <w:rFonts w:ascii="Calibri" w:hAnsi="Calibri" w:cs="Calibri"/>
          <w:sz w:val="22"/>
          <w:szCs w:val="22"/>
        </w:rPr>
        <w:t xml:space="preserve"> em</w:t>
      </w:r>
      <w:r w:rsidR="00BE4C03">
        <w:rPr>
          <w:rFonts w:ascii="Calibri" w:hAnsi="Calibri" w:cs="Calibri"/>
          <w:sz w:val="22"/>
          <w:szCs w:val="22"/>
        </w:rPr>
        <w:t xml:space="preserve"> lançamentos de baixa no ativo e passivo correspondentes bem como na incorporação da conta</w:t>
      </w:r>
      <w:r w:rsidR="00C2026E">
        <w:rPr>
          <w:rFonts w:ascii="Calibri" w:hAnsi="Calibri" w:cs="Calibri"/>
          <w:sz w:val="22"/>
          <w:szCs w:val="22"/>
        </w:rPr>
        <w:t xml:space="preserve"> redutora do passivo</w:t>
      </w:r>
      <w:r w:rsidR="00BE4C03">
        <w:rPr>
          <w:rFonts w:ascii="Calibri" w:hAnsi="Calibri" w:cs="Calibri"/>
          <w:sz w:val="22"/>
          <w:szCs w:val="22"/>
        </w:rPr>
        <w:t xml:space="preserve"> “</w:t>
      </w:r>
      <w:r w:rsidR="00C2026E">
        <w:rPr>
          <w:rFonts w:ascii="Calibri" w:hAnsi="Calibri" w:cs="Calibri"/>
          <w:sz w:val="22"/>
          <w:szCs w:val="22"/>
        </w:rPr>
        <w:t>Juros a transcorrer”.</w:t>
      </w:r>
    </w:p>
    <w:p w14:paraId="47C0DB99" w14:textId="06A143BA" w:rsidR="003111E3" w:rsidRDefault="003111E3" w:rsidP="00937ED9">
      <w:pPr>
        <w:spacing w:before="120" w:after="120"/>
        <w:ind w:right="57"/>
        <w:jc w:val="both"/>
        <w:rPr>
          <w:rFonts w:ascii="Calibri" w:hAnsi="Calibri" w:cs="Calibri"/>
          <w:sz w:val="22"/>
          <w:szCs w:val="22"/>
        </w:rPr>
      </w:pPr>
      <w:r w:rsidRPr="003111E3">
        <w:rPr>
          <w:rFonts w:ascii="Calibri" w:hAnsi="Calibri" w:cs="Calibri"/>
          <w:sz w:val="22"/>
          <w:szCs w:val="22"/>
        </w:rPr>
        <w:t xml:space="preserve">Considerando que o recurso disponibilizado à </w:t>
      </w:r>
      <w:r w:rsidR="00D60F6A">
        <w:rPr>
          <w:rFonts w:ascii="Calibri" w:hAnsi="Calibri" w:cs="Calibri"/>
          <w:sz w:val="22"/>
          <w:szCs w:val="22"/>
        </w:rPr>
        <w:t>Infra</w:t>
      </w:r>
      <w:r w:rsidR="00B406C5">
        <w:rPr>
          <w:rFonts w:ascii="Calibri" w:hAnsi="Calibri" w:cs="Calibri"/>
          <w:sz w:val="22"/>
          <w:szCs w:val="22"/>
        </w:rPr>
        <w:t xml:space="preserve"> S.A.</w:t>
      </w:r>
      <w:r w:rsidRPr="003111E3">
        <w:rPr>
          <w:rFonts w:ascii="Calibri" w:hAnsi="Calibri" w:cs="Calibri"/>
          <w:sz w:val="22"/>
          <w:szCs w:val="22"/>
        </w:rPr>
        <w:t xml:space="preserve"> tem como fonte o Tesouro Nacional, a taxa de desconto </w:t>
      </w:r>
      <w:r>
        <w:rPr>
          <w:rFonts w:ascii="Calibri" w:hAnsi="Calibri" w:cs="Calibri"/>
          <w:sz w:val="22"/>
          <w:szCs w:val="22"/>
        </w:rPr>
        <w:t>defini</w:t>
      </w:r>
      <w:r w:rsidRPr="003111E3">
        <w:rPr>
          <w:rFonts w:ascii="Calibri" w:hAnsi="Calibri" w:cs="Calibri"/>
          <w:sz w:val="22"/>
          <w:szCs w:val="22"/>
        </w:rPr>
        <w:t xml:space="preserve">da para o cálculo de valor presente dos contratos em questão </w:t>
      </w:r>
      <w:r>
        <w:rPr>
          <w:rFonts w:ascii="Calibri" w:hAnsi="Calibri" w:cs="Calibri"/>
          <w:sz w:val="22"/>
          <w:szCs w:val="22"/>
        </w:rPr>
        <w:t>foi</w:t>
      </w:r>
      <w:r w:rsidRPr="003111E3">
        <w:rPr>
          <w:rFonts w:ascii="Calibri" w:hAnsi="Calibri" w:cs="Calibri"/>
          <w:sz w:val="22"/>
          <w:szCs w:val="22"/>
        </w:rPr>
        <w:t xml:space="preserve"> a SELIC</w:t>
      </w:r>
      <w:r>
        <w:rPr>
          <w:rFonts w:ascii="Calibri" w:hAnsi="Calibri" w:cs="Calibri"/>
          <w:sz w:val="22"/>
          <w:szCs w:val="22"/>
        </w:rPr>
        <w:t>, visto que</w:t>
      </w:r>
      <w:r w:rsidRPr="003111E3">
        <w:rPr>
          <w:rFonts w:ascii="Calibri" w:hAnsi="Calibri" w:cs="Calibri"/>
          <w:sz w:val="22"/>
          <w:szCs w:val="22"/>
        </w:rPr>
        <w:t xml:space="preserve"> seria a taxa empregada no caso de uma captação de recursos</w:t>
      </w:r>
      <w:r w:rsidR="00BE17BD">
        <w:rPr>
          <w:rFonts w:ascii="Calibri" w:hAnsi="Calibri" w:cs="Calibri"/>
          <w:sz w:val="22"/>
          <w:szCs w:val="22"/>
        </w:rPr>
        <w:t xml:space="preserve"> (taxa incremental).</w:t>
      </w:r>
    </w:p>
    <w:p w14:paraId="2D81E6C3" w14:textId="6E7873DF" w:rsidR="001C325F" w:rsidRDefault="00C2026E" w:rsidP="00937ED9">
      <w:pPr>
        <w:spacing w:before="120" w:after="120"/>
        <w:ind w:right="57"/>
        <w:jc w:val="both"/>
        <w:rPr>
          <w:rFonts w:ascii="Calibri" w:hAnsi="Calibri" w:cs="Calibri"/>
          <w:sz w:val="22"/>
          <w:szCs w:val="22"/>
        </w:rPr>
      </w:pPr>
      <w:r>
        <w:rPr>
          <w:rFonts w:ascii="Calibri" w:hAnsi="Calibri" w:cs="Calibri"/>
          <w:sz w:val="22"/>
          <w:szCs w:val="22"/>
        </w:rPr>
        <w:t xml:space="preserve">A rubrica “Direito de uso”, também </w:t>
      </w:r>
      <w:r w:rsidRPr="00572476">
        <w:rPr>
          <w:rFonts w:ascii="Calibri" w:hAnsi="Calibri" w:cs="Calibri"/>
          <w:sz w:val="22"/>
          <w:szCs w:val="22"/>
        </w:rPr>
        <w:t xml:space="preserve">evidenciada na Nota </w:t>
      </w:r>
      <w:r w:rsidR="002E37B1" w:rsidRPr="00572476">
        <w:rPr>
          <w:rFonts w:ascii="Calibri" w:hAnsi="Calibri" w:cs="Calibri"/>
          <w:sz w:val="22"/>
          <w:szCs w:val="22"/>
        </w:rPr>
        <w:t>9</w:t>
      </w:r>
      <w:r w:rsidRPr="00572476">
        <w:rPr>
          <w:rFonts w:ascii="Calibri" w:hAnsi="Calibri" w:cs="Calibri"/>
          <w:sz w:val="22"/>
          <w:szCs w:val="22"/>
        </w:rPr>
        <w:t>, apresentou</w:t>
      </w:r>
      <w:r>
        <w:rPr>
          <w:rFonts w:ascii="Calibri" w:hAnsi="Calibri" w:cs="Calibri"/>
          <w:sz w:val="22"/>
          <w:szCs w:val="22"/>
        </w:rPr>
        <w:t xml:space="preserve"> a seguinte movimentação </w:t>
      </w:r>
      <w:r w:rsidR="00FC489F">
        <w:rPr>
          <w:rFonts w:ascii="Calibri" w:hAnsi="Calibri" w:cs="Calibri"/>
          <w:sz w:val="22"/>
          <w:szCs w:val="22"/>
        </w:rPr>
        <w:t xml:space="preserve">até </w:t>
      </w:r>
      <w:r>
        <w:rPr>
          <w:rFonts w:ascii="Calibri" w:hAnsi="Calibri" w:cs="Calibri"/>
          <w:sz w:val="22"/>
          <w:szCs w:val="22"/>
        </w:rPr>
        <w:t xml:space="preserve">o </w:t>
      </w:r>
      <w:r w:rsidR="002E37B1">
        <w:rPr>
          <w:rFonts w:ascii="Calibri" w:hAnsi="Calibri" w:cs="Calibri"/>
          <w:sz w:val="22"/>
          <w:szCs w:val="22"/>
        </w:rPr>
        <w:t>3</w:t>
      </w:r>
      <w:r>
        <w:rPr>
          <w:rFonts w:ascii="Calibri" w:hAnsi="Calibri" w:cs="Calibri"/>
          <w:sz w:val="22"/>
          <w:szCs w:val="22"/>
        </w:rPr>
        <w:t>º trimestre de 2022:</w:t>
      </w:r>
    </w:p>
    <w:tbl>
      <w:tblPr>
        <w:tblW w:w="4881" w:type="pct"/>
        <w:tblLayout w:type="fixed"/>
        <w:tblCellMar>
          <w:left w:w="70" w:type="dxa"/>
          <w:right w:w="70" w:type="dxa"/>
        </w:tblCellMar>
        <w:tblLook w:val="04A0" w:firstRow="1" w:lastRow="0" w:firstColumn="1" w:lastColumn="0" w:noHBand="0" w:noVBand="1"/>
      </w:tblPr>
      <w:tblGrid>
        <w:gridCol w:w="2392"/>
        <w:gridCol w:w="1016"/>
        <w:gridCol w:w="1416"/>
        <w:gridCol w:w="1557"/>
        <w:gridCol w:w="1279"/>
        <w:gridCol w:w="1279"/>
        <w:gridCol w:w="1279"/>
      </w:tblGrid>
      <w:tr w:rsidR="002E37B1" w:rsidRPr="00274BF6" w14:paraId="2BA3B9A1" w14:textId="77777777" w:rsidTr="002E37B1">
        <w:trPr>
          <w:trHeight w:val="227"/>
        </w:trPr>
        <w:tc>
          <w:tcPr>
            <w:tcW w:w="1170" w:type="pct"/>
            <w:tcBorders>
              <w:top w:val="nil"/>
              <w:left w:val="nil"/>
              <w:bottom w:val="single" w:sz="4" w:space="0" w:color="auto"/>
              <w:right w:val="nil"/>
            </w:tcBorders>
            <w:shd w:val="clear" w:color="auto" w:fill="auto"/>
            <w:noWrap/>
            <w:vAlign w:val="center"/>
          </w:tcPr>
          <w:p w14:paraId="20B94CF4" w14:textId="01170C5D" w:rsidR="002E37B1" w:rsidRPr="00274BF6" w:rsidRDefault="002E37B1" w:rsidP="00FC489F">
            <w:pPr>
              <w:rPr>
                <w:rFonts w:ascii="Calibri" w:hAnsi="Calibri" w:cs="Calibri"/>
                <w:b/>
                <w:bCs/>
                <w:color w:val="000000"/>
                <w:sz w:val="16"/>
                <w:szCs w:val="16"/>
              </w:rPr>
            </w:pPr>
            <w:r>
              <w:rPr>
                <w:rFonts w:ascii="Calibri" w:hAnsi="Calibri" w:cs="Calibri"/>
                <w:b/>
                <w:bCs/>
                <w:color w:val="000000"/>
                <w:sz w:val="16"/>
                <w:szCs w:val="16"/>
              </w:rPr>
              <w:t>DIREITO DE USO</w:t>
            </w:r>
          </w:p>
        </w:tc>
        <w:tc>
          <w:tcPr>
            <w:tcW w:w="497" w:type="pct"/>
            <w:tcBorders>
              <w:top w:val="nil"/>
              <w:left w:val="nil"/>
              <w:bottom w:val="single" w:sz="4" w:space="0" w:color="auto"/>
              <w:right w:val="nil"/>
            </w:tcBorders>
            <w:shd w:val="clear" w:color="auto" w:fill="auto"/>
            <w:noWrap/>
            <w:vAlign w:val="center"/>
          </w:tcPr>
          <w:p w14:paraId="7FC9E8F4" w14:textId="5BF6AD8F" w:rsidR="002E37B1" w:rsidRPr="00274BF6"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693" w:type="pct"/>
            <w:tcBorders>
              <w:top w:val="nil"/>
              <w:left w:val="nil"/>
              <w:bottom w:val="single" w:sz="4" w:space="0" w:color="auto"/>
              <w:right w:val="nil"/>
            </w:tcBorders>
            <w:shd w:val="clear" w:color="auto" w:fill="auto"/>
            <w:noWrap/>
            <w:vAlign w:val="center"/>
          </w:tcPr>
          <w:p w14:paraId="7FFAE14E" w14:textId="1CCB8085" w:rsidR="002E37B1" w:rsidRPr="00274BF6"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ENTRADAS</w:t>
            </w:r>
          </w:p>
        </w:tc>
        <w:tc>
          <w:tcPr>
            <w:tcW w:w="762" w:type="pct"/>
            <w:tcBorders>
              <w:top w:val="nil"/>
              <w:left w:val="nil"/>
              <w:bottom w:val="single" w:sz="4" w:space="0" w:color="auto"/>
              <w:right w:val="nil"/>
            </w:tcBorders>
            <w:vAlign w:val="center"/>
          </w:tcPr>
          <w:p w14:paraId="1E796B61" w14:textId="054672A5" w:rsidR="002E37B1" w:rsidRDefault="002E37B1" w:rsidP="002E37B1">
            <w:pPr>
              <w:jc w:val="center"/>
              <w:rPr>
                <w:rFonts w:ascii="Calibri" w:hAnsi="Calibri" w:cs="Calibri"/>
                <w:b/>
                <w:bCs/>
                <w:color w:val="000000"/>
                <w:sz w:val="16"/>
                <w:szCs w:val="16"/>
              </w:rPr>
            </w:pPr>
            <w:r w:rsidRPr="002E37B1">
              <w:rPr>
                <w:rFonts w:ascii="Calibri" w:hAnsi="Calibri" w:cs="Calibri"/>
                <w:b/>
                <w:bCs/>
                <w:color w:val="000000"/>
                <w:sz w:val="16"/>
                <w:szCs w:val="16"/>
              </w:rPr>
              <w:t>ENTRADA REFERENTE AO CONTRATO DA EPL</w:t>
            </w:r>
          </w:p>
        </w:tc>
        <w:tc>
          <w:tcPr>
            <w:tcW w:w="626" w:type="pct"/>
            <w:tcBorders>
              <w:top w:val="nil"/>
              <w:left w:val="nil"/>
              <w:bottom w:val="single" w:sz="4" w:space="0" w:color="auto"/>
              <w:right w:val="nil"/>
            </w:tcBorders>
            <w:vAlign w:val="center"/>
          </w:tcPr>
          <w:p w14:paraId="56A27987" w14:textId="6879A9F1" w:rsidR="002E37B1" w:rsidRPr="00274BF6"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BAIXAS CONTR./ PAGAMENTOS</w:t>
            </w:r>
          </w:p>
        </w:tc>
        <w:tc>
          <w:tcPr>
            <w:tcW w:w="626" w:type="pct"/>
            <w:tcBorders>
              <w:top w:val="nil"/>
              <w:left w:val="nil"/>
              <w:bottom w:val="single" w:sz="4" w:space="0" w:color="auto"/>
              <w:right w:val="nil"/>
            </w:tcBorders>
            <w:vAlign w:val="center"/>
          </w:tcPr>
          <w:p w14:paraId="321D0430" w14:textId="78D0D63E" w:rsidR="002E37B1" w:rsidRPr="00274BF6"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AJUSTES/     AJUSTES A VP</w:t>
            </w:r>
          </w:p>
        </w:tc>
        <w:tc>
          <w:tcPr>
            <w:tcW w:w="626" w:type="pct"/>
            <w:tcBorders>
              <w:top w:val="nil"/>
              <w:left w:val="nil"/>
              <w:bottom w:val="single" w:sz="4" w:space="0" w:color="auto"/>
              <w:right w:val="nil"/>
            </w:tcBorders>
            <w:shd w:val="clear" w:color="auto" w:fill="auto"/>
            <w:noWrap/>
            <w:vAlign w:val="center"/>
          </w:tcPr>
          <w:p w14:paraId="1E367E9B" w14:textId="24DFF316" w:rsidR="002E37B1" w:rsidRPr="00274BF6"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SALDO EM 30/09/2022</w:t>
            </w:r>
          </w:p>
        </w:tc>
      </w:tr>
      <w:tr w:rsidR="002E37B1" w14:paraId="3D18A1B6" w14:textId="77777777" w:rsidTr="002E37B1">
        <w:trPr>
          <w:trHeight w:val="227"/>
        </w:trPr>
        <w:tc>
          <w:tcPr>
            <w:tcW w:w="1170" w:type="pct"/>
            <w:tcBorders>
              <w:top w:val="single" w:sz="4" w:space="0" w:color="auto"/>
              <w:left w:val="nil"/>
              <w:bottom w:val="nil"/>
              <w:right w:val="nil"/>
            </w:tcBorders>
            <w:shd w:val="clear" w:color="auto" w:fill="auto"/>
            <w:noWrap/>
            <w:vAlign w:val="center"/>
            <w:hideMark/>
          </w:tcPr>
          <w:p w14:paraId="13E60AC8" w14:textId="77777777" w:rsidR="002E37B1" w:rsidRDefault="002E37B1" w:rsidP="00FC489F">
            <w:pPr>
              <w:rPr>
                <w:rFonts w:ascii="Calibri" w:hAnsi="Calibri" w:cs="Calibri"/>
                <w:color w:val="000000"/>
                <w:sz w:val="16"/>
                <w:szCs w:val="16"/>
              </w:rPr>
            </w:pPr>
            <w:r>
              <w:rPr>
                <w:rFonts w:ascii="Calibri" w:hAnsi="Calibri" w:cs="Calibri"/>
                <w:color w:val="000000"/>
                <w:sz w:val="16"/>
                <w:szCs w:val="16"/>
              </w:rPr>
              <w:t xml:space="preserve">Direito de Uso de Veículos </w:t>
            </w:r>
          </w:p>
        </w:tc>
        <w:tc>
          <w:tcPr>
            <w:tcW w:w="497" w:type="pct"/>
            <w:tcBorders>
              <w:top w:val="single" w:sz="4" w:space="0" w:color="auto"/>
              <w:left w:val="nil"/>
              <w:bottom w:val="nil"/>
              <w:right w:val="nil"/>
            </w:tcBorders>
            <w:shd w:val="clear" w:color="auto" w:fill="auto"/>
            <w:noWrap/>
            <w:vAlign w:val="center"/>
            <w:hideMark/>
          </w:tcPr>
          <w:p w14:paraId="7B385FA9" w14:textId="5685C9FD"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2.700.800</w:t>
            </w:r>
          </w:p>
        </w:tc>
        <w:tc>
          <w:tcPr>
            <w:tcW w:w="693" w:type="pct"/>
            <w:tcBorders>
              <w:top w:val="single" w:sz="4" w:space="0" w:color="auto"/>
              <w:left w:val="nil"/>
              <w:bottom w:val="nil"/>
              <w:right w:val="nil"/>
            </w:tcBorders>
            <w:shd w:val="clear" w:color="auto" w:fill="auto"/>
            <w:noWrap/>
            <w:vAlign w:val="center"/>
            <w:hideMark/>
          </w:tcPr>
          <w:p w14:paraId="3CBAE1C3" w14:textId="01D00402"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2.387.514</w:t>
            </w:r>
          </w:p>
        </w:tc>
        <w:tc>
          <w:tcPr>
            <w:tcW w:w="762" w:type="pct"/>
            <w:tcBorders>
              <w:top w:val="single" w:sz="4" w:space="0" w:color="auto"/>
              <w:left w:val="nil"/>
              <w:bottom w:val="nil"/>
              <w:right w:val="nil"/>
            </w:tcBorders>
          </w:tcPr>
          <w:p w14:paraId="65F2A585" w14:textId="533BC604"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0</w:t>
            </w:r>
          </w:p>
        </w:tc>
        <w:tc>
          <w:tcPr>
            <w:tcW w:w="626" w:type="pct"/>
            <w:tcBorders>
              <w:top w:val="single" w:sz="4" w:space="0" w:color="auto"/>
              <w:left w:val="nil"/>
              <w:bottom w:val="nil"/>
              <w:right w:val="nil"/>
            </w:tcBorders>
          </w:tcPr>
          <w:p w14:paraId="475A4260" w14:textId="33192023"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(2.700.800)</w:t>
            </w:r>
          </w:p>
        </w:tc>
        <w:tc>
          <w:tcPr>
            <w:tcW w:w="626" w:type="pct"/>
            <w:tcBorders>
              <w:top w:val="single" w:sz="4" w:space="0" w:color="auto"/>
              <w:left w:val="nil"/>
              <w:bottom w:val="nil"/>
              <w:right w:val="nil"/>
            </w:tcBorders>
          </w:tcPr>
          <w:p w14:paraId="5CFE6FE1" w14:textId="581926C6"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(2.387.514)</w:t>
            </w:r>
          </w:p>
        </w:tc>
        <w:tc>
          <w:tcPr>
            <w:tcW w:w="626" w:type="pct"/>
            <w:tcBorders>
              <w:top w:val="single" w:sz="4" w:space="0" w:color="auto"/>
              <w:left w:val="nil"/>
              <w:bottom w:val="nil"/>
              <w:right w:val="nil"/>
            </w:tcBorders>
            <w:shd w:val="clear" w:color="auto" w:fill="auto"/>
            <w:noWrap/>
            <w:vAlign w:val="center"/>
            <w:hideMark/>
          </w:tcPr>
          <w:p w14:paraId="6873C9FB" w14:textId="67478848"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0</w:t>
            </w:r>
          </w:p>
        </w:tc>
      </w:tr>
      <w:tr w:rsidR="002E37B1" w14:paraId="7B1CA47F" w14:textId="77777777" w:rsidTr="002E37B1">
        <w:trPr>
          <w:trHeight w:val="227"/>
        </w:trPr>
        <w:tc>
          <w:tcPr>
            <w:tcW w:w="1170" w:type="pct"/>
            <w:tcBorders>
              <w:top w:val="nil"/>
              <w:left w:val="nil"/>
              <w:bottom w:val="single" w:sz="8" w:space="0" w:color="auto"/>
              <w:right w:val="nil"/>
            </w:tcBorders>
            <w:shd w:val="clear" w:color="auto" w:fill="auto"/>
            <w:noWrap/>
            <w:vAlign w:val="center"/>
            <w:hideMark/>
          </w:tcPr>
          <w:p w14:paraId="7500A2CC" w14:textId="77777777" w:rsidR="002E37B1" w:rsidRDefault="002E37B1" w:rsidP="00FC489F">
            <w:pPr>
              <w:rPr>
                <w:rFonts w:ascii="Calibri" w:hAnsi="Calibri" w:cs="Calibri"/>
                <w:color w:val="000000"/>
                <w:sz w:val="16"/>
                <w:szCs w:val="16"/>
              </w:rPr>
            </w:pPr>
            <w:r>
              <w:rPr>
                <w:rFonts w:ascii="Calibri" w:hAnsi="Calibri" w:cs="Calibri"/>
                <w:color w:val="000000"/>
                <w:sz w:val="16"/>
                <w:szCs w:val="16"/>
              </w:rPr>
              <w:t>Direito de Uso de Imóveis</w:t>
            </w:r>
          </w:p>
        </w:tc>
        <w:tc>
          <w:tcPr>
            <w:tcW w:w="497" w:type="pct"/>
            <w:tcBorders>
              <w:top w:val="nil"/>
              <w:left w:val="nil"/>
              <w:bottom w:val="single" w:sz="8" w:space="0" w:color="auto"/>
              <w:right w:val="nil"/>
            </w:tcBorders>
            <w:shd w:val="clear" w:color="auto" w:fill="auto"/>
            <w:noWrap/>
            <w:vAlign w:val="center"/>
            <w:hideMark/>
          </w:tcPr>
          <w:p w14:paraId="34726A97" w14:textId="2A2C1BD8"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54.506.527</w:t>
            </w:r>
          </w:p>
        </w:tc>
        <w:tc>
          <w:tcPr>
            <w:tcW w:w="693" w:type="pct"/>
            <w:tcBorders>
              <w:top w:val="nil"/>
              <w:left w:val="nil"/>
              <w:bottom w:val="single" w:sz="8" w:space="0" w:color="auto"/>
              <w:right w:val="nil"/>
            </w:tcBorders>
            <w:shd w:val="clear" w:color="auto" w:fill="auto"/>
            <w:noWrap/>
            <w:vAlign w:val="center"/>
            <w:hideMark/>
          </w:tcPr>
          <w:p w14:paraId="246FEDB6" w14:textId="58EF36BC"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0</w:t>
            </w:r>
          </w:p>
        </w:tc>
        <w:tc>
          <w:tcPr>
            <w:tcW w:w="762" w:type="pct"/>
            <w:tcBorders>
              <w:top w:val="nil"/>
              <w:left w:val="nil"/>
              <w:bottom w:val="single" w:sz="8" w:space="0" w:color="auto"/>
              <w:right w:val="nil"/>
            </w:tcBorders>
          </w:tcPr>
          <w:p w14:paraId="21BD3A24" w14:textId="278420D9"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11.141.936</w:t>
            </w:r>
          </w:p>
        </w:tc>
        <w:tc>
          <w:tcPr>
            <w:tcW w:w="626" w:type="pct"/>
            <w:tcBorders>
              <w:top w:val="nil"/>
              <w:left w:val="nil"/>
              <w:bottom w:val="single" w:sz="8" w:space="0" w:color="auto"/>
              <w:right w:val="nil"/>
            </w:tcBorders>
          </w:tcPr>
          <w:p w14:paraId="65C379B1" w14:textId="298F7197"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(2.197.959)</w:t>
            </w:r>
          </w:p>
        </w:tc>
        <w:tc>
          <w:tcPr>
            <w:tcW w:w="626" w:type="pct"/>
            <w:tcBorders>
              <w:top w:val="nil"/>
              <w:left w:val="nil"/>
              <w:bottom w:val="single" w:sz="8" w:space="0" w:color="auto"/>
              <w:right w:val="nil"/>
            </w:tcBorders>
          </w:tcPr>
          <w:p w14:paraId="119C4FD2" w14:textId="4A56A9C1"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(39.378.247)</w:t>
            </w:r>
          </w:p>
        </w:tc>
        <w:tc>
          <w:tcPr>
            <w:tcW w:w="626" w:type="pct"/>
            <w:tcBorders>
              <w:top w:val="nil"/>
              <w:left w:val="nil"/>
              <w:bottom w:val="single" w:sz="8" w:space="0" w:color="auto"/>
              <w:right w:val="nil"/>
            </w:tcBorders>
            <w:shd w:val="clear" w:color="auto" w:fill="auto"/>
            <w:vAlign w:val="center"/>
            <w:hideMark/>
          </w:tcPr>
          <w:p w14:paraId="74FF2433" w14:textId="34A1F081" w:rsidR="002E37B1" w:rsidRDefault="00EB25AD" w:rsidP="00FC489F">
            <w:pPr>
              <w:jc w:val="right"/>
              <w:rPr>
                <w:rFonts w:ascii="Calibri" w:hAnsi="Calibri" w:cs="Calibri"/>
                <w:color w:val="000000"/>
                <w:sz w:val="16"/>
                <w:szCs w:val="16"/>
              </w:rPr>
            </w:pPr>
            <w:r>
              <w:rPr>
                <w:rFonts w:ascii="Calibri" w:hAnsi="Calibri" w:cs="Calibri"/>
                <w:color w:val="000000"/>
                <w:sz w:val="16"/>
                <w:szCs w:val="16"/>
              </w:rPr>
              <w:t>24.072.257</w:t>
            </w:r>
          </w:p>
        </w:tc>
      </w:tr>
      <w:tr w:rsidR="002E37B1" w14:paraId="17FF4444" w14:textId="77777777" w:rsidTr="002E37B1">
        <w:trPr>
          <w:trHeight w:val="227"/>
        </w:trPr>
        <w:tc>
          <w:tcPr>
            <w:tcW w:w="1170" w:type="pct"/>
            <w:tcBorders>
              <w:top w:val="nil"/>
              <w:left w:val="nil"/>
              <w:bottom w:val="single" w:sz="8" w:space="0" w:color="auto"/>
              <w:right w:val="nil"/>
            </w:tcBorders>
            <w:shd w:val="clear" w:color="auto" w:fill="auto"/>
            <w:noWrap/>
            <w:vAlign w:val="center"/>
          </w:tcPr>
          <w:p w14:paraId="7BAE3651" w14:textId="056C95AC" w:rsidR="002E37B1" w:rsidRPr="007C1A97" w:rsidRDefault="002E37B1" w:rsidP="00FC489F">
            <w:pPr>
              <w:rPr>
                <w:rFonts w:ascii="Calibri" w:hAnsi="Calibri" w:cs="Calibri"/>
                <w:b/>
                <w:bCs/>
                <w:color w:val="000000"/>
                <w:sz w:val="16"/>
                <w:szCs w:val="16"/>
              </w:rPr>
            </w:pPr>
            <w:r>
              <w:rPr>
                <w:rFonts w:ascii="Calibri" w:hAnsi="Calibri" w:cs="Calibri"/>
                <w:b/>
                <w:bCs/>
                <w:color w:val="000000"/>
                <w:sz w:val="16"/>
                <w:szCs w:val="16"/>
              </w:rPr>
              <w:t>Total Direito de Uso</w:t>
            </w:r>
          </w:p>
        </w:tc>
        <w:tc>
          <w:tcPr>
            <w:tcW w:w="497" w:type="pct"/>
            <w:tcBorders>
              <w:top w:val="nil"/>
              <w:left w:val="nil"/>
              <w:bottom w:val="single" w:sz="8" w:space="0" w:color="auto"/>
              <w:right w:val="nil"/>
            </w:tcBorders>
            <w:shd w:val="clear" w:color="auto" w:fill="auto"/>
            <w:noWrap/>
            <w:vAlign w:val="center"/>
          </w:tcPr>
          <w:p w14:paraId="6566A9A6" w14:textId="2076AB19" w:rsidR="002E37B1" w:rsidRPr="007C1A97" w:rsidRDefault="002E37B1" w:rsidP="00FC489F">
            <w:pPr>
              <w:jc w:val="right"/>
              <w:rPr>
                <w:rFonts w:ascii="Calibri" w:hAnsi="Calibri" w:cs="Calibri"/>
                <w:b/>
                <w:bCs/>
                <w:color w:val="000000"/>
                <w:sz w:val="16"/>
                <w:szCs w:val="16"/>
              </w:rPr>
            </w:pPr>
            <w:r w:rsidRPr="007C1A97">
              <w:rPr>
                <w:rFonts w:ascii="Calibri" w:hAnsi="Calibri" w:cs="Calibri"/>
                <w:b/>
                <w:bCs/>
                <w:color w:val="000000"/>
                <w:sz w:val="16"/>
                <w:szCs w:val="16"/>
              </w:rPr>
              <w:t>57.207.327</w:t>
            </w:r>
          </w:p>
        </w:tc>
        <w:tc>
          <w:tcPr>
            <w:tcW w:w="693" w:type="pct"/>
            <w:tcBorders>
              <w:top w:val="nil"/>
              <w:left w:val="nil"/>
              <w:bottom w:val="single" w:sz="8" w:space="0" w:color="auto"/>
              <w:right w:val="nil"/>
            </w:tcBorders>
            <w:shd w:val="clear" w:color="auto" w:fill="auto"/>
            <w:noWrap/>
            <w:vAlign w:val="center"/>
          </w:tcPr>
          <w:p w14:paraId="2E87389F" w14:textId="67E110B8" w:rsidR="002E37B1" w:rsidRPr="007C1A97" w:rsidRDefault="002E37B1" w:rsidP="00FC489F">
            <w:pPr>
              <w:jc w:val="right"/>
              <w:rPr>
                <w:rFonts w:ascii="Calibri" w:hAnsi="Calibri" w:cs="Calibri"/>
                <w:b/>
                <w:bCs/>
                <w:color w:val="000000"/>
                <w:sz w:val="16"/>
                <w:szCs w:val="16"/>
              </w:rPr>
            </w:pPr>
            <w:r w:rsidRPr="007C1A97">
              <w:rPr>
                <w:rFonts w:ascii="Calibri" w:hAnsi="Calibri" w:cs="Calibri"/>
                <w:b/>
                <w:bCs/>
                <w:color w:val="000000"/>
                <w:sz w:val="16"/>
                <w:szCs w:val="16"/>
              </w:rPr>
              <w:t>2</w:t>
            </w:r>
            <w:r>
              <w:rPr>
                <w:rFonts w:ascii="Calibri" w:hAnsi="Calibri" w:cs="Calibri"/>
                <w:b/>
                <w:bCs/>
                <w:color w:val="000000"/>
                <w:sz w:val="16"/>
                <w:szCs w:val="16"/>
              </w:rPr>
              <w:t>.387.514</w:t>
            </w:r>
          </w:p>
        </w:tc>
        <w:tc>
          <w:tcPr>
            <w:tcW w:w="762" w:type="pct"/>
            <w:tcBorders>
              <w:top w:val="nil"/>
              <w:left w:val="nil"/>
              <w:bottom w:val="single" w:sz="8" w:space="0" w:color="auto"/>
              <w:right w:val="nil"/>
            </w:tcBorders>
          </w:tcPr>
          <w:p w14:paraId="18E86CE8" w14:textId="70C0C27E" w:rsidR="002E37B1"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11.141.936</w:t>
            </w:r>
          </w:p>
        </w:tc>
        <w:tc>
          <w:tcPr>
            <w:tcW w:w="626" w:type="pct"/>
            <w:tcBorders>
              <w:top w:val="nil"/>
              <w:left w:val="nil"/>
              <w:bottom w:val="single" w:sz="8" w:space="0" w:color="auto"/>
              <w:right w:val="nil"/>
            </w:tcBorders>
          </w:tcPr>
          <w:p w14:paraId="53E418E6" w14:textId="4DDCD0D5" w:rsidR="002E37B1" w:rsidRPr="007C1A97"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(4.898.759)</w:t>
            </w:r>
          </w:p>
        </w:tc>
        <w:tc>
          <w:tcPr>
            <w:tcW w:w="626" w:type="pct"/>
            <w:tcBorders>
              <w:top w:val="nil"/>
              <w:left w:val="nil"/>
              <w:bottom w:val="single" w:sz="8" w:space="0" w:color="auto"/>
              <w:right w:val="nil"/>
            </w:tcBorders>
          </w:tcPr>
          <w:p w14:paraId="1493F425" w14:textId="7344253D" w:rsidR="002E37B1" w:rsidRPr="007C1A97"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(41.765.761)</w:t>
            </w:r>
          </w:p>
        </w:tc>
        <w:tc>
          <w:tcPr>
            <w:tcW w:w="626" w:type="pct"/>
            <w:tcBorders>
              <w:top w:val="nil"/>
              <w:left w:val="nil"/>
              <w:bottom w:val="single" w:sz="8" w:space="0" w:color="auto"/>
              <w:right w:val="nil"/>
            </w:tcBorders>
            <w:shd w:val="clear" w:color="auto" w:fill="auto"/>
            <w:vAlign w:val="center"/>
          </w:tcPr>
          <w:p w14:paraId="0B09F4C1" w14:textId="55D734C1" w:rsidR="002E37B1" w:rsidRPr="007C1A97" w:rsidRDefault="00EB25AD" w:rsidP="00FC489F">
            <w:pPr>
              <w:jc w:val="right"/>
              <w:rPr>
                <w:rFonts w:ascii="Calibri" w:hAnsi="Calibri" w:cs="Calibri"/>
                <w:b/>
                <w:bCs/>
                <w:color w:val="000000"/>
                <w:sz w:val="16"/>
                <w:szCs w:val="16"/>
              </w:rPr>
            </w:pPr>
            <w:r>
              <w:rPr>
                <w:rFonts w:ascii="Calibri" w:hAnsi="Calibri" w:cs="Calibri"/>
                <w:b/>
                <w:bCs/>
                <w:color w:val="000000"/>
                <w:sz w:val="16"/>
                <w:szCs w:val="16"/>
              </w:rPr>
              <w:t>24.072.257</w:t>
            </w:r>
          </w:p>
        </w:tc>
      </w:tr>
      <w:tr w:rsidR="002E37B1" w14:paraId="66CC412A" w14:textId="77777777" w:rsidTr="00EB25AD">
        <w:trPr>
          <w:trHeight w:val="227"/>
        </w:trPr>
        <w:tc>
          <w:tcPr>
            <w:tcW w:w="1170" w:type="pct"/>
            <w:tcBorders>
              <w:top w:val="single" w:sz="8" w:space="0" w:color="auto"/>
              <w:left w:val="nil"/>
              <w:right w:val="nil"/>
            </w:tcBorders>
            <w:shd w:val="clear" w:color="auto" w:fill="auto"/>
            <w:noWrap/>
            <w:vAlign w:val="center"/>
          </w:tcPr>
          <w:p w14:paraId="3CC908ED" w14:textId="492C0DBC" w:rsidR="002E37B1" w:rsidRPr="00EC6326" w:rsidRDefault="002E37B1" w:rsidP="00FC489F">
            <w:pPr>
              <w:rPr>
                <w:rFonts w:ascii="Calibri" w:hAnsi="Calibri" w:cs="Calibri"/>
                <w:b/>
                <w:bCs/>
                <w:color w:val="000000"/>
                <w:sz w:val="16"/>
                <w:szCs w:val="16"/>
              </w:rPr>
            </w:pPr>
            <w:r>
              <w:rPr>
                <w:rFonts w:ascii="Calibri" w:hAnsi="Calibri" w:cs="Calibri"/>
                <w:color w:val="000000"/>
                <w:sz w:val="16"/>
                <w:szCs w:val="16"/>
              </w:rPr>
              <w:t xml:space="preserve">Depreciação Direito de Uso de Veículos </w:t>
            </w:r>
          </w:p>
        </w:tc>
        <w:tc>
          <w:tcPr>
            <w:tcW w:w="497" w:type="pct"/>
            <w:tcBorders>
              <w:top w:val="single" w:sz="8" w:space="0" w:color="auto"/>
              <w:left w:val="nil"/>
              <w:right w:val="nil"/>
            </w:tcBorders>
            <w:shd w:val="clear" w:color="auto" w:fill="auto"/>
            <w:noWrap/>
            <w:vAlign w:val="center"/>
          </w:tcPr>
          <w:p w14:paraId="07684D5C" w14:textId="363F75F0"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(979.500)</w:t>
            </w:r>
          </w:p>
        </w:tc>
        <w:tc>
          <w:tcPr>
            <w:tcW w:w="693" w:type="pct"/>
            <w:tcBorders>
              <w:top w:val="single" w:sz="8" w:space="0" w:color="auto"/>
              <w:left w:val="nil"/>
              <w:right w:val="nil"/>
            </w:tcBorders>
            <w:shd w:val="clear" w:color="auto" w:fill="auto"/>
            <w:noWrap/>
            <w:vAlign w:val="center"/>
          </w:tcPr>
          <w:p w14:paraId="476C6D0E" w14:textId="718FDB75"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(74.347)</w:t>
            </w:r>
          </w:p>
        </w:tc>
        <w:tc>
          <w:tcPr>
            <w:tcW w:w="762" w:type="pct"/>
            <w:tcBorders>
              <w:top w:val="single" w:sz="8" w:space="0" w:color="auto"/>
              <w:left w:val="nil"/>
              <w:right w:val="nil"/>
            </w:tcBorders>
            <w:vAlign w:val="center"/>
          </w:tcPr>
          <w:p w14:paraId="41ACA6C0" w14:textId="5A325D3D" w:rsidR="002E37B1" w:rsidRDefault="00EB25AD" w:rsidP="00FC489F">
            <w:pPr>
              <w:jc w:val="right"/>
              <w:rPr>
                <w:rFonts w:ascii="Calibri" w:hAnsi="Calibri" w:cs="Calibri"/>
                <w:color w:val="000000"/>
                <w:sz w:val="16"/>
                <w:szCs w:val="16"/>
              </w:rPr>
            </w:pPr>
            <w:r>
              <w:rPr>
                <w:rFonts w:ascii="Calibri" w:hAnsi="Calibri" w:cs="Calibri"/>
                <w:color w:val="000000"/>
                <w:sz w:val="16"/>
                <w:szCs w:val="16"/>
              </w:rPr>
              <w:t>0</w:t>
            </w:r>
          </w:p>
        </w:tc>
        <w:tc>
          <w:tcPr>
            <w:tcW w:w="626" w:type="pct"/>
            <w:tcBorders>
              <w:top w:val="single" w:sz="8" w:space="0" w:color="auto"/>
              <w:left w:val="nil"/>
              <w:right w:val="nil"/>
            </w:tcBorders>
            <w:vAlign w:val="center"/>
          </w:tcPr>
          <w:p w14:paraId="2BDF47D9" w14:textId="27A6B64E"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0</w:t>
            </w:r>
          </w:p>
        </w:tc>
        <w:tc>
          <w:tcPr>
            <w:tcW w:w="626" w:type="pct"/>
            <w:tcBorders>
              <w:top w:val="single" w:sz="8" w:space="0" w:color="auto"/>
              <w:left w:val="nil"/>
              <w:right w:val="nil"/>
            </w:tcBorders>
            <w:vAlign w:val="center"/>
          </w:tcPr>
          <w:p w14:paraId="25A0997D" w14:textId="6B735049"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1.053.847</w:t>
            </w:r>
          </w:p>
        </w:tc>
        <w:tc>
          <w:tcPr>
            <w:tcW w:w="626" w:type="pct"/>
            <w:tcBorders>
              <w:top w:val="single" w:sz="8" w:space="0" w:color="auto"/>
              <w:left w:val="nil"/>
              <w:right w:val="nil"/>
            </w:tcBorders>
            <w:shd w:val="clear" w:color="auto" w:fill="auto"/>
            <w:vAlign w:val="center"/>
          </w:tcPr>
          <w:p w14:paraId="1D2D1D5D" w14:textId="6BF9DA39"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0</w:t>
            </w:r>
          </w:p>
        </w:tc>
      </w:tr>
      <w:tr w:rsidR="002E37B1" w14:paraId="1F74F32C" w14:textId="77777777" w:rsidTr="00EB25AD">
        <w:trPr>
          <w:trHeight w:val="227"/>
        </w:trPr>
        <w:tc>
          <w:tcPr>
            <w:tcW w:w="1170" w:type="pct"/>
            <w:tcBorders>
              <w:left w:val="nil"/>
              <w:bottom w:val="single" w:sz="8" w:space="0" w:color="auto"/>
              <w:right w:val="nil"/>
            </w:tcBorders>
            <w:shd w:val="clear" w:color="auto" w:fill="auto"/>
            <w:noWrap/>
            <w:vAlign w:val="center"/>
          </w:tcPr>
          <w:p w14:paraId="12C06961" w14:textId="6E0C4FBD" w:rsidR="002E37B1" w:rsidRPr="00EC6326" w:rsidRDefault="002E37B1" w:rsidP="00FC489F">
            <w:pPr>
              <w:rPr>
                <w:rFonts w:ascii="Calibri" w:hAnsi="Calibri" w:cs="Calibri"/>
                <w:b/>
                <w:bCs/>
                <w:color w:val="000000"/>
                <w:sz w:val="16"/>
                <w:szCs w:val="16"/>
              </w:rPr>
            </w:pPr>
            <w:r>
              <w:rPr>
                <w:rFonts w:ascii="Calibri" w:hAnsi="Calibri" w:cs="Calibri"/>
                <w:color w:val="000000"/>
                <w:sz w:val="16"/>
                <w:szCs w:val="16"/>
              </w:rPr>
              <w:t>Depreciação Direito de Uso de Imóveis</w:t>
            </w:r>
          </w:p>
        </w:tc>
        <w:tc>
          <w:tcPr>
            <w:tcW w:w="497" w:type="pct"/>
            <w:tcBorders>
              <w:left w:val="nil"/>
              <w:bottom w:val="single" w:sz="8" w:space="0" w:color="auto"/>
              <w:right w:val="nil"/>
            </w:tcBorders>
            <w:shd w:val="clear" w:color="auto" w:fill="auto"/>
            <w:noWrap/>
            <w:vAlign w:val="center"/>
          </w:tcPr>
          <w:p w14:paraId="7A9763F5" w14:textId="41945EE1"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(34.556.527)</w:t>
            </w:r>
          </w:p>
        </w:tc>
        <w:tc>
          <w:tcPr>
            <w:tcW w:w="693" w:type="pct"/>
            <w:tcBorders>
              <w:left w:val="nil"/>
              <w:bottom w:val="single" w:sz="8" w:space="0" w:color="auto"/>
              <w:right w:val="nil"/>
            </w:tcBorders>
            <w:shd w:val="clear" w:color="auto" w:fill="auto"/>
            <w:noWrap/>
            <w:vAlign w:val="center"/>
          </w:tcPr>
          <w:p w14:paraId="1CE2B746" w14:textId="7EB75485"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w:t>
            </w:r>
            <w:r w:rsidR="00EB25AD">
              <w:rPr>
                <w:rFonts w:ascii="Calibri" w:hAnsi="Calibri" w:cs="Calibri"/>
                <w:color w:val="000000"/>
                <w:sz w:val="16"/>
                <w:szCs w:val="16"/>
              </w:rPr>
              <w:t>1.116.972</w:t>
            </w:r>
            <w:r>
              <w:rPr>
                <w:rFonts w:ascii="Calibri" w:hAnsi="Calibri" w:cs="Calibri"/>
                <w:color w:val="000000"/>
                <w:sz w:val="16"/>
                <w:szCs w:val="16"/>
              </w:rPr>
              <w:t>)</w:t>
            </w:r>
          </w:p>
        </w:tc>
        <w:tc>
          <w:tcPr>
            <w:tcW w:w="762" w:type="pct"/>
            <w:tcBorders>
              <w:left w:val="nil"/>
              <w:bottom w:val="single" w:sz="8" w:space="0" w:color="auto"/>
              <w:right w:val="nil"/>
            </w:tcBorders>
            <w:vAlign w:val="center"/>
          </w:tcPr>
          <w:p w14:paraId="09E6F549" w14:textId="5FFD1279" w:rsidR="002E37B1" w:rsidRDefault="00EB25AD" w:rsidP="00FC489F">
            <w:pPr>
              <w:jc w:val="right"/>
              <w:rPr>
                <w:rFonts w:ascii="Calibri" w:hAnsi="Calibri" w:cs="Calibri"/>
                <w:color w:val="000000"/>
                <w:sz w:val="16"/>
                <w:szCs w:val="16"/>
              </w:rPr>
            </w:pPr>
            <w:r>
              <w:rPr>
                <w:rFonts w:ascii="Calibri" w:hAnsi="Calibri" w:cs="Calibri"/>
                <w:color w:val="000000"/>
                <w:sz w:val="16"/>
                <w:szCs w:val="16"/>
              </w:rPr>
              <w:t>(6.870.861)</w:t>
            </w:r>
          </w:p>
        </w:tc>
        <w:tc>
          <w:tcPr>
            <w:tcW w:w="626" w:type="pct"/>
            <w:tcBorders>
              <w:left w:val="nil"/>
              <w:bottom w:val="single" w:sz="8" w:space="0" w:color="auto"/>
              <w:right w:val="nil"/>
            </w:tcBorders>
            <w:vAlign w:val="center"/>
          </w:tcPr>
          <w:p w14:paraId="7971FB9A" w14:textId="1785FA7B"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0</w:t>
            </w:r>
          </w:p>
        </w:tc>
        <w:tc>
          <w:tcPr>
            <w:tcW w:w="626" w:type="pct"/>
            <w:tcBorders>
              <w:left w:val="nil"/>
              <w:bottom w:val="single" w:sz="8" w:space="0" w:color="auto"/>
              <w:right w:val="nil"/>
            </w:tcBorders>
            <w:vAlign w:val="center"/>
          </w:tcPr>
          <w:p w14:paraId="409DC947" w14:textId="7CB06AA8"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34.106.527</w:t>
            </w:r>
          </w:p>
        </w:tc>
        <w:tc>
          <w:tcPr>
            <w:tcW w:w="626" w:type="pct"/>
            <w:tcBorders>
              <w:left w:val="nil"/>
              <w:bottom w:val="single" w:sz="8" w:space="0" w:color="auto"/>
              <w:right w:val="nil"/>
            </w:tcBorders>
            <w:shd w:val="clear" w:color="auto" w:fill="auto"/>
            <w:vAlign w:val="center"/>
          </w:tcPr>
          <w:p w14:paraId="003F8243" w14:textId="1709F3E1" w:rsidR="002E37B1" w:rsidRDefault="002E37B1" w:rsidP="00FC489F">
            <w:pPr>
              <w:jc w:val="right"/>
              <w:rPr>
                <w:rFonts w:ascii="Calibri" w:hAnsi="Calibri" w:cs="Calibri"/>
                <w:color w:val="000000"/>
                <w:sz w:val="16"/>
                <w:szCs w:val="16"/>
              </w:rPr>
            </w:pPr>
            <w:r>
              <w:rPr>
                <w:rFonts w:ascii="Calibri" w:hAnsi="Calibri" w:cs="Calibri"/>
                <w:color w:val="000000"/>
                <w:sz w:val="16"/>
                <w:szCs w:val="16"/>
              </w:rPr>
              <w:t>(</w:t>
            </w:r>
            <w:r w:rsidR="00EB25AD">
              <w:rPr>
                <w:rFonts w:ascii="Calibri" w:hAnsi="Calibri" w:cs="Calibri"/>
                <w:color w:val="000000"/>
                <w:sz w:val="16"/>
                <w:szCs w:val="16"/>
              </w:rPr>
              <w:t>8.437.833</w:t>
            </w:r>
            <w:r>
              <w:rPr>
                <w:rFonts w:ascii="Calibri" w:hAnsi="Calibri" w:cs="Calibri"/>
                <w:color w:val="000000"/>
                <w:sz w:val="16"/>
                <w:szCs w:val="16"/>
              </w:rPr>
              <w:t>)</w:t>
            </w:r>
          </w:p>
        </w:tc>
      </w:tr>
      <w:tr w:rsidR="002E37B1" w14:paraId="140F153F" w14:textId="77777777" w:rsidTr="00EB25AD">
        <w:trPr>
          <w:trHeight w:val="227"/>
        </w:trPr>
        <w:tc>
          <w:tcPr>
            <w:tcW w:w="1170" w:type="pct"/>
            <w:tcBorders>
              <w:left w:val="nil"/>
              <w:bottom w:val="single" w:sz="8" w:space="0" w:color="auto"/>
              <w:right w:val="nil"/>
            </w:tcBorders>
            <w:shd w:val="clear" w:color="auto" w:fill="auto"/>
            <w:noWrap/>
            <w:vAlign w:val="center"/>
          </w:tcPr>
          <w:p w14:paraId="206C2AF8" w14:textId="312543DE" w:rsidR="002E37B1" w:rsidRPr="007C1A97" w:rsidRDefault="002E37B1" w:rsidP="00FC489F">
            <w:pPr>
              <w:rPr>
                <w:rFonts w:ascii="Calibri" w:hAnsi="Calibri" w:cs="Calibri"/>
                <w:b/>
                <w:bCs/>
                <w:color w:val="000000"/>
                <w:sz w:val="16"/>
                <w:szCs w:val="16"/>
              </w:rPr>
            </w:pPr>
            <w:r>
              <w:rPr>
                <w:rFonts w:ascii="Calibri" w:hAnsi="Calibri" w:cs="Calibri"/>
                <w:b/>
                <w:bCs/>
                <w:color w:val="000000"/>
                <w:sz w:val="16"/>
                <w:szCs w:val="16"/>
              </w:rPr>
              <w:t xml:space="preserve">Total </w:t>
            </w:r>
            <w:r w:rsidRPr="007C1A97">
              <w:rPr>
                <w:rFonts w:ascii="Calibri" w:hAnsi="Calibri" w:cs="Calibri"/>
                <w:b/>
                <w:bCs/>
                <w:color w:val="000000"/>
                <w:sz w:val="16"/>
                <w:szCs w:val="16"/>
              </w:rPr>
              <w:t>Depreciação Direito de Uso</w:t>
            </w:r>
          </w:p>
        </w:tc>
        <w:tc>
          <w:tcPr>
            <w:tcW w:w="497" w:type="pct"/>
            <w:tcBorders>
              <w:left w:val="nil"/>
              <w:bottom w:val="single" w:sz="8" w:space="0" w:color="auto"/>
              <w:right w:val="nil"/>
            </w:tcBorders>
            <w:shd w:val="clear" w:color="auto" w:fill="auto"/>
            <w:noWrap/>
            <w:vAlign w:val="center"/>
          </w:tcPr>
          <w:p w14:paraId="70B92D0E" w14:textId="09011CCD" w:rsidR="002E37B1" w:rsidRPr="007C1A97" w:rsidRDefault="002E37B1" w:rsidP="00FC489F">
            <w:pPr>
              <w:jc w:val="right"/>
              <w:rPr>
                <w:rFonts w:ascii="Calibri" w:hAnsi="Calibri" w:cs="Calibri"/>
                <w:b/>
                <w:bCs/>
                <w:color w:val="000000"/>
                <w:sz w:val="16"/>
                <w:szCs w:val="16"/>
              </w:rPr>
            </w:pPr>
            <w:r w:rsidRPr="007C1A97">
              <w:rPr>
                <w:rFonts w:ascii="Calibri" w:hAnsi="Calibri" w:cs="Calibri"/>
                <w:b/>
                <w:bCs/>
                <w:color w:val="000000"/>
                <w:sz w:val="16"/>
                <w:szCs w:val="16"/>
              </w:rPr>
              <w:t>(35.536.027)</w:t>
            </w:r>
          </w:p>
        </w:tc>
        <w:tc>
          <w:tcPr>
            <w:tcW w:w="693" w:type="pct"/>
            <w:tcBorders>
              <w:left w:val="nil"/>
              <w:bottom w:val="single" w:sz="8" w:space="0" w:color="auto"/>
              <w:right w:val="nil"/>
            </w:tcBorders>
            <w:shd w:val="clear" w:color="auto" w:fill="auto"/>
            <w:noWrap/>
            <w:vAlign w:val="center"/>
          </w:tcPr>
          <w:p w14:paraId="0B025E70" w14:textId="0E034780" w:rsidR="002E37B1" w:rsidRPr="007C1A97" w:rsidRDefault="002E37B1" w:rsidP="00FC489F">
            <w:pPr>
              <w:jc w:val="right"/>
              <w:rPr>
                <w:rFonts w:ascii="Calibri" w:hAnsi="Calibri" w:cs="Calibri"/>
                <w:b/>
                <w:bCs/>
                <w:color w:val="000000"/>
                <w:sz w:val="16"/>
                <w:szCs w:val="16"/>
              </w:rPr>
            </w:pPr>
            <w:r w:rsidRPr="007C1A97">
              <w:rPr>
                <w:rFonts w:ascii="Calibri" w:hAnsi="Calibri" w:cs="Calibri"/>
                <w:b/>
                <w:bCs/>
                <w:color w:val="000000"/>
                <w:sz w:val="16"/>
                <w:szCs w:val="16"/>
              </w:rPr>
              <w:t>(</w:t>
            </w:r>
            <w:r w:rsidR="00EB25AD">
              <w:rPr>
                <w:rFonts w:ascii="Calibri" w:hAnsi="Calibri" w:cs="Calibri"/>
                <w:b/>
                <w:bCs/>
                <w:color w:val="000000"/>
                <w:sz w:val="16"/>
                <w:szCs w:val="16"/>
              </w:rPr>
              <w:t>1.191.319</w:t>
            </w:r>
            <w:r w:rsidRPr="007C1A97">
              <w:rPr>
                <w:rFonts w:ascii="Calibri" w:hAnsi="Calibri" w:cs="Calibri"/>
                <w:b/>
                <w:bCs/>
                <w:color w:val="000000"/>
                <w:sz w:val="16"/>
                <w:szCs w:val="16"/>
              </w:rPr>
              <w:t>)</w:t>
            </w:r>
          </w:p>
        </w:tc>
        <w:tc>
          <w:tcPr>
            <w:tcW w:w="762" w:type="pct"/>
            <w:tcBorders>
              <w:left w:val="nil"/>
              <w:bottom w:val="single" w:sz="8" w:space="0" w:color="auto"/>
              <w:right w:val="nil"/>
            </w:tcBorders>
            <w:vAlign w:val="center"/>
          </w:tcPr>
          <w:p w14:paraId="0C23BA6E" w14:textId="4B1FC557" w:rsidR="002E37B1" w:rsidRDefault="00EB25AD" w:rsidP="00FC489F">
            <w:pPr>
              <w:jc w:val="right"/>
              <w:rPr>
                <w:rFonts w:ascii="Calibri" w:hAnsi="Calibri" w:cs="Calibri"/>
                <w:b/>
                <w:bCs/>
                <w:color w:val="000000"/>
                <w:sz w:val="16"/>
                <w:szCs w:val="16"/>
              </w:rPr>
            </w:pPr>
            <w:r>
              <w:rPr>
                <w:rFonts w:ascii="Calibri" w:hAnsi="Calibri" w:cs="Calibri"/>
                <w:b/>
                <w:bCs/>
                <w:color w:val="000000"/>
                <w:sz w:val="16"/>
                <w:szCs w:val="16"/>
              </w:rPr>
              <w:t>(6.870.861)</w:t>
            </w:r>
          </w:p>
        </w:tc>
        <w:tc>
          <w:tcPr>
            <w:tcW w:w="626" w:type="pct"/>
            <w:tcBorders>
              <w:left w:val="nil"/>
              <w:bottom w:val="single" w:sz="8" w:space="0" w:color="auto"/>
              <w:right w:val="nil"/>
            </w:tcBorders>
            <w:vAlign w:val="center"/>
          </w:tcPr>
          <w:p w14:paraId="16382E78" w14:textId="7C5CB8A0" w:rsidR="002E37B1" w:rsidRPr="007C1A97"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0</w:t>
            </w:r>
          </w:p>
        </w:tc>
        <w:tc>
          <w:tcPr>
            <w:tcW w:w="626" w:type="pct"/>
            <w:tcBorders>
              <w:left w:val="nil"/>
              <w:bottom w:val="single" w:sz="8" w:space="0" w:color="auto"/>
              <w:right w:val="nil"/>
            </w:tcBorders>
            <w:vAlign w:val="center"/>
          </w:tcPr>
          <w:p w14:paraId="74ED94F9" w14:textId="07D37C38" w:rsidR="002E37B1" w:rsidRPr="007C1A97"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35.160.374</w:t>
            </w:r>
          </w:p>
        </w:tc>
        <w:tc>
          <w:tcPr>
            <w:tcW w:w="626" w:type="pct"/>
            <w:tcBorders>
              <w:left w:val="nil"/>
              <w:bottom w:val="single" w:sz="8" w:space="0" w:color="auto"/>
              <w:right w:val="nil"/>
            </w:tcBorders>
            <w:shd w:val="clear" w:color="auto" w:fill="auto"/>
            <w:vAlign w:val="center"/>
          </w:tcPr>
          <w:p w14:paraId="59790DB1" w14:textId="6C9ED1DE" w:rsidR="002E37B1" w:rsidRPr="007C1A97"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w:t>
            </w:r>
            <w:r w:rsidR="00EB25AD">
              <w:rPr>
                <w:rFonts w:ascii="Calibri" w:hAnsi="Calibri" w:cs="Calibri"/>
                <w:b/>
                <w:bCs/>
                <w:color w:val="000000"/>
                <w:sz w:val="16"/>
                <w:szCs w:val="16"/>
              </w:rPr>
              <w:t>8.437.833</w:t>
            </w:r>
            <w:r>
              <w:rPr>
                <w:rFonts w:ascii="Calibri" w:hAnsi="Calibri" w:cs="Calibri"/>
                <w:b/>
                <w:bCs/>
                <w:color w:val="000000"/>
                <w:sz w:val="16"/>
                <w:szCs w:val="16"/>
              </w:rPr>
              <w:t>)</w:t>
            </w:r>
          </w:p>
        </w:tc>
      </w:tr>
      <w:tr w:rsidR="002E37B1" w14:paraId="26C8E4F6" w14:textId="77777777" w:rsidTr="00EB25AD">
        <w:trPr>
          <w:trHeight w:val="227"/>
        </w:trPr>
        <w:tc>
          <w:tcPr>
            <w:tcW w:w="1170" w:type="pct"/>
            <w:tcBorders>
              <w:top w:val="nil"/>
              <w:left w:val="nil"/>
              <w:bottom w:val="single" w:sz="8" w:space="0" w:color="auto"/>
              <w:right w:val="nil"/>
            </w:tcBorders>
            <w:shd w:val="clear" w:color="auto" w:fill="auto"/>
            <w:noWrap/>
            <w:vAlign w:val="center"/>
            <w:hideMark/>
          </w:tcPr>
          <w:p w14:paraId="14DF929A" w14:textId="67B1544F" w:rsidR="002E37B1" w:rsidRDefault="002E37B1" w:rsidP="00FC489F">
            <w:pPr>
              <w:rPr>
                <w:rFonts w:ascii="Calibri" w:hAnsi="Calibri" w:cs="Calibri"/>
                <w:b/>
                <w:bCs/>
                <w:color w:val="000000"/>
                <w:sz w:val="16"/>
                <w:szCs w:val="16"/>
              </w:rPr>
            </w:pPr>
            <w:r>
              <w:rPr>
                <w:rFonts w:ascii="Calibri" w:hAnsi="Calibri" w:cs="Calibri"/>
                <w:b/>
                <w:bCs/>
                <w:color w:val="000000"/>
                <w:sz w:val="16"/>
                <w:szCs w:val="16"/>
              </w:rPr>
              <w:t>TOTAL LÍQUIDO DIREITO DE USO</w:t>
            </w:r>
          </w:p>
        </w:tc>
        <w:tc>
          <w:tcPr>
            <w:tcW w:w="497" w:type="pct"/>
            <w:tcBorders>
              <w:top w:val="nil"/>
              <w:left w:val="nil"/>
              <w:bottom w:val="single" w:sz="8" w:space="0" w:color="auto"/>
              <w:right w:val="nil"/>
            </w:tcBorders>
            <w:shd w:val="clear" w:color="auto" w:fill="auto"/>
            <w:noWrap/>
            <w:vAlign w:val="center"/>
            <w:hideMark/>
          </w:tcPr>
          <w:p w14:paraId="6007D82A" w14:textId="7B870EFE" w:rsidR="002E37B1"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21.671.300</w:t>
            </w:r>
          </w:p>
        </w:tc>
        <w:tc>
          <w:tcPr>
            <w:tcW w:w="693" w:type="pct"/>
            <w:tcBorders>
              <w:top w:val="nil"/>
              <w:left w:val="nil"/>
              <w:bottom w:val="single" w:sz="8" w:space="0" w:color="auto"/>
              <w:right w:val="nil"/>
            </w:tcBorders>
            <w:shd w:val="clear" w:color="auto" w:fill="auto"/>
            <w:noWrap/>
            <w:vAlign w:val="center"/>
            <w:hideMark/>
          </w:tcPr>
          <w:p w14:paraId="27FCA245" w14:textId="5CD8DDD5" w:rsidR="002E37B1" w:rsidRDefault="00EB25AD" w:rsidP="00FC489F">
            <w:pPr>
              <w:jc w:val="right"/>
              <w:rPr>
                <w:rFonts w:ascii="Calibri" w:hAnsi="Calibri" w:cs="Calibri"/>
                <w:b/>
                <w:bCs/>
                <w:color w:val="000000"/>
                <w:sz w:val="16"/>
                <w:szCs w:val="16"/>
              </w:rPr>
            </w:pPr>
            <w:r>
              <w:rPr>
                <w:rFonts w:ascii="Calibri" w:hAnsi="Calibri" w:cs="Calibri"/>
                <w:b/>
                <w:bCs/>
                <w:color w:val="000000"/>
                <w:sz w:val="16"/>
                <w:szCs w:val="16"/>
              </w:rPr>
              <w:t>1.196.195</w:t>
            </w:r>
          </w:p>
        </w:tc>
        <w:tc>
          <w:tcPr>
            <w:tcW w:w="762" w:type="pct"/>
            <w:tcBorders>
              <w:top w:val="nil"/>
              <w:left w:val="nil"/>
              <w:bottom w:val="single" w:sz="8" w:space="0" w:color="auto"/>
              <w:right w:val="nil"/>
            </w:tcBorders>
            <w:vAlign w:val="center"/>
          </w:tcPr>
          <w:p w14:paraId="772AC1B4" w14:textId="6674911D" w:rsidR="002E37B1" w:rsidRDefault="00EB25AD" w:rsidP="00FC489F">
            <w:pPr>
              <w:jc w:val="right"/>
              <w:rPr>
                <w:rFonts w:ascii="Calibri" w:hAnsi="Calibri" w:cs="Calibri"/>
                <w:b/>
                <w:bCs/>
                <w:color w:val="000000"/>
                <w:sz w:val="16"/>
                <w:szCs w:val="16"/>
              </w:rPr>
            </w:pPr>
            <w:r>
              <w:rPr>
                <w:rFonts w:ascii="Calibri" w:hAnsi="Calibri" w:cs="Calibri"/>
                <w:b/>
                <w:bCs/>
                <w:color w:val="000000"/>
                <w:sz w:val="16"/>
                <w:szCs w:val="16"/>
              </w:rPr>
              <w:t>4.271.076</w:t>
            </w:r>
          </w:p>
        </w:tc>
        <w:tc>
          <w:tcPr>
            <w:tcW w:w="626" w:type="pct"/>
            <w:tcBorders>
              <w:top w:val="nil"/>
              <w:left w:val="nil"/>
              <w:bottom w:val="single" w:sz="8" w:space="0" w:color="auto"/>
              <w:right w:val="nil"/>
            </w:tcBorders>
            <w:vAlign w:val="center"/>
          </w:tcPr>
          <w:p w14:paraId="455A6602" w14:textId="52A46B1D" w:rsidR="002E37B1"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(4</w:t>
            </w:r>
            <w:r w:rsidR="00EB25AD">
              <w:rPr>
                <w:rFonts w:ascii="Calibri" w:hAnsi="Calibri" w:cs="Calibri"/>
                <w:b/>
                <w:bCs/>
                <w:color w:val="000000"/>
                <w:sz w:val="16"/>
                <w:szCs w:val="16"/>
              </w:rPr>
              <w:t>.898.759</w:t>
            </w:r>
            <w:r>
              <w:rPr>
                <w:rFonts w:ascii="Calibri" w:hAnsi="Calibri" w:cs="Calibri"/>
                <w:b/>
                <w:bCs/>
                <w:color w:val="000000"/>
                <w:sz w:val="16"/>
                <w:szCs w:val="16"/>
              </w:rPr>
              <w:t>)</w:t>
            </w:r>
          </w:p>
        </w:tc>
        <w:tc>
          <w:tcPr>
            <w:tcW w:w="626" w:type="pct"/>
            <w:tcBorders>
              <w:top w:val="nil"/>
              <w:left w:val="nil"/>
              <w:bottom w:val="single" w:sz="8" w:space="0" w:color="auto"/>
              <w:right w:val="nil"/>
            </w:tcBorders>
            <w:vAlign w:val="center"/>
          </w:tcPr>
          <w:p w14:paraId="3388182B" w14:textId="643B5DF8" w:rsidR="002E37B1"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(6.</w:t>
            </w:r>
            <w:r w:rsidR="00EB25AD">
              <w:rPr>
                <w:rFonts w:ascii="Calibri" w:hAnsi="Calibri" w:cs="Calibri"/>
                <w:b/>
                <w:bCs/>
                <w:color w:val="000000"/>
                <w:sz w:val="16"/>
                <w:szCs w:val="16"/>
              </w:rPr>
              <w:t>605.387</w:t>
            </w:r>
            <w:r>
              <w:rPr>
                <w:rFonts w:ascii="Calibri" w:hAnsi="Calibri" w:cs="Calibri"/>
                <w:b/>
                <w:bCs/>
                <w:color w:val="000000"/>
                <w:sz w:val="16"/>
                <w:szCs w:val="16"/>
              </w:rPr>
              <w:t>)</w:t>
            </w:r>
          </w:p>
        </w:tc>
        <w:tc>
          <w:tcPr>
            <w:tcW w:w="626" w:type="pct"/>
            <w:tcBorders>
              <w:top w:val="nil"/>
              <w:left w:val="nil"/>
              <w:bottom w:val="single" w:sz="8" w:space="0" w:color="auto"/>
              <w:right w:val="nil"/>
            </w:tcBorders>
            <w:shd w:val="clear" w:color="auto" w:fill="auto"/>
            <w:vAlign w:val="center"/>
            <w:hideMark/>
          </w:tcPr>
          <w:p w14:paraId="21E9F0D5" w14:textId="560F67BE" w:rsidR="002E37B1" w:rsidRDefault="002E37B1" w:rsidP="00FC489F">
            <w:pPr>
              <w:jc w:val="right"/>
              <w:rPr>
                <w:rFonts w:ascii="Calibri" w:hAnsi="Calibri" w:cs="Calibri"/>
                <w:b/>
                <w:bCs/>
                <w:color w:val="000000"/>
                <w:sz w:val="16"/>
                <w:szCs w:val="16"/>
              </w:rPr>
            </w:pPr>
            <w:r>
              <w:rPr>
                <w:rFonts w:ascii="Calibri" w:hAnsi="Calibri" w:cs="Calibri"/>
                <w:b/>
                <w:bCs/>
                <w:color w:val="000000"/>
                <w:sz w:val="16"/>
                <w:szCs w:val="16"/>
              </w:rPr>
              <w:t>1</w:t>
            </w:r>
            <w:r w:rsidR="00EB25AD">
              <w:rPr>
                <w:rFonts w:ascii="Calibri" w:hAnsi="Calibri" w:cs="Calibri"/>
                <w:b/>
                <w:bCs/>
                <w:color w:val="000000"/>
                <w:sz w:val="16"/>
                <w:szCs w:val="16"/>
              </w:rPr>
              <w:t>5</w:t>
            </w:r>
            <w:r>
              <w:rPr>
                <w:rFonts w:ascii="Calibri" w:hAnsi="Calibri" w:cs="Calibri"/>
                <w:b/>
                <w:bCs/>
                <w:color w:val="000000"/>
                <w:sz w:val="16"/>
                <w:szCs w:val="16"/>
              </w:rPr>
              <w:t>.</w:t>
            </w:r>
            <w:r w:rsidR="00EB25AD">
              <w:rPr>
                <w:rFonts w:ascii="Calibri" w:hAnsi="Calibri" w:cs="Calibri"/>
                <w:b/>
                <w:bCs/>
                <w:color w:val="000000"/>
                <w:sz w:val="16"/>
                <w:szCs w:val="16"/>
              </w:rPr>
              <w:t>6</w:t>
            </w:r>
            <w:r>
              <w:rPr>
                <w:rFonts w:ascii="Calibri" w:hAnsi="Calibri" w:cs="Calibri"/>
                <w:b/>
                <w:bCs/>
                <w:color w:val="000000"/>
                <w:sz w:val="16"/>
                <w:szCs w:val="16"/>
              </w:rPr>
              <w:t>3</w:t>
            </w:r>
            <w:r w:rsidR="00EB25AD">
              <w:rPr>
                <w:rFonts w:ascii="Calibri" w:hAnsi="Calibri" w:cs="Calibri"/>
                <w:b/>
                <w:bCs/>
                <w:color w:val="000000"/>
                <w:sz w:val="16"/>
                <w:szCs w:val="16"/>
              </w:rPr>
              <w:t>4</w:t>
            </w:r>
            <w:r>
              <w:rPr>
                <w:rFonts w:ascii="Calibri" w:hAnsi="Calibri" w:cs="Calibri"/>
                <w:b/>
                <w:bCs/>
                <w:color w:val="000000"/>
                <w:sz w:val="16"/>
                <w:szCs w:val="16"/>
              </w:rPr>
              <w:t>.</w:t>
            </w:r>
            <w:r w:rsidR="00EB25AD">
              <w:rPr>
                <w:rFonts w:ascii="Calibri" w:hAnsi="Calibri" w:cs="Calibri"/>
                <w:b/>
                <w:bCs/>
                <w:color w:val="000000"/>
                <w:sz w:val="16"/>
                <w:szCs w:val="16"/>
              </w:rPr>
              <w:t>425</w:t>
            </w:r>
          </w:p>
        </w:tc>
      </w:tr>
    </w:tbl>
    <w:p w14:paraId="73986DD8" w14:textId="70F22838" w:rsidR="00554B7B" w:rsidRPr="00554B7B" w:rsidRDefault="00F77F85" w:rsidP="00937ED9">
      <w:pPr>
        <w:spacing w:before="240" w:after="120"/>
        <w:ind w:right="57"/>
        <w:jc w:val="both"/>
        <w:rPr>
          <w:rFonts w:ascii="Calibri" w:hAnsi="Calibri" w:cs="Calibri"/>
          <w:sz w:val="22"/>
          <w:szCs w:val="22"/>
        </w:rPr>
      </w:pPr>
      <w:r w:rsidRPr="00FC489F">
        <w:rPr>
          <w:rFonts w:ascii="Calibri" w:hAnsi="Calibri" w:cs="Calibri"/>
          <w:sz w:val="22"/>
          <w:szCs w:val="22"/>
        </w:rPr>
        <w:t>As o</w:t>
      </w:r>
      <w:r w:rsidR="009A20A2" w:rsidRPr="00FC489F">
        <w:rPr>
          <w:rFonts w:ascii="Calibri" w:hAnsi="Calibri" w:cs="Calibri"/>
          <w:sz w:val="22"/>
          <w:szCs w:val="22"/>
        </w:rPr>
        <w:t>brigações contratuais a pagar referente</w:t>
      </w:r>
      <w:r w:rsidR="00E70981">
        <w:rPr>
          <w:rFonts w:ascii="Calibri" w:hAnsi="Calibri" w:cs="Calibri"/>
          <w:sz w:val="22"/>
          <w:szCs w:val="22"/>
        </w:rPr>
        <w:t>s</w:t>
      </w:r>
      <w:r w:rsidR="009A20A2" w:rsidRPr="00FC489F">
        <w:rPr>
          <w:rFonts w:ascii="Calibri" w:hAnsi="Calibri" w:cs="Calibri"/>
          <w:sz w:val="22"/>
          <w:szCs w:val="22"/>
        </w:rPr>
        <w:t xml:space="preserve"> a contratos de locação de veículos e imóveis classificados como contratos de arrendamentos como base na vigência do contrato, </w:t>
      </w:r>
      <w:r w:rsidR="001D1EA1">
        <w:rPr>
          <w:rFonts w:ascii="Calibri" w:hAnsi="Calibri" w:cs="Calibri"/>
          <w:sz w:val="22"/>
          <w:szCs w:val="22"/>
        </w:rPr>
        <w:t xml:space="preserve">bem como os juros a transcorrer decorrentes da operação, </w:t>
      </w:r>
      <w:r w:rsidR="009A20A2" w:rsidRPr="00FC489F">
        <w:rPr>
          <w:rFonts w:ascii="Calibri" w:hAnsi="Calibri" w:cs="Calibri"/>
          <w:sz w:val="22"/>
          <w:szCs w:val="22"/>
        </w:rPr>
        <w:t xml:space="preserve">em conformidade com o </w:t>
      </w:r>
      <w:r w:rsidR="00633924" w:rsidRPr="00FC489F">
        <w:rPr>
          <w:rFonts w:ascii="Calibri" w:hAnsi="Calibri" w:cs="Calibri"/>
          <w:sz w:val="22"/>
          <w:szCs w:val="22"/>
        </w:rPr>
        <w:t>C</w:t>
      </w:r>
      <w:r w:rsidR="009A20A2" w:rsidRPr="00FC489F">
        <w:rPr>
          <w:rFonts w:ascii="Calibri" w:hAnsi="Calibri" w:cs="Calibri"/>
          <w:sz w:val="22"/>
          <w:szCs w:val="22"/>
        </w:rPr>
        <w:t>PC 06 (R2)</w:t>
      </w:r>
      <w:r w:rsidR="001D1EA1">
        <w:rPr>
          <w:rFonts w:ascii="Calibri" w:hAnsi="Calibri" w:cs="Calibri"/>
          <w:sz w:val="22"/>
          <w:szCs w:val="22"/>
        </w:rPr>
        <w:t>,</w:t>
      </w:r>
      <w:r w:rsidR="00633924" w:rsidRPr="00FC489F">
        <w:rPr>
          <w:rFonts w:ascii="Calibri" w:hAnsi="Calibri" w:cs="Calibri"/>
          <w:sz w:val="22"/>
          <w:szCs w:val="22"/>
        </w:rPr>
        <w:t xml:space="preserve"> apresenta</w:t>
      </w:r>
      <w:r w:rsidR="00FC489F" w:rsidRPr="00FC489F">
        <w:rPr>
          <w:rFonts w:ascii="Calibri" w:hAnsi="Calibri" w:cs="Calibri"/>
          <w:sz w:val="22"/>
          <w:szCs w:val="22"/>
        </w:rPr>
        <w:t>ra</w:t>
      </w:r>
      <w:r w:rsidR="00633924" w:rsidRPr="00FC489F">
        <w:rPr>
          <w:rFonts w:ascii="Calibri" w:hAnsi="Calibri" w:cs="Calibri"/>
          <w:sz w:val="22"/>
          <w:szCs w:val="22"/>
        </w:rPr>
        <w:t xml:space="preserve">m a seguinte movimentação </w:t>
      </w:r>
      <w:r w:rsidR="00FC489F" w:rsidRPr="00FC489F">
        <w:rPr>
          <w:rFonts w:ascii="Calibri" w:hAnsi="Calibri" w:cs="Calibri"/>
          <w:sz w:val="22"/>
          <w:szCs w:val="22"/>
        </w:rPr>
        <w:t xml:space="preserve">até </w:t>
      </w:r>
      <w:r w:rsidR="00761A71" w:rsidRPr="00FC489F">
        <w:rPr>
          <w:rFonts w:ascii="Calibri" w:hAnsi="Calibri" w:cs="Calibri"/>
          <w:sz w:val="22"/>
          <w:szCs w:val="22"/>
        </w:rPr>
        <w:t xml:space="preserve">o </w:t>
      </w:r>
      <w:r w:rsidR="00512A77">
        <w:rPr>
          <w:rFonts w:ascii="Calibri" w:hAnsi="Calibri" w:cs="Calibri"/>
          <w:sz w:val="22"/>
          <w:szCs w:val="22"/>
        </w:rPr>
        <w:t>3</w:t>
      </w:r>
      <w:r w:rsidR="00FE4D59" w:rsidRPr="00FC489F">
        <w:rPr>
          <w:rFonts w:ascii="Calibri" w:hAnsi="Calibri" w:cs="Calibri"/>
          <w:sz w:val="22"/>
          <w:szCs w:val="22"/>
        </w:rPr>
        <w:t>º trimestre de 2022</w:t>
      </w:r>
      <w:r w:rsidR="00633924" w:rsidRPr="00FC489F">
        <w:rPr>
          <w:rFonts w:ascii="Calibri" w:hAnsi="Calibri" w:cs="Calibri"/>
          <w:sz w:val="22"/>
          <w:szCs w:val="22"/>
        </w:rPr>
        <w:t>:</w:t>
      </w:r>
    </w:p>
    <w:tbl>
      <w:tblPr>
        <w:tblW w:w="4873" w:type="pct"/>
        <w:tblCellMar>
          <w:left w:w="70" w:type="dxa"/>
          <w:right w:w="70" w:type="dxa"/>
        </w:tblCellMar>
        <w:tblLook w:val="04A0" w:firstRow="1" w:lastRow="0" w:firstColumn="1" w:lastColumn="0" w:noHBand="0" w:noVBand="1"/>
      </w:tblPr>
      <w:tblGrid>
        <w:gridCol w:w="3395"/>
        <w:gridCol w:w="927"/>
        <w:gridCol w:w="921"/>
        <w:gridCol w:w="1561"/>
        <w:gridCol w:w="1314"/>
        <w:gridCol w:w="1110"/>
        <w:gridCol w:w="973"/>
      </w:tblGrid>
      <w:tr w:rsidR="00BD19D2" w14:paraId="3218C907" w14:textId="77777777" w:rsidTr="00512A77">
        <w:trPr>
          <w:trHeight w:hRule="exact" w:val="729"/>
        </w:trPr>
        <w:tc>
          <w:tcPr>
            <w:tcW w:w="1664" w:type="pct"/>
            <w:tcBorders>
              <w:top w:val="nil"/>
              <w:left w:val="nil"/>
              <w:bottom w:val="single" w:sz="8" w:space="0" w:color="auto"/>
              <w:right w:val="nil"/>
            </w:tcBorders>
            <w:shd w:val="clear" w:color="auto" w:fill="auto"/>
            <w:noWrap/>
            <w:vAlign w:val="center"/>
            <w:hideMark/>
          </w:tcPr>
          <w:p w14:paraId="17F6D7BB" w14:textId="77777777" w:rsidR="00512A77" w:rsidRDefault="00512A77" w:rsidP="00937ED9">
            <w:pPr>
              <w:spacing w:after="120"/>
              <w:rPr>
                <w:rFonts w:ascii="Calibri" w:hAnsi="Calibri" w:cs="Calibri"/>
                <w:b/>
                <w:bCs/>
                <w:color w:val="000000"/>
                <w:sz w:val="16"/>
                <w:szCs w:val="16"/>
              </w:rPr>
            </w:pPr>
            <w:r>
              <w:rPr>
                <w:rFonts w:ascii="Calibri" w:hAnsi="Calibri" w:cs="Calibri"/>
                <w:b/>
                <w:bCs/>
                <w:color w:val="000000"/>
                <w:sz w:val="16"/>
                <w:szCs w:val="16"/>
              </w:rPr>
              <w:t>PASSIVO DE ARRENDAMENTO</w:t>
            </w:r>
          </w:p>
        </w:tc>
        <w:tc>
          <w:tcPr>
            <w:tcW w:w="454" w:type="pct"/>
            <w:tcBorders>
              <w:top w:val="nil"/>
              <w:left w:val="nil"/>
              <w:bottom w:val="single" w:sz="8" w:space="0" w:color="auto"/>
              <w:right w:val="nil"/>
            </w:tcBorders>
            <w:shd w:val="clear" w:color="auto" w:fill="auto"/>
            <w:vAlign w:val="center"/>
            <w:hideMark/>
          </w:tcPr>
          <w:p w14:paraId="73BECEDD" w14:textId="2212E3C2" w:rsidR="00512A77" w:rsidRDefault="00512A77" w:rsidP="00FE4D59">
            <w:pPr>
              <w:spacing w:after="120"/>
              <w:jc w:val="right"/>
              <w:rPr>
                <w:rFonts w:ascii="Calibri" w:hAnsi="Calibri" w:cs="Calibri"/>
                <w:b/>
                <w:bCs/>
                <w:color w:val="000000"/>
                <w:sz w:val="16"/>
                <w:szCs w:val="16"/>
              </w:rPr>
            </w:pPr>
            <w:r>
              <w:rPr>
                <w:rFonts w:ascii="Calibri" w:hAnsi="Calibri" w:cs="Calibri"/>
                <w:b/>
                <w:bCs/>
                <w:color w:val="000000"/>
                <w:sz w:val="16"/>
                <w:szCs w:val="16"/>
              </w:rPr>
              <w:t>SALDO EM 31/12/2021</w:t>
            </w:r>
          </w:p>
        </w:tc>
        <w:tc>
          <w:tcPr>
            <w:tcW w:w="452" w:type="pct"/>
            <w:tcBorders>
              <w:top w:val="nil"/>
              <w:left w:val="nil"/>
              <w:bottom w:val="single" w:sz="8" w:space="0" w:color="auto"/>
              <w:right w:val="nil"/>
            </w:tcBorders>
            <w:shd w:val="clear" w:color="auto" w:fill="auto"/>
            <w:vAlign w:val="center"/>
            <w:hideMark/>
          </w:tcPr>
          <w:p w14:paraId="7A12DB62" w14:textId="2848D608" w:rsidR="00512A77" w:rsidRDefault="00512A77" w:rsidP="00FE4D59">
            <w:pPr>
              <w:spacing w:after="120"/>
              <w:jc w:val="right"/>
              <w:rPr>
                <w:rFonts w:ascii="Calibri" w:hAnsi="Calibri" w:cs="Calibri"/>
                <w:b/>
                <w:bCs/>
                <w:color w:val="000000"/>
                <w:sz w:val="16"/>
                <w:szCs w:val="16"/>
              </w:rPr>
            </w:pPr>
            <w:r>
              <w:rPr>
                <w:rFonts w:ascii="Calibri" w:hAnsi="Calibri" w:cs="Calibri"/>
                <w:b/>
                <w:bCs/>
                <w:color w:val="000000"/>
                <w:sz w:val="16"/>
                <w:szCs w:val="16"/>
              </w:rPr>
              <w:t>ENTRADAS</w:t>
            </w:r>
          </w:p>
        </w:tc>
        <w:tc>
          <w:tcPr>
            <w:tcW w:w="765" w:type="pct"/>
            <w:tcBorders>
              <w:top w:val="nil"/>
              <w:left w:val="nil"/>
              <w:bottom w:val="single" w:sz="8" w:space="0" w:color="auto"/>
              <w:right w:val="nil"/>
            </w:tcBorders>
            <w:vAlign w:val="center"/>
          </w:tcPr>
          <w:p w14:paraId="0247C345" w14:textId="21070CC5" w:rsidR="00512A77" w:rsidRDefault="00512A77" w:rsidP="00C6385D">
            <w:pPr>
              <w:spacing w:after="120"/>
              <w:jc w:val="right"/>
              <w:rPr>
                <w:rFonts w:ascii="Calibri" w:hAnsi="Calibri" w:cs="Calibri"/>
                <w:b/>
                <w:bCs/>
                <w:color w:val="000000"/>
                <w:sz w:val="16"/>
                <w:szCs w:val="16"/>
              </w:rPr>
            </w:pPr>
            <w:r w:rsidRPr="00512A77">
              <w:rPr>
                <w:rFonts w:ascii="Calibri" w:hAnsi="Calibri" w:cs="Calibri"/>
                <w:b/>
                <w:bCs/>
                <w:color w:val="000000"/>
                <w:sz w:val="16"/>
                <w:szCs w:val="16"/>
              </w:rPr>
              <w:t>ENTRADA REFERENTE AO CONTRATO DA EPL</w:t>
            </w:r>
          </w:p>
        </w:tc>
        <w:tc>
          <w:tcPr>
            <w:tcW w:w="644" w:type="pct"/>
            <w:tcBorders>
              <w:top w:val="nil"/>
              <w:left w:val="nil"/>
              <w:bottom w:val="single" w:sz="8" w:space="0" w:color="auto"/>
              <w:right w:val="nil"/>
            </w:tcBorders>
            <w:shd w:val="clear" w:color="auto" w:fill="auto"/>
            <w:vAlign w:val="center"/>
            <w:hideMark/>
          </w:tcPr>
          <w:p w14:paraId="40773C68" w14:textId="141199D9" w:rsidR="00512A77" w:rsidRDefault="00512A77" w:rsidP="00C6385D">
            <w:pPr>
              <w:spacing w:after="120"/>
              <w:jc w:val="right"/>
              <w:rPr>
                <w:rFonts w:ascii="Calibri" w:hAnsi="Calibri" w:cs="Calibri"/>
                <w:b/>
                <w:bCs/>
                <w:color w:val="000000"/>
                <w:sz w:val="16"/>
                <w:szCs w:val="16"/>
              </w:rPr>
            </w:pPr>
            <w:r>
              <w:rPr>
                <w:rFonts w:ascii="Calibri" w:hAnsi="Calibri" w:cs="Calibri"/>
                <w:b/>
                <w:bCs/>
                <w:color w:val="000000"/>
                <w:sz w:val="16"/>
                <w:szCs w:val="16"/>
              </w:rPr>
              <w:t xml:space="preserve">AJUSTES / TRANSFERÊNCIAS </w:t>
            </w:r>
          </w:p>
        </w:tc>
        <w:tc>
          <w:tcPr>
            <w:tcW w:w="544" w:type="pct"/>
            <w:tcBorders>
              <w:top w:val="nil"/>
              <w:left w:val="nil"/>
              <w:bottom w:val="single" w:sz="8" w:space="0" w:color="auto"/>
              <w:right w:val="nil"/>
            </w:tcBorders>
            <w:shd w:val="clear" w:color="auto" w:fill="auto"/>
            <w:vAlign w:val="center"/>
            <w:hideMark/>
          </w:tcPr>
          <w:p w14:paraId="39553AB9" w14:textId="77777777" w:rsidR="00512A77" w:rsidRDefault="00512A77" w:rsidP="00FE4D59">
            <w:pPr>
              <w:spacing w:after="120"/>
              <w:jc w:val="right"/>
              <w:rPr>
                <w:rFonts w:ascii="Calibri" w:hAnsi="Calibri" w:cs="Calibri"/>
                <w:b/>
                <w:bCs/>
                <w:color w:val="000000"/>
                <w:sz w:val="16"/>
                <w:szCs w:val="16"/>
              </w:rPr>
            </w:pPr>
            <w:r>
              <w:rPr>
                <w:rFonts w:ascii="Calibri" w:hAnsi="Calibri" w:cs="Calibri"/>
                <w:b/>
                <w:bCs/>
                <w:color w:val="000000"/>
                <w:sz w:val="16"/>
                <w:szCs w:val="16"/>
              </w:rPr>
              <w:t>PAGAMENTOS EFETUADOS</w:t>
            </w:r>
          </w:p>
        </w:tc>
        <w:tc>
          <w:tcPr>
            <w:tcW w:w="477" w:type="pct"/>
            <w:tcBorders>
              <w:top w:val="nil"/>
              <w:left w:val="nil"/>
              <w:bottom w:val="single" w:sz="8" w:space="0" w:color="auto"/>
              <w:right w:val="nil"/>
            </w:tcBorders>
            <w:shd w:val="clear" w:color="auto" w:fill="auto"/>
            <w:vAlign w:val="center"/>
            <w:hideMark/>
          </w:tcPr>
          <w:p w14:paraId="15BA95FD" w14:textId="7394D018" w:rsidR="00512A77" w:rsidRDefault="00512A77" w:rsidP="00FE4D59">
            <w:pPr>
              <w:spacing w:after="120"/>
              <w:jc w:val="right"/>
              <w:rPr>
                <w:rFonts w:ascii="Calibri" w:hAnsi="Calibri" w:cs="Calibri"/>
                <w:b/>
                <w:bCs/>
                <w:color w:val="000000"/>
                <w:sz w:val="16"/>
                <w:szCs w:val="16"/>
              </w:rPr>
            </w:pPr>
            <w:r>
              <w:rPr>
                <w:rFonts w:ascii="Calibri" w:hAnsi="Calibri" w:cs="Calibri"/>
                <w:b/>
                <w:bCs/>
                <w:color w:val="000000"/>
                <w:sz w:val="16"/>
                <w:szCs w:val="16"/>
              </w:rPr>
              <w:t>SALDO EM 30/0</w:t>
            </w:r>
            <w:r w:rsidR="00BD19D2">
              <w:rPr>
                <w:rFonts w:ascii="Calibri" w:hAnsi="Calibri" w:cs="Calibri"/>
                <w:b/>
                <w:bCs/>
                <w:color w:val="000000"/>
                <w:sz w:val="16"/>
                <w:szCs w:val="16"/>
              </w:rPr>
              <w:t>9</w:t>
            </w:r>
            <w:r>
              <w:rPr>
                <w:rFonts w:ascii="Calibri" w:hAnsi="Calibri" w:cs="Calibri"/>
                <w:b/>
                <w:bCs/>
                <w:color w:val="000000"/>
                <w:sz w:val="16"/>
                <w:szCs w:val="16"/>
              </w:rPr>
              <w:t>/2022</w:t>
            </w:r>
          </w:p>
        </w:tc>
      </w:tr>
      <w:tr w:rsidR="00BD19D2" w14:paraId="4E8DFAD9" w14:textId="77777777" w:rsidTr="00512A77">
        <w:trPr>
          <w:trHeight w:hRule="exact" w:val="227"/>
        </w:trPr>
        <w:tc>
          <w:tcPr>
            <w:tcW w:w="1664" w:type="pct"/>
            <w:tcBorders>
              <w:top w:val="nil"/>
              <w:left w:val="nil"/>
              <w:bottom w:val="nil"/>
              <w:right w:val="nil"/>
            </w:tcBorders>
            <w:shd w:val="clear" w:color="auto" w:fill="auto"/>
            <w:noWrap/>
            <w:vAlign w:val="center"/>
            <w:hideMark/>
          </w:tcPr>
          <w:p w14:paraId="7BE4DB45" w14:textId="77777777" w:rsidR="00512A77" w:rsidRDefault="00512A77" w:rsidP="00937ED9">
            <w:pPr>
              <w:spacing w:after="120"/>
              <w:rPr>
                <w:rFonts w:ascii="Calibri" w:hAnsi="Calibri" w:cs="Calibri"/>
                <w:color w:val="000000"/>
                <w:sz w:val="16"/>
                <w:szCs w:val="16"/>
              </w:rPr>
            </w:pPr>
            <w:r>
              <w:rPr>
                <w:rFonts w:ascii="Calibri" w:hAnsi="Calibri" w:cs="Calibri"/>
                <w:color w:val="000000"/>
                <w:sz w:val="16"/>
                <w:szCs w:val="16"/>
              </w:rPr>
              <w:t xml:space="preserve">Passivo de Arrendamento de Veículos </w:t>
            </w:r>
          </w:p>
        </w:tc>
        <w:tc>
          <w:tcPr>
            <w:tcW w:w="454" w:type="pct"/>
            <w:tcBorders>
              <w:top w:val="nil"/>
              <w:left w:val="nil"/>
              <w:bottom w:val="nil"/>
              <w:right w:val="nil"/>
            </w:tcBorders>
            <w:shd w:val="clear" w:color="auto" w:fill="auto"/>
            <w:noWrap/>
            <w:vAlign w:val="center"/>
            <w:hideMark/>
          </w:tcPr>
          <w:p w14:paraId="15BCDC15" w14:textId="27509EE7" w:rsidR="00512A77" w:rsidRDefault="00512A77" w:rsidP="00FE4D59">
            <w:pPr>
              <w:spacing w:after="120"/>
              <w:jc w:val="right"/>
              <w:rPr>
                <w:rFonts w:ascii="Calibri" w:hAnsi="Calibri" w:cs="Calibri"/>
                <w:color w:val="000000"/>
                <w:sz w:val="16"/>
                <w:szCs w:val="16"/>
              </w:rPr>
            </w:pPr>
            <w:r>
              <w:rPr>
                <w:rFonts w:ascii="Calibri" w:hAnsi="Calibri" w:cs="Calibri"/>
                <w:color w:val="000000"/>
                <w:sz w:val="16"/>
                <w:szCs w:val="16"/>
              </w:rPr>
              <w:t>1.721.300</w:t>
            </w:r>
          </w:p>
        </w:tc>
        <w:tc>
          <w:tcPr>
            <w:tcW w:w="452" w:type="pct"/>
            <w:tcBorders>
              <w:top w:val="nil"/>
              <w:left w:val="nil"/>
              <w:bottom w:val="nil"/>
              <w:right w:val="nil"/>
            </w:tcBorders>
            <w:shd w:val="clear" w:color="auto" w:fill="auto"/>
            <w:vAlign w:val="center"/>
            <w:hideMark/>
          </w:tcPr>
          <w:p w14:paraId="0953C868" w14:textId="7280FE0B" w:rsidR="00512A77" w:rsidRDefault="00512A77" w:rsidP="00FE4D59">
            <w:pPr>
              <w:spacing w:after="120"/>
              <w:jc w:val="right"/>
              <w:rPr>
                <w:rFonts w:ascii="Calibri" w:hAnsi="Calibri" w:cs="Calibri"/>
                <w:color w:val="000000"/>
                <w:sz w:val="16"/>
                <w:szCs w:val="16"/>
              </w:rPr>
            </w:pPr>
            <w:r>
              <w:rPr>
                <w:rFonts w:ascii="Calibri" w:hAnsi="Calibri" w:cs="Calibri"/>
                <w:color w:val="000000"/>
                <w:sz w:val="16"/>
                <w:szCs w:val="16"/>
              </w:rPr>
              <w:t>740.561</w:t>
            </w:r>
          </w:p>
        </w:tc>
        <w:tc>
          <w:tcPr>
            <w:tcW w:w="765" w:type="pct"/>
            <w:tcBorders>
              <w:top w:val="nil"/>
              <w:left w:val="nil"/>
              <w:bottom w:val="nil"/>
              <w:right w:val="nil"/>
            </w:tcBorders>
          </w:tcPr>
          <w:p w14:paraId="22DDA58F" w14:textId="0611F0C9" w:rsidR="00512A77" w:rsidRDefault="00512A77" w:rsidP="00FE4D59">
            <w:pPr>
              <w:spacing w:after="120"/>
              <w:jc w:val="right"/>
              <w:rPr>
                <w:rFonts w:ascii="Calibri" w:hAnsi="Calibri" w:cs="Calibri"/>
                <w:color w:val="000000"/>
                <w:sz w:val="16"/>
                <w:szCs w:val="16"/>
              </w:rPr>
            </w:pPr>
            <w:r>
              <w:rPr>
                <w:rFonts w:ascii="Calibri" w:hAnsi="Calibri" w:cs="Calibri"/>
                <w:color w:val="000000"/>
                <w:sz w:val="16"/>
                <w:szCs w:val="16"/>
              </w:rPr>
              <w:t>0</w:t>
            </w:r>
          </w:p>
        </w:tc>
        <w:tc>
          <w:tcPr>
            <w:tcW w:w="644" w:type="pct"/>
            <w:tcBorders>
              <w:top w:val="nil"/>
              <w:left w:val="nil"/>
              <w:bottom w:val="nil"/>
              <w:right w:val="nil"/>
            </w:tcBorders>
            <w:shd w:val="clear" w:color="auto" w:fill="auto"/>
            <w:noWrap/>
            <w:vAlign w:val="center"/>
            <w:hideMark/>
          </w:tcPr>
          <w:p w14:paraId="6E3BE8CA" w14:textId="161AF2B4" w:rsidR="00512A77" w:rsidRDefault="00512A77" w:rsidP="00FE4D59">
            <w:pPr>
              <w:spacing w:after="120"/>
              <w:jc w:val="right"/>
              <w:rPr>
                <w:rFonts w:ascii="Calibri" w:hAnsi="Calibri" w:cs="Calibri"/>
                <w:color w:val="000000"/>
                <w:sz w:val="16"/>
                <w:szCs w:val="16"/>
              </w:rPr>
            </w:pPr>
            <w:r>
              <w:rPr>
                <w:rFonts w:ascii="Calibri" w:hAnsi="Calibri" w:cs="Calibri"/>
                <w:color w:val="000000"/>
                <w:sz w:val="16"/>
                <w:szCs w:val="16"/>
              </w:rPr>
              <w:t>(2.387.514)</w:t>
            </w:r>
          </w:p>
        </w:tc>
        <w:tc>
          <w:tcPr>
            <w:tcW w:w="544" w:type="pct"/>
            <w:tcBorders>
              <w:top w:val="nil"/>
              <w:left w:val="nil"/>
              <w:bottom w:val="nil"/>
              <w:right w:val="nil"/>
            </w:tcBorders>
            <w:shd w:val="clear" w:color="auto" w:fill="auto"/>
            <w:noWrap/>
            <w:vAlign w:val="center"/>
            <w:hideMark/>
          </w:tcPr>
          <w:p w14:paraId="0B5E7144" w14:textId="7ACD14C3" w:rsidR="00512A77" w:rsidRDefault="00512A77" w:rsidP="00FE4D59">
            <w:pPr>
              <w:spacing w:after="120"/>
              <w:jc w:val="right"/>
              <w:rPr>
                <w:rFonts w:ascii="Calibri" w:hAnsi="Calibri" w:cs="Calibri"/>
                <w:color w:val="000000"/>
                <w:sz w:val="16"/>
                <w:szCs w:val="16"/>
              </w:rPr>
            </w:pPr>
            <w:r>
              <w:rPr>
                <w:rFonts w:ascii="Calibri" w:hAnsi="Calibri" w:cs="Calibri"/>
                <w:color w:val="000000"/>
                <w:sz w:val="16"/>
                <w:szCs w:val="16"/>
              </w:rPr>
              <w:t>(74.347)</w:t>
            </w:r>
          </w:p>
        </w:tc>
        <w:tc>
          <w:tcPr>
            <w:tcW w:w="477" w:type="pct"/>
            <w:tcBorders>
              <w:top w:val="nil"/>
              <w:left w:val="nil"/>
              <w:bottom w:val="nil"/>
              <w:right w:val="nil"/>
            </w:tcBorders>
            <w:shd w:val="clear" w:color="auto" w:fill="auto"/>
            <w:noWrap/>
            <w:vAlign w:val="center"/>
            <w:hideMark/>
          </w:tcPr>
          <w:p w14:paraId="412BF620" w14:textId="3A75E050" w:rsidR="00512A77" w:rsidRDefault="00512A77" w:rsidP="00FE4D59">
            <w:pPr>
              <w:spacing w:after="120"/>
              <w:jc w:val="right"/>
              <w:rPr>
                <w:rFonts w:ascii="Calibri" w:hAnsi="Calibri" w:cs="Calibri"/>
                <w:color w:val="000000"/>
                <w:sz w:val="16"/>
                <w:szCs w:val="16"/>
              </w:rPr>
            </w:pPr>
            <w:r>
              <w:rPr>
                <w:rFonts w:ascii="Calibri" w:hAnsi="Calibri" w:cs="Calibri"/>
                <w:color w:val="000000"/>
                <w:sz w:val="16"/>
                <w:szCs w:val="16"/>
              </w:rPr>
              <w:t>0</w:t>
            </w:r>
          </w:p>
        </w:tc>
      </w:tr>
      <w:tr w:rsidR="00BD19D2" w14:paraId="311D8129" w14:textId="77777777" w:rsidTr="00512A77">
        <w:trPr>
          <w:trHeight w:hRule="exact" w:val="227"/>
        </w:trPr>
        <w:tc>
          <w:tcPr>
            <w:tcW w:w="1664" w:type="pct"/>
            <w:tcBorders>
              <w:top w:val="nil"/>
              <w:left w:val="nil"/>
              <w:bottom w:val="single" w:sz="8" w:space="0" w:color="auto"/>
              <w:right w:val="nil"/>
            </w:tcBorders>
            <w:shd w:val="clear" w:color="auto" w:fill="auto"/>
            <w:noWrap/>
            <w:vAlign w:val="center"/>
            <w:hideMark/>
          </w:tcPr>
          <w:p w14:paraId="37DD2CC7" w14:textId="77777777" w:rsidR="00512A77" w:rsidRDefault="00512A77" w:rsidP="00937ED9">
            <w:pPr>
              <w:spacing w:after="120"/>
              <w:rPr>
                <w:rFonts w:ascii="Calibri" w:hAnsi="Calibri" w:cs="Calibri"/>
                <w:color w:val="000000"/>
                <w:sz w:val="16"/>
                <w:szCs w:val="16"/>
              </w:rPr>
            </w:pPr>
            <w:r>
              <w:rPr>
                <w:rFonts w:ascii="Calibri" w:hAnsi="Calibri" w:cs="Calibri"/>
                <w:color w:val="000000"/>
                <w:sz w:val="16"/>
                <w:szCs w:val="16"/>
              </w:rPr>
              <w:t>Passivo de Arrendamento de Imóveis</w:t>
            </w:r>
          </w:p>
        </w:tc>
        <w:tc>
          <w:tcPr>
            <w:tcW w:w="454" w:type="pct"/>
            <w:tcBorders>
              <w:top w:val="nil"/>
              <w:left w:val="nil"/>
              <w:bottom w:val="single" w:sz="8" w:space="0" w:color="auto"/>
              <w:right w:val="nil"/>
            </w:tcBorders>
            <w:shd w:val="clear" w:color="auto" w:fill="auto"/>
            <w:noWrap/>
            <w:vAlign w:val="center"/>
            <w:hideMark/>
          </w:tcPr>
          <w:p w14:paraId="3B0B8EE2" w14:textId="70F2F07A" w:rsidR="00512A77" w:rsidRDefault="00512A77" w:rsidP="00FE4D59">
            <w:pPr>
              <w:spacing w:after="120"/>
              <w:jc w:val="right"/>
              <w:rPr>
                <w:rFonts w:ascii="Calibri" w:hAnsi="Calibri" w:cs="Calibri"/>
                <w:color w:val="000000"/>
                <w:sz w:val="16"/>
                <w:szCs w:val="16"/>
              </w:rPr>
            </w:pPr>
            <w:r>
              <w:rPr>
                <w:rFonts w:ascii="Calibri" w:hAnsi="Calibri" w:cs="Calibri"/>
                <w:color w:val="000000"/>
                <w:sz w:val="16"/>
                <w:szCs w:val="16"/>
              </w:rPr>
              <w:t>19.950.000</w:t>
            </w:r>
          </w:p>
        </w:tc>
        <w:tc>
          <w:tcPr>
            <w:tcW w:w="452" w:type="pct"/>
            <w:tcBorders>
              <w:top w:val="nil"/>
              <w:left w:val="nil"/>
              <w:bottom w:val="single" w:sz="8" w:space="0" w:color="auto"/>
              <w:right w:val="nil"/>
            </w:tcBorders>
            <w:shd w:val="clear" w:color="auto" w:fill="auto"/>
            <w:vAlign w:val="center"/>
            <w:hideMark/>
          </w:tcPr>
          <w:p w14:paraId="45753D9B" w14:textId="407A2DAC" w:rsidR="00512A77" w:rsidRDefault="00512A77" w:rsidP="00FE4D59">
            <w:pPr>
              <w:spacing w:after="120"/>
              <w:jc w:val="right"/>
              <w:rPr>
                <w:rFonts w:ascii="Calibri" w:hAnsi="Calibri" w:cs="Calibri"/>
                <w:color w:val="000000"/>
                <w:sz w:val="16"/>
                <w:szCs w:val="16"/>
              </w:rPr>
            </w:pPr>
            <w:r>
              <w:rPr>
                <w:rFonts w:ascii="Calibri" w:hAnsi="Calibri" w:cs="Calibri"/>
                <w:color w:val="000000"/>
                <w:sz w:val="16"/>
                <w:szCs w:val="16"/>
              </w:rPr>
              <w:t>0</w:t>
            </w:r>
          </w:p>
        </w:tc>
        <w:tc>
          <w:tcPr>
            <w:tcW w:w="765" w:type="pct"/>
            <w:tcBorders>
              <w:top w:val="nil"/>
              <w:left w:val="nil"/>
              <w:bottom w:val="single" w:sz="8" w:space="0" w:color="auto"/>
              <w:right w:val="nil"/>
            </w:tcBorders>
          </w:tcPr>
          <w:p w14:paraId="252F720C" w14:textId="4417EF9D" w:rsidR="00512A77" w:rsidRDefault="00512A77" w:rsidP="00FE4D59">
            <w:pPr>
              <w:spacing w:after="120"/>
              <w:jc w:val="right"/>
              <w:rPr>
                <w:rFonts w:ascii="Calibri" w:hAnsi="Calibri" w:cs="Calibri"/>
                <w:color w:val="000000"/>
                <w:sz w:val="16"/>
                <w:szCs w:val="16"/>
              </w:rPr>
            </w:pPr>
            <w:r>
              <w:rPr>
                <w:rFonts w:ascii="Calibri" w:hAnsi="Calibri" w:cs="Calibri"/>
                <w:color w:val="000000"/>
                <w:sz w:val="16"/>
                <w:szCs w:val="16"/>
              </w:rPr>
              <w:t>5.401.137</w:t>
            </w:r>
          </w:p>
        </w:tc>
        <w:tc>
          <w:tcPr>
            <w:tcW w:w="644" w:type="pct"/>
            <w:tcBorders>
              <w:top w:val="nil"/>
              <w:left w:val="nil"/>
              <w:bottom w:val="single" w:sz="8" w:space="0" w:color="auto"/>
              <w:right w:val="nil"/>
            </w:tcBorders>
            <w:shd w:val="clear" w:color="auto" w:fill="auto"/>
            <w:noWrap/>
            <w:vAlign w:val="center"/>
            <w:hideMark/>
          </w:tcPr>
          <w:p w14:paraId="3DC9446B" w14:textId="2C2511FA" w:rsidR="00512A77" w:rsidRDefault="00512A77" w:rsidP="00FE4D59">
            <w:pPr>
              <w:spacing w:after="120"/>
              <w:jc w:val="right"/>
              <w:rPr>
                <w:rFonts w:ascii="Calibri" w:hAnsi="Calibri" w:cs="Calibri"/>
                <w:color w:val="000000"/>
                <w:sz w:val="16"/>
                <w:szCs w:val="16"/>
              </w:rPr>
            </w:pPr>
            <w:r>
              <w:rPr>
                <w:rFonts w:ascii="Calibri" w:hAnsi="Calibri" w:cs="Calibri"/>
                <w:color w:val="000000"/>
                <w:sz w:val="16"/>
                <w:szCs w:val="16"/>
              </w:rPr>
              <w:t>0</w:t>
            </w:r>
          </w:p>
        </w:tc>
        <w:tc>
          <w:tcPr>
            <w:tcW w:w="544" w:type="pct"/>
            <w:tcBorders>
              <w:top w:val="nil"/>
              <w:left w:val="nil"/>
              <w:bottom w:val="single" w:sz="8" w:space="0" w:color="auto"/>
              <w:right w:val="nil"/>
            </w:tcBorders>
            <w:shd w:val="clear" w:color="auto" w:fill="auto"/>
            <w:noWrap/>
            <w:vAlign w:val="center"/>
            <w:hideMark/>
          </w:tcPr>
          <w:p w14:paraId="6D527FEE" w14:textId="4C538591" w:rsidR="00512A77" w:rsidRDefault="00512A77" w:rsidP="00FE4D59">
            <w:pPr>
              <w:spacing w:after="120"/>
              <w:jc w:val="right"/>
              <w:rPr>
                <w:rFonts w:ascii="Calibri" w:hAnsi="Calibri" w:cs="Calibri"/>
                <w:color w:val="000000"/>
                <w:sz w:val="16"/>
                <w:szCs w:val="16"/>
              </w:rPr>
            </w:pPr>
            <w:r>
              <w:rPr>
                <w:rFonts w:ascii="Calibri" w:hAnsi="Calibri" w:cs="Calibri"/>
                <w:color w:val="000000"/>
                <w:sz w:val="16"/>
                <w:szCs w:val="16"/>
              </w:rPr>
              <w:t>(</w:t>
            </w:r>
            <w:r w:rsidR="00BD19D2">
              <w:rPr>
                <w:rFonts w:ascii="Calibri" w:hAnsi="Calibri" w:cs="Calibri"/>
                <w:color w:val="000000"/>
                <w:sz w:val="16"/>
                <w:szCs w:val="16"/>
              </w:rPr>
              <w:t>2.800.000</w:t>
            </w:r>
            <w:r>
              <w:rPr>
                <w:rFonts w:ascii="Calibri" w:hAnsi="Calibri" w:cs="Calibri"/>
                <w:color w:val="000000"/>
                <w:sz w:val="16"/>
                <w:szCs w:val="16"/>
              </w:rPr>
              <w:t>)</w:t>
            </w:r>
          </w:p>
        </w:tc>
        <w:tc>
          <w:tcPr>
            <w:tcW w:w="477" w:type="pct"/>
            <w:tcBorders>
              <w:top w:val="nil"/>
              <w:left w:val="nil"/>
              <w:bottom w:val="single" w:sz="8" w:space="0" w:color="auto"/>
              <w:right w:val="nil"/>
            </w:tcBorders>
            <w:shd w:val="clear" w:color="auto" w:fill="auto"/>
            <w:noWrap/>
            <w:vAlign w:val="center"/>
            <w:hideMark/>
          </w:tcPr>
          <w:p w14:paraId="1102BD1B" w14:textId="5642239C" w:rsidR="00512A77" w:rsidRDefault="00BD19D2" w:rsidP="00FE4D59">
            <w:pPr>
              <w:spacing w:after="120"/>
              <w:jc w:val="right"/>
              <w:rPr>
                <w:rFonts w:ascii="Calibri" w:hAnsi="Calibri" w:cs="Calibri"/>
                <w:color w:val="000000"/>
                <w:sz w:val="16"/>
                <w:szCs w:val="16"/>
              </w:rPr>
            </w:pPr>
            <w:r>
              <w:rPr>
                <w:rFonts w:ascii="Calibri" w:hAnsi="Calibri" w:cs="Calibri"/>
                <w:color w:val="000000"/>
                <w:sz w:val="16"/>
                <w:szCs w:val="16"/>
              </w:rPr>
              <w:t>22.551.137</w:t>
            </w:r>
          </w:p>
        </w:tc>
      </w:tr>
      <w:tr w:rsidR="00BD19D2" w14:paraId="10A2EEC2" w14:textId="77777777" w:rsidTr="00512A77">
        <w:trPr>
          <w:trHeight w:hRule="exact" w:val="227"/>
        </w:trPr>
        <w:tc>
          <w:tcPr>
            <w:tcW w:w="1664" w:type="pct"/>
            <w:tcBorders>
              <w:top w:val="nil"/>
              <w:left w:val="nil"/>
              <w:bottom w:val="single" w:sz="8" w:space="0" w:color="auto"/>
              <w:right w:val="nil"/>
            </w:tcBorders>
            <w:shd w:val="clear" w:color="auto" w:fill="auto"/>
            <w:noWrap/>
            <w:vAlign w:val="center"/>
            <w:hideMark/>
          </w:tcPr>
          <w:p w14:paraId="53F0DF41" w14:textId="77777777" w:rsidR="00512A77" w:rsidRDefault="00512A77" w:rsidP="00937ED9">
            <w:pPr>
              <w:spacing w:after="120"/>
              <w:rPr>
                <w:rFonts w:ascii="Calibri" w:hAnsi="Calibri" w:cs="Calibri"/>
                <w:b/>
                <w:bCs/>
                <w:color w:val="000000"/>
                <w:sz w:val="16"/>
                <w:szCs w:val="16"/>
              </w:rPr>
            </w:pPr>
            <w:r>
              <w:rPr>
                <w:rFonts w:ascii="Calibri" w:hAnsi="Calibri" w:cs="Calibri"/>
                <w:b/>
                <w:bCs/>
                <w:color w:val="000000"/>
                <w:sz w:val="16"/>
                <w:szCs w:val="16"/>
              </w:rPr>
              <w:t>TOTAL DE PASSIVOS DE ARRENDAMENTOS</w:t>
            </w:r>
          </w:p>
        </w:tc>
        <w:tc>
          <w:tcPr>
            <w:tcW w:w="454" w:type="pct"/>
            <w:tcBorders>
              <w:top w:val="nil"/>
              <w:left w:val="nil"/>
              <w:bottom w:val="single" w:sz="8" w:space="0" w:color="auto"/>
              <w:right w:val="nil"/>
            </w:tcBorders>
            <w:shd w:val="clear" w:color="auto" w:fill="auto"/>
            <w:noWrap/>
            <w:vAlign w:val="center"/>
            <w:hideMark/>
          </w:tcPr>
          <w:p w14:paraId="5AB1A6E4" w14:textId="07638F7A" w:rsidR="00512A77" w:rsidRDefault="00512A77" w:rsidP="00FE4D59">
            <w:pPr>
              <w:spacing w:after="120"/>
              <w:jc w:val="right"/>
              <w:rPr>
                <w:rFonts w:ascii="Calibri" w:hAnsi="Calibri" w:cs="Calibri"/>
                <w:b/>
                <w:bCs/>
                <w:color w:val="000000"/>
                <w:sz w:val="16"/>
                <w:szCs w:val="16"/>
              </w:rPr>
            </w:pPr>
            <w:r>
              <w:rPr>
                <w:rFonts w:ascii="Calibri" w:hAnsi="Calibri" w:cs="Calibri"/>
                <w:b/>
                <w:bCs/>
                <w:color w:val="000000"/>
                <w:sz w:val="16"/>
                <w:szCs w:val="16"/>
              </w:rPr>
              <w:t>21.671.300</w:t>
            </w:r>
          </w:p>
        </w:tc>
        <w:tc>
          <w:tcPr>
            <w:tcW w:w="452" w:type="pct"/>
            <w:tcBorders>
              <w:top w:val="nil"/>
              <w:left w:val="nil"/>
              <w:bottom w:val="single" w:sz="8" w:space="0" w:color="auto"/>
              <w:right w:val="nil"/>
            </w:tcBorders>
            <w:shd w:val="clear" w:color="auto" w:fill="auto"/>
            <w:noWrap/>
            <w:vAlign w:val="center"/>
            <w:hideMark/>
          </w:tcPr>
          <w:p w14:paraId="6C5C5058" w14:textId="4167EBCF" w:rsidR="00512A77" w:rsidRDefault="00512A77" w:rsidP="00FE4D59">
            <w:pPr>
              <w:spacing w:after="120"/>
              <w:jc w:val="right"/>
              <w:rPr>
                <w:rFonts w:ascii="Calibri" w:hAnsi="Calibri" w:cs="Calibri"/>
                <w:b/>
                <w:bCs/>
                <w:color w:val="000000"/>
                <w:sz w:val="16"/>
                <w:szCs w:val="16"/>
              </w:rPr>
            </w:pPr>
            <w:r>
              <w:rPr>
                <w:rFonts w:ascii="Calibri" w:hAnsi="Calibri" w:cs="Calibri"/>
                <w:b/>
                <w:bCs/>
                <w:color w:val="000000"/>
                <w:sz w:val="16"/>
                <w:szCs w:val="16"/>
              </w:rPr>
              <w:t>740.561</w:t>
            </w:r>
          </w:p>
        </w:tc>
        <w:tc>
          <w:tcPr>
            <w:tcW w:w="765" w:type="pct"/>
            <w:tcBorders>
              <w:top w:val="nil"/>
              <w:left w:val="nil"/>
              <w:bottom w:val="single" w:sz="8" w:space="0" w:color="auto"/>
              <w:right w:val="nil"/>
            </w:tcBorders>
          </w:tcPr>
          <w:p w14:paraId="6158DE83" w14:textId="0B8B7A99" w:rsidR="00512A77" w:rsidRDefault="00512A77" w:rsidP="00FE4D59">
            <w:pPr>
              <w:spacing w:after="120"/>
              <w:jc w:val="right"/>
              <w:rPr>
                <w:rFonts w:ascii="Calibri" w:hAnsi="Calibri" w:cs="Calibri"/>
                <w:b/>
                <w:bCs/>
                <w:color w:val="000000"/>
                <w:sz w:val="16"/>
                <w:szCs w:val="16"/>
              </w:rPr>
            </w:pPr>
            <w:r>
              <w:rPr>
                <w:rFonts w:ascii="Calibri" w:hAnsi="Calibri" w:cs="Calibri"/>
                <w:b/>
                <w:bCs/>
                <w:color w:val="000000"/>
                <w:sz w:val="16"/>
                <w:szCs w:val="16"/>
              </w:rPr>
              <w:t>5.401.137</w:t>
            </w:r>
          </w:p>
        </w:tc>
        <w:tc>
          <w:tcPr>
            <w:tcW w:w="644" w:type="pct"/>
            <w:tcBorders>
              <w:top w:val="nil"/>
              <w:left w:val="nil"/>
              <w:bottom w:val="single" w:sz="8" w:space="0" w:color="auto"/>
              <w:right w:val="nil"/>
            </w:tcBorders>
            <w:shd w:val="clear" w:color="auto" w:fill="auto"/>
            <w:noWrap/>
            <w:vAlign w:val="center"/>
            <w:hideMark/>
          </w:tcPr>
          <w:p w14:paraId="2C831FCE" w14:textId="2837021D" w:rsidR="00512A77" w:rsidRDefault="00512A77" w:rsidP="00FE4D59">
            <w:pPr>
              <w:spacing w:after="120"/>
              <w:jc w:val="right"/>
              <w:rPr>
                <w:rFonts w:ascii="Calibri" w:hAnsi="Calibri" w:cs="Calibri"/>
                <w:b/>
                <w:bCs/>
                <w:color w:val="000000"/>
                <w:sz w:val="16"/>
                <w:szCs w:val="16"/>
              </w:rPr>
            </w:pPr>
            <w:r>
              <w:rPr>
                <w:rFonts w:ascii="Calibri" w:hAnsi="Calibri" w:cs="Calibri"/>
                <w:b/>
                <w:bCs/>
                <w:color w:val="000000"/>
                <w:sz w:val="16"/>
                <w:szCs w:val="16"/>
              </w:rPr>
              <w:t>(2.387.514)</w:t>
            </w:r>
          </w:p>
        </w:tc>
        <w:tc>
          <w:tcPr>
            <w:tcW w:w="544" w:type="pct"/>
            <w:tcBorders>
              <w:top w:val="nil"/>
              <w:left w:val="nil"/>
              <w:bottom w:val="single" w:sz="8" w:space="0" w:color="auto"/>
              <w:right w:val="nil"/>
            </w:tcBorders>
            <w:shd w:val="clear" w:color="auto" w:fill="auto"/>
            <w:noWrap/>
            <w:vAlign w:val="center"/>
            <w:hideMark/>
          </w:tcPr>
          <w:p w14:paraId="3D67E19A" w14:textId="7BA10DB2" w:rsidR="00512A77" w:rsidRDefault="00512A77" w:rsidP="00FE4D59">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BD19D2">
              <w:rPr>
                <w:rFonts w:ascii="Calibri" w:hAnsi="Calibri" w:cs="Calibri"/>
                <w:b/>
                <w:bCs/>
                <w:color w:val="000000"/>
                <w:sz w:val="16"/>
                <w:szCs w:val="16"/>
              </w:rPr>
              <w:t>2.874.347</w:t>
            </w:r>
            <w:r>
              <w:rPr>
                <w:rFonts w:ascii="Calibri" w:hAnsi="Calibri" w:cs="Calibri"/>
                <w:b/>
                <w:bCs/>
                <w:color w:val="000000"/>
                <w:sz w:val="16"/>
                <w:szCs w:val="16"/>
              </w:rPr>
              <w:t>)</w:t>
            </w:r>
          </w:p>
        </w:tc>
        <w:tc>
          <w:tcPr>
            <w:tcW w:w="477" w:type="pct"/>
            <w:tcBorders>
              <w:top w:val="nil"/>
              <w:left w:val="nil"/>
              <w:bottom w:val="single" w:sz="8" w:space="0" w:color="auto"/>
              <w:right w:val="nil"/>
            </w:tcBorders>
            <w:shd w:val="clear" w:color="auto" w:fill="auto"/>
            <w:noWrap/>
            <w:vAlign w:val="center"/>
            <w:hideMark/>
          </w:tcPr>
          <w:p w14:paraId="55469A86" w14:textId="3EF8C232" w:rsidR="00512A77" w:rsidRDefault="00BD19D2" w:rsidP="00FE4D59">
            <w:pPr>
              <w:spacing w:after="120"/>
              <w:jc w:val="right"/>
              <w:rPr>
                <w:rFonts w:ascii="Calibri" w:hAnsi="Calibri" w:cs="Calibri"/>
                <w:b/>
                <w:bCs/>
                <w:color w:val="000000"/>
                <w:sz w:val="16"/>
                <w:szCs w:val="16"/>
              </w:rPr>
            </w:pPr>
            <w:r>
              <w:rPr>
                <w:rFonts w:ascii="Calibri" w:hAnsi="Calibri" w:cs="Calibri"/>
                <w:b/>
                <w:bCs/>
                <w:color w:val="000000"/>
                <w:sz w:val="16"/>
                <w:szCs w:val="16"/>
              </w:rPr>
              <w:t>22.551.137</w:t>
            </w:r>
          </w:p>
        </w:tc>
      </w:tr>
      <w:tr w:rsidR="00BD19D2" w14:paraId="270D4A9D" w14:textId="77777777" w:rsidTr="00512A77">
        <w:trPr>
          <w:trHeight w:hRule="exact" w:val="227"/>
        </w:trPr>
        <w:tc>
          <w:tcPr>
            <w:tcW w:w="1664" w:type="pct"/>
            <w:tcBorders>
              <w:top w:val="nil"/>
              <w:left w:val="nil"/>
              <w:bottom w:val="single" w:sz="8" w:space="0" w:color="auto"/>
              <w:right w:val="nil"/>
            </w:tcBorders>
            <w:shd w:val="clear" w:color="auto" w:fill="auto"/>
            <w:noWrap/>
            <w:vAlign w:val="center"/>
          </w:tcPr>
          <w:p w14:paraId="487FF672" w14:textId="0D62A0DC" w:rsidR="00512A77" w:rsidRPr="001A2044" w:rsidRDefault="00512A77" w:rsidP="00621A14">
            <w:pPr>
              <w:spacing w:after="120"/>
              <w:rPr>
                <w:rFonts w:ascii="Calibri" w:hAnsi="Calibri" w:cs="Calibri"/>
                <w:color w:val="000000"/>
                <w:sz w:val="16"/>
                <w:szCs w:val="16"/>
              </w:rPr>
            </w:pPr>
            <w:r w:rsidRPr="001A2044">
              <w:rPr>
                <w:rFonts w:ascii="Calibri" w:hAnsi="Calibri" w:cs="Calibri"/>
                <w:color w:val="000000"/>
                <w:sz w:val="16"/>
                <w:szCs w:val="16"/>
              </w:rPr>
              <w:t>Passivo de Arrendamento Circulante</w:t>
            </w:r>
          </w:p>
        </w:tc>
        <w:tc>
          <w:tcPr>
            <w:tcW w:w="454" w:type="pct"/>
            <w:tcBorders>
              <w:top w:val="nil"/>
              <w:left w:val="nil"/>
              <w:bottom w:val="single" w:sz="8" w:space="0" w:color="auto"/>
              <w:right w:val="nil"/>
            </w:tcBorders>
            <w:shd w:val="clear" w:color="auto" w:fill="auto"/>
            <w:noWrap/>
            <w:vAlign w:val="center"/>
          </w:tcPr>
          <w:p w14:paraId="701E56D7" w14:textId="22EB1FD4" w:rsidR="00512A77" w:rsidRPr="001A2044" w:rsidRDefault="00512A77" w:rsidP="00621A14">
            <w:pPr>
              <w:spacing w:after="120"/>
              <w:jc w:val="right"/>
              <w:rPr>
                <w:rFonts w:ascii="Calibri" w:hAnsi="Calibri" w:cs="Calibri"/>
                <w:color w:val="000000"/>
                <w:sz w:val="16"/>
                <w:szCs w:val="16"/>
              </w:rPr>
            </w:pPr>
            <w:r w:rsidRPr="001A2044">
              <w:rPr>
                <w:rFonts w:ascii="Calibri" w:hAnsi="Calibri" w:cs="Calibri"/>
                <w:color w:val="000000"/>
                <w:sz w:val="16"/>
                <w:szCs w:val="16"/>
              </w:rPr>
              <w:t>4.721.400</w:t>
            </w:r>
          </w:p>
        </w:tc>
        <w:tc>
          <w:tcPr>
            <w:tcW w:w="452" w:type="pct"/>
            <w:tcBorders>
              <w:top w:val="nil"/>
              <w:left w:val="nil"/>
              <w:bottom w:val="single" w:sz="8" w:space="0" w:color="auto"/>
              <w:right w:val="nil"/>
            </w:tcBorders>
            <w:shd w:val="clear" w:color="auto" w:fill="auto"/>
            <w:noWrap/>
            <w:vAlign w:val="center"/>
          </w:tcPr>
          <w:p w14:paraId="56F677BB" w14:textId="77777777" w:rsidR="00512A77" w:rsidRPr="001A2044" w:rsidRDefault="00512A77" w:rsidP="00621A14">
            <w:pPr>
              <w:spacing w:after="120"/>
              <w:jc w:val="right"/>
              <w:rPr>
                <w:rFonts w:ascii="Calibri" w:hAnsi="Calibri" w:cs="Calibri"/>
                <w:color w:val="000000"/>
                <w:sz w:val="16"/>
                <w:szCs w:val="16"/>
              </w:rPr>
            </w:pPr>
          </w:p>
        </w:tc>
        <w:tc>
          <w:tcPr>
            <w:tcW w:w="765" w:type="pct"/>
            <w:tcBorders>
              <w:top w:val="nil"/>
              <w:left w:val="nil"/>
              <w:bottom w:val="single" w:sz="8" w:space="0" w:color="auto"/>
              <w:right w:val="nil"/>
            </w:tcBorders>
          </w:tcPr>
          <w:p w14:paraId="75E67E79" w14:textId="77777777" w:rsidR="00512A77" w:rsidRPr="001A2044" w:rsidRDefault="00512A77" w:rsidP="00621A14">
            <w:pPr>
              <w:spacing w:after="120"/>
              <w:jc w:val="right"/>
              <w:rPr>
                <w:rFonts w:ascii="Calibri" w:hAnsi="Calibri" w:cs="Calibri"/>
                <w:color w:val="000000"/>
                <w:sz w:val="16"/>
                <w:szCs w:val="16"/>
              </w:rPr>
            </w:pPr>
          </w:p>
        </w:tc>
        <w:tc>
          <w:tcPr>
            <w:tcW w:w="644" w:type="pct"/>
            <w:tcBorders>
              <w:top w:val="nil"/>
              <w:left w:val="nil"/>
              <w:bottom w:val="single" w:sz="8" w:space="0" w:color="auto"/>
              <w:right w:val="nil"/>
            </w:tcBorders>
            <w:shd w:val="clear" w:color="auto" w:fill="auto"/>
            <w:noWrap/>
            <w:vAlign w:val="center"/>
          </w:tcPr>
          <w:p w14:paraId="485C2410" w14:textId="295D2879" w:rsidR="00512A77" w:rsidRPr="001A2044" w:rsidRDefault="00512A77" w:rsidP="00621A14">
            <w:pPr>
              <w:spacing w:after="120"/>
              <w:jc w:val="right"/>
              <w:rPr>
                <w:rFonts w:ascii="Calibri" w:hAnsi="Calibri" w:cs="Calibri"/>
                <w:color w:val="000000"/>
                <w:sz w:val="16"/>
                <w:szCs w:val="16"/>
              </w:rPr>
            </w:pPr>
          </w:p>
        </w:tc>
        <w:tc>
          <w:tcPr>
            <w:tcW w:w="544" w:type="pct"/>
            <w:tcBorders>
              <w:top w:val="nil"/>
              <w:left w:val="nil"/>
              <w:bottom w:val="single" w:sz="8" w:space="0" w:color="auto"/>
              <w:right w:val="nil"/>
            </w:tcBorders>
            <w:shd w:val="clear" w:color="auto" w:fill="auto"/>
            <w:noWrap/>
            <w:vAlign w:val="center"/>
          </w:tcPr>
          <w:p w14:paraId="11E05F91" w14:textId="77777777" w:rsidR="00512A77" w:rsidRPr="001A2044" w:rsidRDefault="00512A77" w:rsidP="00621A14">
            <w:pPr>
              <w:spacing w:after="120"/>
              <w:jc w:val="right"/>
              <w:rPr>
                <w:rFonts w:ascii="Calibri" w:hAnsi="Calibri" w:cs="Calibri"/>
                <w:color w:val="000000"/>
                <w:sz w:val="16"/>
                <w:szCs w:val="16"/>
              </w:rPr>
            </w:pPr>
          </w:p>
        </w:tc>
        <w:tc>
          <w:tcPr>
            <w:tcW w:w="477" w:type="pct"/>
            <w:tcBorders>
              <w:top w:val="nil"/>
              <w:left w:val="nil"/>
              <w:bottom w:val="single" w:sz="8" w:space="0" w:color="auto"/>
              <w:right w:val="nil"/>
            </w:tcBorders>
            <w:shd w:val="clear" w:color="auto" w:fill="auto"/>
            <w:noWrap/>
            <w:vAlign w:val="center"/>
          </w:tcPr>
          <w:p w14:paraId="67BF0AC6" w14:textId="6C6B5A80" w:rsidR="00512A77" w:rsidRPr="001A2044" w:rsidRDefault="00BD19D2" w:rsidP="00621A14">
            <w:pPr>
              <w:spacing w:after="120"/>
              <w:jc w:val="right"/>
              <w:rPr>
                <w:rFonts w:ascii="Calibri" w:hAnsi="Calibri" w:cs="Calibri"/>
                <w:color w:val="000000"/>
                <w:sz w:val="16"/>
                <w:szCs w:val="16"/>
              </w:rPr>
            </w:pPr>
            <w:r>
              <w:rPr>
                <w:rFonts w:ascii="Calibri" w:hAnsi="Calibri" w:cs="Calibri"/>
                <w:color w:val="000000"/>
                <w:sz w:val="16"/>
                <w:szCs w:val="16"/>
              </w:rPr>
              <w:t>6.872.554</w:t>
            </w:r>
          </w:p>
        </w:tc>
      </w:tr>
      <w:tr w:rsidR="00BD19D2" w14:paraId="1D3E7909" w14:textId="77777777" w:rsidTr="00512A77">
        <w:trPr>
          <w:trHeight w:hRule="exact" w:val="227"/>
        </w:trPr>
        <w:tc>
          <w:tcPr>
            <w:tcW w:w="1664" w:type="pct"/>
            <w:tcBorders>
              <w:top w:val="nil"/>
              <w:left w:val="nil"/>
              <w:bottom w:val="single" w:sz="8" w:space="0" w:color="auto"/>
              <w:right w:val="nil"/>
            </w:tcBorders>
            <w:shd w:val="clear" w:color="auto" w:fill="auto"/>
            <w:noWrap/>
            <w:vAlign w:val="center"/>
          </w:tcPr>
          <w:p w14:paraId="0FD80B21" w14:textId="02F0719D" w:rsidR="00512A77" w:rsidRPr="001A2044" w:rsidRDefault="00512A77" w:rsidP="00621A14">
            <w:pPr>
              <w:spacing w:after="120"/>
              <w:rPr>
                <w:rFonts w:ascii="Calibri" w:hAnsi="Calibri" w:cs="Calibri"/>
                <w:color w:val="000000"/>
                <w:sz w:val="16"/>
                <w:szCs w:val="16"/>
              </w:rPr>
            </w:pPr>
            <w:r w:rsidRPr="001A2044">
              <w:rPr>
                <w:rFonts w:ascii="Calibri" w:hAnsi="Calibri" w:cs="Calibri"/>
                <w:color w:val="000000"/>
                <w:sz w:val="16"/>
                <w:szCs w:val="16"/>
              </w:rPr>
              <w:t>Passivo de Arrendamento Não Circulante</w:t>
            </w:r>
          </w:p>
        </w:tc>
        <w:tc>
          <w:tcPr>
            <w:tcW w:w="454" w:type="pct"/>
            <w:tcBorders>
              <w:top w:val="nil"/>
              <w:left w:val="nil"/>
              <w:bottom w:val="single" w:sz="8" w:space="0" w:color="auto"/>
              <w:right w:val="nil"/>
            </w:tcBorders>
            <w:shd w:val="clear" w:color="auto" w:fill="auto"/>
            <w:noWrap/>
            <w:vAlign w:val="center"/>
          </w:tcPr>
          <w:p w14:paraId="6E2FBD90" w14:textId="3130D1BF" w:rsidR="00512A77" w:rsidRPr="001A2044" w:rsidRDefault="00512A77" w:rsidP="00621A14">
            <w:pPr>
              <w:spacing w:after="120"/>
              <w:jc w:val="right"/>
              <w:rPr>
                <w:rFonts w:ascii="Calibri" w:hAnsi="Calibri" w:cs="Calibri"/>
                <w:color w:val="000000"/>
                <w:sz w:val="16"/>
                <w:szCs w:val="16"/>
              </w:rPr>
            </w:pPr>
            <w:r w:rsidRPr="001A2044">
              <w:rPr>
                <w:rFonts w:ascii="Calibri" w:hAnsi="Calibri" w:cs="Calibri"/>
                <w:color w:val="000000"/>
                <w:sz w:val="16"/>
                <w:szCs w:val="16"/>
              </w:rPr>
              <w:t>16.949.900</w:t>
            </w:r>
          </w:p>
        </w:tc>
        <w:tc>
          <w:tcPr>
            <w:tcW w:w="452" w:type="pct"/>
            <w:tcBorders>
              <w:top w:val="nil"/>
              <w:left w:val="nil"/>
              <w:bottom w:val="single" w:sz="8" w:space="0" w:color="auto"/>
              <w:right w:val="nil"/>
            </w:tcBorders>
            <w:shd w:val="clear" w:color="auto" w:fill="auto"/>
            <w:noWrap/>
            <w:vAlign w:val="center"/>
          </w:tcPr>
          <w:p w14:paraId="38882F94" w14:textId="77777777" w:rsidR="00512A77" w:rsidRPr="001A2044" w:rsidRDefault="00512A77" w:rsidP="00621A14">
            <w:pPr>
              <w:spacing w:after="120"/>
              <w:jc w:val="right"/>
              <w:rPr>
                <w:rFonts w:ascii="Calibri" w:hAnsi="Calibri" w:cs="Calibri"/>
                <w:color w:val="000000"/>
                <w:sz w:val="16"/>
                <w:szCs w:val="16"/>
              </w:rPr>
            </w:pPr>
          </w:p>
        </w:tc>
        <w:tc>
          <w:tcPr>
            <w:tcW w:w="765" w:type="pct"/>
            <w:tcBorders>
              <w:top w:val="nil"/>
              <w:left w:val="nil"/>
              <w:bottom w:val="single" w:sz="8" w:space="0" w:color="auto"/>
              <w:right w:val="nil"/>
            </w:tcBorders>
          </w:tcPr>
          <w:p w14:paraId="52CC45E2" w14:textId="77777777" w:rsidR="00512A77" w:rsidRPr="001A2044" w:rsidRDefault="00512A77" w:rsidP="00621A14">
            <w:pPr>
              <w:spacing w:after="120"/>
              <w:jc w:val="right"/>
              <w:rPr>
                <w:rFonts w:ascii="Calibri" w:hAnsi="Calibri" w:cs="Calibri"/>
                <w:color w:val="000000"/>
                <w:sz w:val="16"/>
                <w:szCs w:val="16"/>
              </w:rPr>
            </w:pPr>
          </w:p>
        </w:tc>
        <w:tc>
          <w:tcPr>
            <w:tcW w:w="644" w:type="pct"/>
            <w:tcBorders>
              <w:top w:val="nil"/>
              <w:left w:val="nil"/>
              <w:bottom w:val="single" w:sz="8" w:space="0" w:color="auto"/>
              <w:right w:val="nil"/>
            </w:tcBorders>
            <w:shd w:val="clear" w:color="auto" w:fill="auto"/>
            <w:noWrap/>
            <w:vAlign w:val="center"/>
          </w:tcPr>
          <w:p w14:paraId="5B961AC1" w14:textId="268EE3F7" w:rsidR="00512A77" w:rsidRPr="001A2044" w:rsidRDefault="00512A77" w:rsidP="00621A14">
            <w:pPr>
              <w:spacing w:after="120"/>
              <w:jc w:val="right"/>
              <w:rPr>
                <w:rFonts w:ascii="Calibri" w:hAnsi="Calibri" w:cs="Calibri"/>
                <w:color w:val="000000"/>
                <w:sz w:val="16"/>
                <w:szCs w:val="16"/>
              </w:rPr>
            </w:pPr>
          </w:p>
        </w:tc>
        <w:tc>
          <w:tcPr>
            <w:tcW w:w="544" w:type="pct"/>
            <w:tcBorders>
              <w:top w:val="nil"/>
              <w:left w:val="nil"/>
              <w:bottom w:val="single" w:sz="8" w:space="0" w:color="auto"/>
              <w:right w:val="nil"/>
            </w:tcBorders>
            <w:shd w:val="clear" w:color="auto" w:fill="auto"/>
            <w:noWrap/>
            <w:vAlign w:val="center"/>
          </w:tcPr>
          <w:p w14:paraId="288D3DB9" w14:textId="77777777" w:rsidR="00512A77" w:rsidRPr="001A2044" w:rsidRDefault="00512A77" w:rsidP="00621A14">
            <w:pPr>
              <w:spacing w:after="120"/>
              <w:jc w:val="right"/>
              <w:rPr>
                <w:rFonts w:ascii="Calibri" w:hAnsi="Calibri" w:cs="Calibri"/>
                <w:color w:val="000000"/>
                <w:sz w:val="16"/>
                <w:szCs w:val="16"/>
              </w:rPr>
            </w:pPr>
          </w:p>
        </w:tc>
        <w:tc>
          <w:tcPr>
            <w:tcW w:w="477" w:type="pct"/>
            <w:tcBorders>
              <w:top w:val="nil"/>
              <w:left w:val="nil"/>
              <w:bottom w:val="single" w:sz="8" w:space="0" w:color="auto"/>
              <w:right w:val="nil"/>
            </w:tcBorders>
            <w:shd w:val="clear" w:color="auto" w:fill="auto"/>
            <w:noWrap/>
            <w:vAlign w:val="center"/>
          </w:tcPr>
          <w:p w14:paraId="4D85B35B" w14:textId="05BC2DE6" w:rsidR="00512A77" w:rsidRPr="001A2044" w:rsidRDefault="00512A77" w:rsidP="00621A14">
            <w:pPr>
              <w:spacing w:after="120"/>
              <w:jc w:val="right"/>
              <w:rPr>
                <w:rFonts w:ascii="Calibri" w:hAnsi="Calibri" w:cs="Calibri"/>
                <w:color w:val="000000"/>
                <w:sz w:val="16"/>
                <w:szCs w:val="16"/>
              </w:rPr>
            </w:pPr>
            <w:r w:rsidRPr="001A2044">
              <w:rPr>
                <w:rFonts w:ascii="Calibri" w:hAnsi="Calibri" w:cs="Calibri"/>
                <w:color w:val="000000"/>
                <w:sz w:val="16"/>
                <w:szCs w:val="16"/>
              </w:rPr>
              <w:t>1</w:t>
            </w:r>
            <w:r w:rsidR="00BD19D2">
              <w:rPr>
                <w:rFonts w:ascii="Calibri" w:hAnsi="Calibri" w:cs="Calibri"/>
                <w:color w:val="000000"/>
                <w:sz w:val="16"/>
                <w:szCs w:val="16"/>
              </w:rPr>
              <w:t>5</w:t>
            </w:r>
            <w:r w:rsidRPr="001A2044">
              <w:rPr>
                <w:rFonts w:ascii="Calibri" w:hAnsi="Calibri" w:cs="Calibri"/>
                <w:color w:val="000000"/>
                <w:sz w:val="16"/>
                <w:szCs w:val="16"/>
              </w:rPr>
              <w:t>.</w:t>
            </w:r>
            <w:r w:rsidR="00BD19D2">
              <w:rPr>
                <w:rFonts w:ascii="Calibri" w:hAnsi="Calibri" w:cs="Calibri"/>
                <w:color w:val="000000"/>
                <w:sz w:val="16"/>
                <w:szCs w:val="16"/>
              </w:rPr>
              <w:t>678</w:t>
            </w:r>
            <w:r w:rsidRPr="001A2044">
              <w:rPr>
                <w:rFonts w:ascii="Calibri" w:hAnsi="Calibri" w:cs="Calibri"/>
                <w:color w:val="000000"/>
                <w:sz w:val="16"/>
                <w:szCs w:val="16"/>
              </w:rPr>
              <w:t>.</w:t>
            </w:r>
            <w:r w:rsidR="00BD19D2">
              <w:rPr>
                <w:rFonts w:ascii="Calibri" w:hAnsi="Calibri" w:cs="Calibri"/>
                <w:color w:val="000000"/>
                <w:sz w:val="16"/>
                <w:szCs w:val="16"/>
              </w:rPr>
              <w:t>583</w:t>
            </w:r>
          </w:p>
        </w:tc>
      </w:tr>
      <w:tr w:rsidR="00BD19D2" w14:paraId="5FAEE3E2" w14:textId="77777777" w:rsidTr="00512A77">
        <w:trPr>
          <w:trHeight w:hRule="exact" w:val="227"/>
        </w:trPr>
        <w:tc>
          <w:tcPr>
            <w:tcW w:w="1664" w:type="pct"/>
            <w:tcBorders>
              <w:top w:val="nil"/>
              <w:left w:val="nil"/>
              <w:bottom w:val="single" w:sz="8" w:space="0" w:color="auto"/>
              <w:right w:val="nil"/>
            </w:tcBorders>
            <w:shd w:val="clear" w:color="auto" w:fill="auto"/>
            <w:noWrap/>
            <w:vAlign w:val="center"/>
          </w:tcPr>
          <w:p w14:paraId="1C60128E" w14:textId="5C7898E3" w:rsidR="00512A77" w:rsidRDefault="00512A77" w:rsidP="00621A14">
            <w:pPr>
              <w:spacing w:after="120"/>
              <w:rPr>
                <w:rFonts w:ascii="Calibri" w:hAnsi="Calibri" w:cs="Calibri"/>
                <w:b/>
                <w:bCs/>
                <w:color w:val="000000"/>
                <w:sz w:val="16"/>
                <w:szCs w:val="16"/>
              </w:rPr>
            </w:pPr>
            <w:r>
              <w:rPr>
                <w:rFonts w:ascii="Calibri" w:hAnsi="Calibri" w:cs="Calibri"/>
                <w:b/>
                <w:bCs/>
                <w:color w:val="000000"/>
                <w:sz w:val="16"/>
                <w:szCs w:val="16"/>
              </w:rPr>
              <w:t>JUROS A TRANSCORRER (REDUTORA)</w:t>
            </w:r>
          </w:p>
        </w:tc>
        <w:tc>
          <w:tcPr>
            <w:tcW w:w="454" w:type="pct"/>
            <w:tcBorders>
              <w:top w:val="nil"/>
              <w:left w:val="nil"/>
              <w:bottom w:val="single" w:sz="8" w:space="0" w:color="auto"/>
              <w:right w:val="nil"/>
            </w:tcBorders>
            <w:shd w:val="clear" w:color="auto" w:fill="auto"/>
            <w:noWrap/>
            <w:vAlign w:val="center"/>
          </w:tcPr>
          <w:p w14:paraId="2CB49F70" w14:textId="38EB5C09" w:rsidR="00512A77" w:rsidRDefault="00512A77" w:rsidP="00621A14">
            <w:pPr>
              <w:spacing w:after="120"/>
              <w:jc w:val="right"/>
              <w:rPr>
                <w:rFonts w:ascii="Calibri" w:hAnsi="Calibri" w:cs="Calibri"/>
                <w:b/>
                <w:bCs/>
                <w:color w:val="000000"/>
                <w:sz w:val="16"/>
                <w:szCs w:val="16"/>
              </w:rPr>
            </w:pPr>
            <w:r>
              <w:rPr>
                <w:rFonts w:ascii="Calibri" w:hAnsi="Calibri" w:cs="Calibri"/>
                <w:b/>
                <w:bCs/>
                <w:color w:val="000000"/>
                <w:sz w:val="16"/>
                <w:szCs w:val="16"/>
              </w:rPr>
              <w:t>0</w:t>
            </w:r>
          </w:p>
        </w:tc>
        <w:tc>
          <w:tcPr>
            <w:tcW w:w="452" w:type="pct"/>
            <w:tcBorders>
              <w:top w:val="nil"/>
              <w:left w:val="nil"/>
              <w:bottom w:val="single" w:sz="8" w:space="0" w:color="auto"/>
              <w:right w:val="nil"/>
            </w:tcBorders>
            <w:shd w:val="clear" w:color="auto" w:fill="auto"/>
            <w:noWrap/>
            <w:vAlign w:val="center"/>
          </w:tcPr>
          <w:p w14:paraId="28555AF7" w14:textId="68A27EEF" w:rsidR="00512A77" w:rsidRDefault="00512A77" w:rsidP="00621A14">
            <w:pPr>
              <w:spacing w:after="120"/>
              <w:jc w:val="right"/>
              <w:rPr>
                <w:rFonts w:ascii="Calibri" w:hAnsi="Calibri" w:cs="Calibri"/>
                <w:b/>
                <w:bCs/>
                <w:color w:val="000000"/>
                <w:sz w:val="16"/>
                <w:szCs w:val="16"/>
              </w:rPr>
            </w:pPr>
            <w:r>
              <w:rPr>
                <w:rFonts w:ascii="Calibri" w:hAnsi="Calibri" w:cs="Calibri"/>
                <w:b/>
                <w:bCs/>
                <w:color w:val="000000"/>
                <w:sz w:val="16"/>
                <w:szCs w:val="16"/>
              </w:rPr>
              <w:t>(917.230)</w:t>
            </w:r>
          </w:p>
        </w:tc>
        <w:tc>
          <w:tcPr>
            <w:tcW w:w="765" w:type="pct"/>
            <w:tcBorders>
              <w:top w:val="nil"/>
              <w:left w:val="nil"/>
              <w:bottom w:val="single" w:sz="8" w:space="0" w:color="auto"/>
              <w:right w:val="nil"/>
            </w:tcBorders>
          </w:tcPr>
          <w:p w14:paraId="37B7AAF0" w14:textId="77777777" w:rsidR="00512A77" w:rsidRDefault="00512A77" w:rsidP="00621A14">
            <w:pPr>
              <w:spacing w:after="120"/>
              <w:jc w:val="right"/>
              <w:rPr>
                <w:rFonts w:ascii="Calibri" w:hAnsi="Calibri" w:cs="Calibri"/>
                <w:b/>
                <w:bCs/>
                <w:color w:val="000000"/>
                <w:sz w:val="16"/>
                <w:szCs w:val="16"/>
              </w:rPr>
            </w:pPr>
          </w:p>
        </w:tc>
        <w:tc>
          <w:tcPr>
            <w:tcW w:w="644" w:type="pct"/>
            <w:tcBorders>
              <w:top w:val="nil"/>
              <w:left w:val="nil"/>
              <w:bottom w:val="single" w:sz="8" w:space="0" w:color="auto"/>
              <w:right w:val="nil"/>
            </w:tcBorders>
            <w:shd w:val="clear" w:color="auto" w:fill="auto"/>
            <w:noWrap/>
            <w:vAlign w:val="center"/>
          </w:tcPr>
          <w:p w14:paraId="6D8F6FF3" w14:textId="01A1D010" w:rsidR="00512A77" w:rsidRDefault="00512A77" w:rsidP="00621A14">
            <w:pPr>
              <w:spacing w:after="120"/>
              <w:jc w:val="right"/>
              <w:rPr>
                <w:rFonts w:ascii="Calibri" w:hAnsi="Calibri" w:cs="Calibri"/>
                <w:b/>
                <w:bCs/>
                <w:color w:val="000000"/>
                <w:sz w:val="16"/>
                <w:szCs w:val="16"/>
              </w:rPr>
            </w:pPr>
            <w:r>
              <w:rPr>
                <w:rFonts w:ascii="Calibri" w:hAnsi="Calibri" w:cs="Calibri"/>
                <w:b/>
                <w:bCs/>
                <w:color w:val="000000"/>
                <w:sz w:val="16"/>
                <w:szCs w:val="16"/>
              </w:rPr>
              <w:t>(3.904.490)</w:t>
            </w:r>
          </w:p>
        </w:tc>
        <w:tc>
          <w:tcPr>
            <w:tcW w:w="544" w:type="pct"/>
            <w:tcBorders>
              <w:top w:val="nil"/>
              <w:left w:val="nil"/>
              <w:bottom w:val="single" w:sz="8" w:space="0" w:color="auto"/>
              <w:right w:val="nil"/>
            </w:tcBorders>
            <w:shd w:val="clear" w:color="auto" w:fill="auto"/>
            <w:noWrap/>
            <w:vAlign w:val="center"/>
          </w:tcPr>
          <w:p w14:paraId="32C69C4A" w14:textId="5D383E93" w:rsidR="00512A77" w:rsidRDefault="00BD19D2" w:rsidP="00621A14">
            <w:pPr>
              <w:spacing w:after="120"/>
              <w:jc w:val="right"/>
              <w:rPr>
                <w:rFonts w:ascii="Calibri" w:hAnsi="Calibri" w:cs="Calibri"/>
                <w:b/>
                <w:bCs/>
                <w:color w:val="000000"/>
                <w:sz w:val="16"/>
                <w:szCs w:val="16"/>
              </w:rPr>
            </w:pPr>
            <w:r>
              <w:rPr>
                <w:rFonts w:ascii="Calibri" w:hAnsi="Calibri" w:cs="Calibri"/>
                <w:b/>
                <w:bCs/>
                <w:color w:val="000000"/>
                <w:sz w:val="16"/>
                <w:szCs w:val="16"/>
              </w:rPr>
              <w:t>602.041</w:t>
            </w:r>
          </w:p>
        </w:tc>
        <w:tc>
          <w:tcPr>
            <w:tcW w:w="477" w:type="pct"/>
            <w:tcBorders>
              <w:top w:val="nil"/>
              <w:left w:val="nil"/>
              <w:bottom w:val="single" w:sz="8" w:space="0" w:color="auto"/>
              <w:right w:val="nil"/>
            </w:tcBorders>
            <w:shd w:val="clear" w:color="auto" w:fill="auto"/>
            <w:noWrap/>
            <w:vAlign w:val="center"/>
          </w:tcPr>
          <w:p w14:paraId="086682A7" w14:textId="03ACB5B6" w:rsidR="00512A77" w:rsidRDefault="00512A77" w:rsidP="00621A14">
            <w:pPr>
              <w:spacing w:after="120"/>
              <w:jc w:val="right"/>
              <w:rPr>
                <w:rFonts w:ascii="Calibri" w:hAnsi="Calibri" w:cs="Calibri"/>
                <w:b/>
                <w:bCs/>
                <w:color w:val="000000"/>
                <w:sz w:val="16"/>
                <w:szCs w:val="16"/>
              </w:rPr>
            </w:pPr>
            <w:r>
              <w:rPr>
                <w:rFonts w:ascii="Calibri" w:hAnsi="Calibri" w:cs="Calibri"/>
                <w:b/>
                <w:bCs/>
                <w:color w:val="000000"/>
                <w:sz w:val="16"/>
                <w:szCs w:val="16"/>
              </w:rPr>
              <w:t>(4.2</w:t>
            </w:r>
            <w:r w:rsidR="00BD19D2">
              <w:rPr>
                <w:rFonts w:ascii="Calibri" w:hAnsi="Calibri" w:cs="Calibri"/>
                <w:b/>
                <w:bCs/>
                <w:color w:val="000000"/>
                <w:sz w:val="16"/>
                <w:szCs w:val="16"/>
              </w:rPr>
              <w:t>19.679</w:t>
            </w:r>
            <w:r>
              <w:rPr>
                <w:rFonts w:ascii="Calibri" w:hAnsi="Calibri" w:cs="Calibri"/>
                <w:b/>
                <w:bCs/>
                <w:color w:val="000000"/>
                <w:sz w:val="16"/>
                <w:szCs w:val="16"/>
              </w:rPr>
              <w:t>)</w:t>
            </w:r>
          </w:p>
        </w:tc>
      </w:tr>
      <w:tr w:rsidR="00BD19D2" w14:paraId="64484661" w14:textId="77777777" w:rsidTr="00512A77">
        <w:trPr>
          <w:trHeight w:hRule="exact" w:val="227"/>
        </w:trPr>
        <w:tc>
          <w:tcPr>
            <w:tcW w:w="1664" w:type="pct"/>
            <w:tcBorders>
              <w:top w:val="nil"/>
              <w:left w:val="nil"/>
              <w:bottom w:val="single" w:sz="8" w:space="0" w:color="auto"/>
              <w:right w:val="nil"/>
            </w:tcBorders>
            <w:shd w:val="clear" w:color="auto" w:fill="auto"/>
            <w:noWrap/>
            <w:vAlign w:val="center"/>
          </w:tcPr>
          <w:p w14:paraId="6E7BD2BE" w14:textId="2D222B85" w:rsidR="00512A77" w:rsidRPr="00621A14" w:rsidRDefault="00512A77" w:rsidP="00621A14">
            <w:pPr>
              <w:spacing w:after="120"/>
              <w:rPr>
                <w:rFonts w:ascii="Calibri" w:hAnsi="Calibri" w:cs="Calibri"/>
                <w:color w:val="000000"/>
                <w:sz w:val="16"/>
                <w:szCs w:val="16"/>
              </w:rPr>
            </w:pPr>
            <w:r w:rsidRPr="00621A14">
              <w:rPr>
                <w:rFonts w:ascii="Calibri" w:hAnsi="Calibri" w:cs="Calibri"/>
                <w:color w:val="000000"/>
                <w:sz w:val="16"/>
                <w:szCs w:val="16"/>
              </w:rPr>
              <w:t>Juros a Transcorrer Circulante</w:t>
            </w:r>
          </w:p>
        </w:tc>
        <w:tc>
          <w:tcPr>
            <w:tcW w:w="454" w:type="pct"/>
            <w:tcBorders>
              <w:top w:val="nil"/>
              <w:left w:val="nil"/>
              <w:bottom w:val="single" w:sz="8" w:space="0" w:color="auto"/>
              <w:right w:val="nil"/>
            </w:tcBorders>
            <w:shd w:val="clear" w:color="auto" w:fill="auto"/>
            <w:noWrap/>
            <w:vAlign w:val="center"/>
          </w:tcPr>
          <w:p w14:paraId="1F50C553" w14:textId="3836A255" w:rsidR="00512A77" w:rsidRPr="00621A14" w:rsidRDefault="00512A77" w:rsidP="00621A14">
            <w:pPr>
              <w:spacing w:after="120"/>
              <w:jc w:val="right"/>
              <w:rPr>
                <w:rFonts w:ascii="Calibri" w:hAnsi="Calibri" w:cs="Calibri"/>
                <w:color w:val="000000"/>
                <w:sz w:val="16"/>
                <w:szCs w:val="16"/>
              </w:rPr>
            </w:pPr>
            <w:r w:rsidRPr="00621A14">
              <w:rPr>
                <w:rFonts w:ascii="Calibri" w:hAnsi="Calibri" w:cs="Calibri"/>
                <w:color w:val="000000"/>
                <w:sz w:val="16"/>
                <w:szCs w:val="16"/>
              </w:rPr>
              <w:t>0</w:t>
            </w:r>
          </w:p>
        </w:tc>
        <w:tc>
          <w:tcPr>
            <w:tcW w:w="452" w:type="pct"/>
            <w:tcBorders>
              <w:top w:val="nil"/>
              <w:left w:val="nil"/>
              <w:bottom w:val="single" w:sz="8" w:space="0" w:color="auto"/>
              <w:right w:val="nil"/>
            </w:tcBorders>
            <w:shd w:val="clear" w:color="auto" w:fill="auto"/>
            <w:noWrap/>
            <w:vAlign w:val="center"/>
          </w:tcPr>
          <w:p w14:paraId="78AED631" w14:textId="548515E7" w:rsidR="00512A77" w:rsidRPr="00621A14" w:rsidRDefault="00512A77" w:rsidP="00621A14">
            <w:pPr>
              <w:spacing w:after="120"/>
              <w:jc w:val="right"/>
              <w:rPr>
                <w:rFonts w:ascii="Calibri" w:hAnsi="Calibri" w:cs="Calibri"/>
                <w:color w:val="000000"/>
                <w:sz w:val="16"/>
                <w:szCs w:val="16"/>
              </w:rPr>
            </w:pPr>
            <w:r>
              <w:rPr>
                <w:rFonts w:ascii="Calibri" w:hAnsi="Calibri" w:cs="Calibri"/>
                <w:color w:val="000000"/>
                <w:sz w:val="16"/>
                <w:szCs w:val="16"/>
              </w:rPr>
              <w:t>(211.393)</w:t>
            </w:r>
          </w:p>
        </w:tc>
        <w:tc>
          <w:tcPr>
            <w:tcW w:w="765" w:type="pct"/>
            <w:tcBorders>
              <w:top w:val="nil"/>
              <w:left w:val="nil"/>
              <w:bottom w:val="single" w:sz="8" w:space="0" w:color="auto"/>
              <w:right w:val="nil"/>
            </w:tcBorders>
          </w:tcPr>
          <w:p w14:paraId="67473F08" w14:textId="77777777" w:rsidR="00512A77" w:rsidRDefault="00512A77" w:rsidP="00621A14">
            <w:pPr>
              <w:spacing w:after="120"/>
              <w:jc w:val="right"/>
              <w:rPr>
                <w:rFonts w:ascii="Calibri" w:hAnsi="Calibri" w:cs="Calibri"/>
                <w:color w:val="000000"/>
                <w:sz w:val="16"/>
                <w:szCs w:val="16"/>
              </w:rPr>
            </w:pPr>
          </w:p>
        </w:tc>
        <w:tc>
          <w:tcPr>
            <w:tcW w:w="644" w:type="pct"/>
            <w:tcBorders>
              <w:top w:val="nil"/>
              <w:left w:val="nil"/>
              <w:bottom w:val="single" w:sz="8" w:space="0" w:color="auto"/>
              <w:right w:val="nil"/>
            </w:tcBorders>
            <w:shd w:val="clear" w:color="auto" w:fill="auto"/>
            <w:noWrap/>
            <w:vAlign w:val="center"/>
          </w:tcPr>
          <w:p w14:paraId="665C1C38" w14:textId="1E6553C9" w:rsidR="00512A77" w:rsidRPr="00621A14" w:rsidRDefault="00512A77" w:rsidP="00621A14">
            <w:pPr>
              <w:spacing w:after="120"/>
              <w:jc w:val="right"/>
              <w:rPr>
                <w:rFonts w:ascii="Calibri" w:hAnsi="Calibri" w:cs="Calibri"/>
                <w:color w:val="000000"/>
                <w:sz w:val="16"/>
                <w:szCs w:val="16"/>
              </w:rPr>
            </w:pPr>
            <w:r>
              <w:rPr>
                <w:rFonts w:ascii="Calibri" w:hAnsi="Calibri" w:cs="Calibri"/>
                <w:color w:val="000000"/>
                <w:sz w:val="16"/>
                <w:szCs w:val="16"/>
              </w:rPr>
              <w:t>(1.424.</w:t>
            </w:r>
            <w:r w:rsidR="00BD19D2">
              <w:rPr>
                <w:rFonts w:ascii="Calibri" w:hAnsi="Calibri" w:cs="Calibri"/>
                <w:color w:val="000000"/>
                <w:sz w:val="16"/>
                <w:szCs w:val="16"/>
              </w:rPr>
              <w:t>039</w:t>
            </w:r>
            <w:r>
              <w:rPr>
                <w:rFonts w:ascii="Calibri" w:hAnsi="Calibri" w:cs="Calibri"/>
                <w:color w:val="000000"/>
                <w:sz w:val="16"/>
                <w:szCs w:val="16"/>
              </w:rPr>
              <w:t>)</w:t>
            </w:r>
          </w:p>
        </w:tc>
        <w:tc>
          <w:tcPr>
            <w:tcW w:w="544" w:type="pct"/>
            <w:tcBorders>
              <w:top w:val="nil"/>
              <w:left w:val="nil"/>
              <w:bottom w:val="single" w:sz="8" w:space="0" w:color="auto"/>
              <w:right w:val="nil"/>
            </w:tcBorders>
            <w:shd w:val="clear" w:color="auto" w:fill="auto"/>
            <w:noWrap/>
            <w:vAlign w:val="center"/>
          </w:tcPr>
          <w:p w14:paraId="76B38B73" w14:textId="4F75961B" w:rsidR="00512A77" w:rsidRPr="00621A14" w:rsidRDefault="00BD19D2" w:rsidP="00621A14">
            <w:pPr>
              <w:spacing w:after="120"/>
              <w:jc w:val="right"/>
              <w:rPr>
                <w:rFonts w:ascii="Calibri" w:hAnsi="Calibri" w:cs="Calibri"/>
                <w:color w:val="000000"/>
                <w:sz w:val="16"/>
                <w:szCs w:val="16"/>
              </w:rPr>
            </w:pPr>
            <w:r>
              <w:rPr>
                <w:rFonts w:ascii="Calibri" w:hAnsi="Calibri" w:cs="Calibri"/>
                <w:color w:val="000000"/>
                <w:sz w:val="16"/>
                <w:szCs w:val="16"/>
              </w:rPr>
              <w:t>602.041</w:t>
            </w:r>
          </w:p>
        </w:tc>
        <w:tc>
          <w:tcPr>
            <w:tcW w:w="477" w:type="pct"/>
            <w:tcBorders>
              <w:top w:val="nil"/>
              <w:left w:val="nil"/>
              <w:bottom w:val="single" w:sz="8" w:space="0" w:color="auto"/>
              <w:right w:val="nil"/>
            </w:tcBorders>
            <w:shd w:val="clear" w:color="auto" w:fill="auto"/>
            <w:noWrap/>
            <w:vAlign w:val="center"/>
          </w:tcPr>
          <w:p w14:paraId="60F9A553" w14:textId="34A796E4" w:rsidR="00512A77" w:rsidRPr="00621A14" w:rsidRDefault="00512A77" w:rsidP="00621A14">
            <w:pPr>
              <w:spacing w:after="120"/>
              <w:jc w:val="right"/>
              <w:rPr>
                <w:rFonts w:ascii="Calibri" w:hAnsi="Calibri" w:cs="Calibri"/>
                <w:color w:val="000000"/>
                <w:sz w:val="16"/>
                <w:szCs w:val="16"/>
              </w:rPr>
            </w:pPr>
            <w:r>
              <w:rPr>
                <w:rFonts w:ascii="Calibri" w:hAnsi="Calibri" w:cs="Calibri"/>
                <w:color w:val="000000"/>
                <w:sz w:val="16"/>
                <w:szCs w:val="16"/>
              </w:rPr>
              <w:t>(</w:t>
            </w:r>
            <w:r w:rsidR="00BD19D2">
              <w:rPr>
                <w:rFonts w:ascii="Calibri" w:hAnsi="Calibri" w:cs="Calibri"/>
                <w:color w:val="000000"/>
                <w:sz w:val="16"/>
                <w:szCs w:val="16"/>
              </w:rPr>
              <w:t>1.033.391</w:t>
            </w:r>
            <w:r>
              <w:rPr>
                <w:rFonts w:ascii="Calibri" w:hAnsi="Calibri" w:cs="Calibri"/>
                <w:color w:val="000000"/>
                <w:sz w:val="16"/>
                <w:szCs w:val="16"/>
              </w:rPr>
              <w:t>)</w:t>
            </w:r>
          </w:p>
        </w:tc>
      </w:tr>
      <w:tr w:rsidR="00BD19D2" w14:paraId="5FB38814" w14:textId="77777777" w:rsidTr="00512A77">
        <w:trPr>
          <w:trHeight w:hRule="exact" w:val="227"/>
        </w:trPr>
        <w:tc>
          <w:tcPr>
            <w:tcW w:w="1664" w:type="pct"/>
            <w:tcBorders>
              <w:top w:val="nil"/>
              <w:left w:val="nil"/>
              <w:bottom w:val="single" w:sz="8" w:space="0" w:color="auto"/>
              <w:right w:val="nil"/>
            </w:tcBorders>
            <w:shd w:val="clear" w:color="auto" w:fill="auto"/>
            <w:noWrap/>
            <w:vAlign w:val="center"/>
          </w:tcPr>
          <w:p w14:paraId="5B8B7EF6" w14:textId="3BC101A0" w:rsidR="00512A77" w:rsidRPr="00621A14" w:rsidRDefault="00512A77" w:rsidP="00621A14">
            <w:pPr>
              <w:spacing w:after="120"/>
              <w:rPr>
                <w:rFonts w:ascii="Calibri" w:hAnsi="Calibri" w:cs="Calibri"/>
                <w:color w:val="000000"/>
                <w:sz w:val="16"/>
                <w:szCs w:val="16"/>
              </w:rPr>
            </w:pPr>
            <w:r w:rsidRPr="00621A14">
              <w:rPr>
                <w:rFonts w:ascii="Calibri" w:hAnsi="Calibri" w:cs="Calibri"/>
                <w:color w:val="000000"/>
                <w:sz w:val="16"/>
                <w:szCs w:val="16"/>
              </w:rPr>
              <w:t>Juros a Transcorrer Não Circulante</w:t>
            </w:r>
          </w:p>
        </w:tc>
        <w:tc>
          <w:tcPr>
            <w:tcW w:w="454" w:type="pct"/>
            <w:tcBorders>
              <w:top w:val="nil"/>
              <w:left w:val="nil"/>
              <w:bottom w:val="single" w:sz="8" w:space="0" w:color="auto"/>
              <w:right w:val="nil"/>
            </w:tcBorders>
            <w:shd w:val="clear" w:color="auto" w:fill="auto"/>
            <w:noWrap/>
            <w:vAlign w:val="center"/>
          </w:tcPr>
          <w:p w14:paraId="119283BA" w14:textId="22FE6149" w:rsidR="00512A77" w:rsidRPr="00621A14" w:rsidRDefault="00512A77" w:rsidP="00621A14">
            <w:pPr>
              <w:spacing w:after="120"/>
              <w:jc w:val="right"/>
              <w:rPr>
                <w:rFonts w:ascii="Calibri" w:hAnsi="Calibri" w:cs="Calibri"/>
                <w:color w:val="000000"/>
                <w:sz w:val="16"/>
                <w:szCs w:val="16"/>
              </w:rPr>
            </w:pPr>
            <w:r w:rsidRPr="00621A14">
              <w:rPr>
                <w:rFonts w:ascii="Calibri" w:hAnsi="Calibri" w:cs="Calibri"/>
                <w:color w:val="000000"/>
                <w:sz w:val="16"/>
                <w:szCs w:val="16"/>
              </w:rPr>
              <w:t>0</w:t>
            </w:r>
          </w:p>
        </w:tc>
        <w:tc>
          <w:tcPr>
            <w:tcW w:w="452" w:type="pct"/>
            <w:tcBorders>
              <w:top w:val="nil"/>
              <w:left w:val="nil"/>
              <w:bottom w:val="single" w:sz="8" w:space="0" w:color="auto"/>
              <w:right w:val="nil"/>
            </w:tcBorders>
            <w:shd w:val="clear" w:color="auto" w:fill="auto"/>
            <w:noWrap/>
            <w:vAlign w:val="center"/>
          </w:tcPr>
          <w:p w14:paraId="3CD440AD" w14:textId="68CA0CE1" w:rsidR="00512A77" w:rsidRPr="00621A14" w:rsidRDefault="00512A77" w:rsidP="00621A14">
            <w:pPr>
              <w:spacing w:after="120"/>
              <w:jc w:val="right"/>
              <w:rPr>
                <w:rFonts w:ascii="Calibri" w:hAnsi="Calibri" w:cs="Calibri"/>
                <w:color w:val="000000"/>
                <w:sz w:val="16"/>
                <w:szCs w:val="16"/>
              </w:rPr>
            </w:pPr>
            <w:r>
              <w:rPr>
                <w:rFonts w:ascii="Calibri" w:hAnsi="Calibri" w:cs="Calibri"/>
                <w:color w:val="000000"/>
                <w:sz w:val="16"/>
                <w:szCs w:val="16"/>
              </w:rPr>
              <w:t>(705.837)</w:t>
            </w:r>
          </w:p>
        </w:tc>
        <w:tc>
          <w:tcPr>
            <w:tcW w:w="765" w:type="pct"/>
            <w:tcBorders>
              <w:top w:val="nil"/>
              <w:left w:val="nil"/>
              <w:bottom w:val="single" w:sz="8" w:space="0" w:color="auto"/>
              <w:right w:val="nil"/>
            </w:tcBorders>
          </w:tcPr>
          <w:p w14:paraId="3A8A1580" w14:textId="77777777" w:rsidR="00512A77" w:rsidRDefault="00512A77" w:rsidP="00621A14">
            <w:pPr>
              <w:spacing w:after="120"/>
              <w:jc w:val="right"/>
              <w:rPr>
                <w:rFonts w:ascii="Calibri" w:hAnsi="Calibri" w:cs="Calibri"/>
                <w:color w:val="000000"/>
                <w:sz w:val="16"/>
                <w:szCs w:val="16"/>
              </w:rPr>
            </w:pPr>
          </w:p>
        </w:tc>
        <w:tc>
          <w:tcPr>
            <w:tcW w:w="644" w:type="pct"/>
            <w:tcBorders>
              <w:top w:val="nil"/>
              <w:left w:val="nil"/>
              <w:bottom w:val="single" w:sz="8" w:space="0" w:color="auto"/>
              <w:right w:val="nil"/>
            </w:tcBorders>
            <w:shd w:val="clear" w:color="auto" w:fill="auto"/>
            <w:noWrap/>
            <w:vAlign w:val="center"/>
          </w:tcPr>
          <w:p w14:paraId="35C1F8FA" w14:textId="587DB73A" w:rsidR="00512A77" w:rsidRPr="00621A14" w:rsidRDefault="00512A77" w:rsidP="00621A14">
            <w:pPr>
              <w:spacing w:after="120"/>
              <w:jc w:val="right"/>
              <w:rPr>
                <w:rFonts w:ascii="Calibri" w:hAnsi="Calibri" w:cs="Calibri"/>
                <w:color w:val="000000"/>
                <w:sz w:val="16"/>
                <w:szCs w:val="16"/>
              </w:rPr>
            </w:pPr>
            <w:r>
              <w:rPr>
                <w:rFonts w:ascii="Calibri" w:hAnsi="Calibri" w:cs="Calibri"/>
                <w:color w:val="000000"/>
                <w:sz w:val="16"/>
                <w:szCs w:val="16"/>
              </w:rPr>
              <w:t>(2.</w:t>
            </w:r>
            <w:r w:rsidR="00BD19D2">
              <w:rPr>
                <w:rFonts w:ascii="Calibri" w:hAnsi="Calibri" w:cs="Calibri"/>
                <w:color w:val="000000"/>
                <w:sz w:val="16"/>
                <w:szCs w:val="16"/>
              </w:rPr>
              <w:t>480.451</w:t>
            </w:r>
            <w:r>
              <w:rPr>
                <w:rFonts w:ascii="Calibri" w:hAnsi="Calibri" w:cs="Calibri"/>
                <w:color w:val="000000"/>
                <w:sz w:val="16"/>
                <w:szCs w:val="16"/>
              </w:rPr>
              <w:t>)</w:t>
            </w:r>
          </w:p>
        </w:tc>
        <w:tc>
          <w:tcPr>
            <w:tcW w:w="544" w:type="pct"/>
            <w:tcBorders>
              <w:top w:val="nil"/>
              <w:left w:val="nil"/>
              <w:bottom w:val="single" w:sz="8" w:space="0" w:color="auto"/>
              <w:right w:val="nil"/>
            </w:tcBorders>
            <w:shd w:val="clear" w:color="auto" w:fill="auto"/>
            <w:noWrap/>
            <w:vAlign w:val="center"/>
          </w:tcPr>
          <w:p w14:paraId="6D795746" w14:textId="63346F07" w:rsidR="00512A77" w:rsidRPr="00621A14" w:rsidRDefault="00512A77" w:rsidP="00621A14">
            <w:pPr>
              <w:spacing w:after="120"/>
              <w:jc w:val="right"/>
              <w:rPr>
                <w:rFonts w:ascii="Calibri" w:hAnsi="Calibri" w:cs="Calibri"/>
                <w:color w:val="000000"/>
                <w:sz w:val="16"/>
                <w:szCs w:val="16"/>
              </w:rPr>
            </w:pPr>
            <w:r>
              <w:rPr>
                <w:rFonts w:ascii="Calibri" w:hAnsi="Calibri" w:cs="Calibri"/>
                <w:color w:val="000000"/>
                <w:sz w:val="16"/>
                <w:szCs w:val="16"/>
              </w:rPr>
              <w:t>0</w:t>
            </w:r>
          </w:p>
        </w:tc>
        <w:tc>
          <w:tcPr>
            <w:tcW w:w="477" w:type="pct"/>
            <w:tcBorders>
              <w:top w:val="nil"/>
              <w:left w:val="nil"/>
              <w:bottom w:val="single" w:sz="8" w:space="0" w:color="auto"/>
              <w:right w:val="nil"/>
            </w:tcBorders>
            <w:shd w:val="clear" w:color="auto" w:fill="auto"/>
            <w:noWrap/>
            <w:vAlign w:val="center"/>
          </w:tcPr>
          <w:p w14:paraId="63160B11" w14:textId="528B5AEA" w:rsidR="00512A77" w:rsidRPr="00621A14" w:rsidRDefault="00512A77" w:rsidP="00621A14">
            <w:pPr>
              <w:spacing w:after="120"/>
              <w:jc w:val="right"/>
              <w:rPr>
                <w:rFonts w:ascii="Calibri" w:hAnsi="Calibri" w:cs="Calibri"/>
                <w:color w:val="000000"/>
                <w:sz w:val="16"/>
                <w:szCs w:val="16"/>
              </w:rPr>
            </w:pPr>
            <w:r>
              <w:rPr>
                <w:rFonts w:ascii="Calibri" w:hAnsi="Calibri" w:cs="Calibri"/>
                <w:color w:val="000000"/>
                <w:sz w:val="16"/>
                <w:szCs w:val="16"/>
              </w:rPr>
              <w:t>(3.</w:t>
            </w:r>
            <w:r w:rsidR="00BD19D2">
              <w:rPr>
                <w:rFonts w:ascii="Calibri" w:hAnsi="Calibri" w:cs="Calibri"/>
                <w:color w:val="000000"/>
                <w:sz w:val="16"/>
                <w:szCs w:val="16"/>
              </w:rPr>
              <w:t>186</w:t>
            </w:r>
            <w:r>
              <w:rPr>
                <w:rFonts w:ascii="Calibri" w:hAnsi="Calibri" w:cs="Calibri"/>
                <w:color w:val="000000"/>
                <w:sz w:val="16"/>
                <w:szCs w:val="16"/>
              </w:rPr>
              <w:t>.</w:t>
            </w:r>
            <w:r w:rsidR="00BD19D2">
              <w:rPr>
                <w:rFonts w:ascii="Calibri" w:hAnsi="Calibri" w:cs="Calibri"/>
                <w:color w:val="000000"/>
                <w:sz w:val="16"/>
                <w:szCs w:val="16"/>
              </w:rPr>
              <w:t>28</w:t>
            </w:r>
            <w:r>
              <w:rPr>
                <w:rFonts w:ascii="Calibri" w:hAnsi="Calibri" w:cs="Calibri"/>
                <w:color w:val="000000"/>
                <w:sz w:val="16"/>
                <w:szCs w:val="16"/>
              </w:rPr>
              <w:t>8)</w:t>
            </w:r>
          </w:p>
        </w:tc>
      </w:tr>
      <w:tr w:rsidR="00BD19D2" w14:paraId="02B55AF3" w14:textId="77777777" w:rsidTr="00512A77">
        <w:trPr>
          <w:trHeight w:hRule="exact" w:val="227"/>
        </w:trPr>
        <w:tc>
          <w:tcPr>
            <w:tcW w:w="1664" w:type="pct"/>
            <w:tcBorders>
              <w:top w:val="nil"/>
              <w:left w:val="nil"/>
              <w:bottom w:val="single" w:sz="8" w:space="0" w:color="auto"/>
              <w:right w:val="nil"/>
            </w:tcBorders>
            <w:shd w:val="clear" w:color="auto" w:fill="auto"/>
            <w:noWrap/>
            <w:vAlign w:val="center"/>
          </w:tcPr>
          <w:p w14:paraId="0D5ECBDE" w14:textId="786C75DA" w:rsidR="00512A77" w:rsidRDefault="00512A77" w:rsidP="0063559F">
            <w:pPr>
              <w:spacing w:after="120"/>
              <w:rPr>
                <w:rFonts w:ascii="Calibri" w:hAnsi="Calibri" w:cs="Calibri"/>
                <w:b/>
                <w:bCs/>
                <w:color w:val="000000"/>
                <w:sz w:val="16"/>
                <w:szCs w:val="16"/>
              </w:rPr>
            </w:pPr>
            <w:r>
              <w:rPr>
                <w:rFonts w:ascii="Calibri" w:hAnsi="Calibri" w:cs="Calibri"/>
                <w:b/>
                <w:bCs/>
                <w:color w:val="000000"/>
                <w:sz w:val="16"/>
                <w:szCs w:val="16"/>
              </w:rPr>
              <w:t>Passivo de Arrendamento Líquido Circulante</w:t>
            </w:r>
          </w:p>
        </w:tc>
        <w:tc>
          <w:tcPr>
            <w:tcW w:w="454" w:type="pct"/>
            <w:tcBorders>
              <w:top w:val="nil"/>
              <w:left w:val="nil"/>
              <w:bottom w:val="single" w:sz="8" w:space="0" w:color="auto"/>
              <w:right w:val="nil"/>
            </w:tcBorders>
            <w:shd w:val="clear" w:color="auto" w:fill="auto"/>
            <w:noWrap/>
            <w:vAlign w:val="center"/>
          </w:tcPr>
          <w:p w14:paraId="08BFB2EF" w14:textId="73F226B3" w:rsidR="00512A77" w:rsidRDefault="00512A77" w:rsidP="0063559F">
            <w:pPr>
              <w:spacing w:after="120"/>
              <w:jc w:val="right"/>
              <w:rPr>
                <w:rFonts w:ascii="Calibri" w:hAnsi="Calibri" w:cs="Calibri"/>
                <w:b/>
                <w:bCs/>
                <w:color w:val="000000"/>
                <w:sz w:val="16"/>
                <w:szCs w:val="16"/>
              </w:rPr>
            </w:pPr>
            <w:r>
              <w:rPr>
                <w:rFonts w:ascii="Calibri" w:hAnsi="Calibri" w:cs="Calibri"/>
                <w:b/>
                <w:bCs/>
                <w:color w:val="000000"/>
                <w:sz w:val="16"/>
                <w:szCs w:val="16"/>
              </w:rPr>
              <w:t>4.721.400</w:t>
            </w:r>
          </w:p>
        </w:tc>
        <w:tc>
          <w:tcPr>
            <w:tcW w:w="452" w:type="pct"/>
            <w:tcBorders>
              <w:top w:val="nil"/>
              <w:left w:val="nil"/>
              <w:bottom w:val="single" w:sz="8" w:space="0" w:color="auto"/>
              <w:right w:val="nil"/>
            </w:tcBorders>
            <w:shd w:val="clear" w:color="auto" w:fill="auto"/>
            <w:noWrap/>
            <w:vAlign w:val="center"/>
          </w:tcPr>
          <w:p w14:paraId="3D401F8A" w14:textId="77777777" w:rsidR="00512A77" w:rsidRDefault="00512A77" w:rsidP="0063559F">
            <w:pPr>
              <w:spacing w:after="120"/>
              <w:jc w:val="right"/>
              <w:rPr>
                <w:rFonts w:ascii="Calibri" w:hAnsi="Calibri" w:cs="Calibri"/>
                <w:b/>
                <w:bCs/>
                <w:color w:val="000000"/>
                <w:sz w:val="16"/>
                <w:szCs w:val="16"/>
              </w:rPr>
            </w:pPr>
          </w:p>
        </w:tc>
        <w:tc>
          <w:tcPr>
            <w:tcW w:w="765" w:type="pct"/>
            <w:tcBorders>
              <w:top w:val="nil"/>
              <w:left w:val="nil"/>
              <w:bottom w:val="single" w:sz="8" w:space="0" w:color="auto"/>
              <w:right w:val="nil"/>
            </w:tcBorders>
          </w:tcPr>
          <w:p w14:paraId="4BA9EB53" w14:textId="77777777" w:rsidR="00512A77" w:rsidRDefault="00512A77" w:rsidP="0063559F">
            <w:pPr>
              <w:spacing w:after="120"/>
              <w:jc w:val="right"/>
              <w:rPr>
                <w:rFonts w:ascii="Calibri" w:hAnsi="Calibri" w:cs="Calibri"/>
                <w:b/>
                <w:bCs/>
                <w:color w:val="000000"/>
                <w:sz w:val="16"/>
                <w:szCs w:val="16"/>
              </w:rPr>
            </w:pPr>
          </w:p>
        </w:tc>
        <w:tc>
          <w:tcPr>
            <w:tcW w:w="644" w:type="pct"/>
            <w:tcBorders>
              <w:top w:val="nil"/>
              <w:left w:val="nil"/>
              <w:bottom w:val="single" w:sz="8" w:space="0" w:color="auto"/>
              <w:right w:val="nil"/>
            </w:tcBorders>
            <w:shd w:val="clear" w:color="auto" w:fill="auto"/>
            <w:noWrap/>
            <w:vAlign w:val="center"/>
          </w:tcPr>
          <w:p w14:paraId="6006CB1F" w14:textId="5E67B57A" w:rsidR="00512A77" w:rsidRDefault="00512A77" w:rsidP="0063559F">
            <w:pPr>
              <w:spacing w:after="120"/>
              <w:jc w:val="right"/>
              <w:rPr>
                <w:rFonts w:ascii="Calibri" w:hAnsi="Calibri" w:cs="Calibri"/>
                <w:b/>
                <w:bCs/>
                <w:color w:val="000000"/>
                <w:sz w:val="16"/>
                <w:szCs w:val="16"/>
              </w:rPr>
            </w:pPr>
          </w:p>
        </w:tc>
        <w:tc>
          <w:tcPr>
            <w:tcW w:w="544" w:type="pct"/>
            <w:tcBorders>
              <w:top w:val="nil"/>
              <w:left w:val="nil"/>
              <w:bottom w:val="single" w:sz="8" w:space="0" w:color="auto"/>
              <w:right w:val="nil"/>
            </w:tcBorders>
            <w:shd w:val="clear" w:color="auto" w:fill="auto"/>
            <w:noWrap/>
            <w:vAlign w:val="center"/>
          </w:tcPr>
          <w:p w14:paraId="7FAB43DE" w14:textId="77777777" w:rsidR="00512A77" w:rsidRDefault="00512A77" w:rsidP="0063559F">
            <w:pPr>
              <w:spacing w:after="120"/>
              <w:jc w:val="right"/>
              <w:rPr>
                <w:rFonts w:ascii="Calibri" w:hAnsi="Calibri" w:cs="Calibri"/>
                <w:b/>
                <w:bCs/>
                <w:color w:val="000000"/>
                <w:sz w:val="16"/>
                <w:szCs w:val="16"/>
              </w:rPr>
            </w:pPr>
          </w:p>
        </w:tc>
        <w:tc>
          <w:tcPr>
            <w:tcW w:w="477" w:type="pct"/>
            <w:tcBorders>
              <w:top w:val="nil"/>
              <w:left w:val="nil"/>
              <w:bottom w:val="single" w:sz="8" w:space="0" w:color="auto"/>
              <w:right w:val="nil"/>
            </w:tcBorders>
            <w:shd w:val="clear" w:color="auto" w:fill="auto"/>
            <w:noWrap/>
            <w:vAlign w:val="center"/>
          </w:tcPr>
          <w:p w14:paraId="68579328" w14:textId="05A95E4A" w:rsidR="00512A77" w:rsidRDefault="00BD19D2" w:rsidP="0063559F">
            <w:pPr>
              <w:spacing w:after="120"/>
              <w:jc w:val="right"/>
              <w:rPr>
                <w:rFonts w:ascii="Calibri" w:hAnsi="Calibri" w:cs="Calibri"/>
                <w:b/>
                <w:bCs/>
                <w:color w:val="000000"/>
                <w:sz w:val="16"/>
                <w:szCs w:val="16"/>
              </w:rPr>
            </w:pPr>
            <w:r>
              <w:rPr>
                <w:rFonts w:ascii="Calibri" w:hAnsi="Calibri" w:cs="Calibri"/>
                <w:b/>
                <w:bCs/>
                <w:color w:val="000000"/>
                <w:sz w:val="16"/>
                <w:szCs w:val="16"/>
              </w:rPr>
              <w:t>5</w:t>
            </w:r>
            <w:r w:rsidR="00512A77">
              <w:rPr>
                <w:rFonts w:ascii="Calibri" w:hAnsi="Calibri" w:cs="Calibri"/>
                <w:b/>
                <w:bCs/>
                <w:color w:val="000000"/>
                <w:sz w:val="16"/>
                <w:szCs w:val="16"/>
              </w:rPr>
              <w:t>.</w:t>
            </w:r>
            <w:r>
              <w:rPr>
                <w:rFonts w:ascii="Calibri" w:hAnsi="Calibri" w:cs="Calibri"/>
                <w:b/>
                <w:bCs/>
                <w:color w:val="000000"/>
                <w:sz w:val="16"/>
                <w:szCs w:val="16"/>
              </w:rPr>
              <w:t>839</w:t>
            </w:r>
            <w:r w:rsidR="00512A77">
              <w:rPr>
                <w:rFonts w:ascii="Calibri" w:hAnsi="Calibri" w:cs="Calibri"/>
                <w:b/>
                <w:bCs/>
                <w:color w:val="000000"/>
                <w:sz w:val="16"/>
                <w:szCs w:val="16"/>
              </w:rPr>
              <w:t>.</w:t>
            </w:r>
            <w:r>
              <w:rPr>
                <w:rFonts w:ascii="Calibri" w:hAnsi="Calibri" w:cs="Calibri"/>
                <w:b/>
                <w:bCs/>
                <w:color w:val="000000"/>
                <w:sz w:val="16"/>
                <w:szCs w:val="16"/>
              </w:rPr>
              <w:t>163</w:t>
            </w:r>
          </w:p>
        </w:tc>
      </w:tr>
      <w:tr w:rsidR="00BD19D2" w14:paraId="3FB7FAC8" w14:textId="77777777" w:rsidTr="00512A77">
        <w:trPr>
          <w:trHeight w:hRule="exact" w:val="227"/>
        </w:trPr>
        <w:tc>
          <w:tcPr>
            <w:tcW w:w="1664" w:type="pct"/>
            <w:tcBorders>
              <w:top w:val="nil"/>
              <w:left w:val="nil"/>
              <w:bottom w:val="single" w:sz="8" w:space="0" w:color="auto"/>
              <w:right w:val="nil"/>
            </w:tcBorders>
            <w:shd w:val="clear" w:color="auto" w:fill="auto"/>
            <w:noWrap/>
            <w:vAlign w:val="center"/>
            <w:hideMark/>
          </w:tcPr>
          <w:p w14:paraId="55AE476A" w14:textId="0AF62738" w:rsidR="00512A77" w:rsidRDefault="00512A77" w:rsidP="0063559F">
            <w:pPr>
              <w:spacing w:after="120"/>
              <w:rPr>
                <w:rFonts w:ascii="Calibri" w:hAnsi="Calibri" w:cs="Calibri"/>
                <w:b/>
                <w:bCs/>
                <w:color w:val="000000"/>
                <w:sz w:val="16"/>
                <w:szCs w:val="16"/>
              </w:rPr>
            </w:pPr>
            <w:r>
              <w:rPr>
                <w:rFonts w:ascii="Calibri" w:hAnsi="Calibri" w:cs="Calibri"/>
                <w:b/>
                <w:bCs/>
                <w:color w:val="000000"/>
                <w:sz w:val="16"/>
                <w:szCs w:val="16"/>
              </w:rPr>
              <w:t>Passivo de Arrendamento Líquido Não Circulante</w:t>
            </w:r>
          </w:p>
        </w:tc>
        <w:tc>
          <w:tcPr>
            <w:tcW w:w="454" w:type="pct"/>
            <w:tcBorders>
              <w:top w:val="nil"/>
              <w:left w:val="nil"/>
              <w:bottom w:val="single" w:sz="8" w:space="0" w:color="auto"/>
              <w:right w:val="nil"/>
            </w:tcBorders>
            <w:shd w:val="clear" w:color="auto" w:fill="auto"/>
            <w:noWrap/>
            <w:vAlign w:val="center"/>
            <w:hideMark/>
          </w:tcPr>
          <w:p w14:paraId="19F69D87" w14:textId="027A6206" w:rsidR="00512A77" w:rsidRDefault="00512A77" w:rsidP="0063559F">
            <w:pPr>
              <w:spacing w:after="120"/>
              <w:jc w:val="right"/>
              <w:rPr>
                <w:rFonts w:ascii="Calibri" w:hAnsi="Calibri" w:cs="Calibri"/>
                <w:b/>
                <w:bCs/>
                <w:color w:val="000000"/>
                <w:sz w:val="16"/>
                <w:szCs w:val="16"/>
              </w:rPr>
            </w:pPr>
            <w:r>
              <w:rPr>
                <w:rFonts w:ascii="Calibri" w:hAnsi="Calibri" w:cs="Calibri"/>
                <w:b/>
                <w:bCs/>
                <w:color w:val="000000"/>
                <w:sz w:val="16"/>
                <w:szCs w:val="16"/>
              </w:rPr>
              <w:t>16.949.900</w:t>
            </w:r>
          </w:p>
        </w:tc>
        <w:tc>
          <w:tcPr>
            <w:tcW w:w="452" w:type="pct"/>
            <w:tcBorders>
              <w:top w:val="nil"/>
              <w:left w:val="nil"/>
              <w:bottom w:val="single" w:sz="8" w:space="0" w:color="auto"/>
              <w:right w:val="nil"/>
            </w:tcBorders>
            <w:shd w:val="clear" w:color="auto" w:fill="auto"/>
            <w:vAlign w:val="center"/>
            <w:hideMark/>
          </w:tcPr>
          <w:p w14:paraId="25060CBA" w14:textId="77777777" w:rsidR="00512A77" w:rsidRDefault="00512A77" w:rsidP="0063559F">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765" w:type="pct"/>
            <w:tcBorders>
              <w:top w:val="nil"/>
              <w:left w:val="nil"/>
              <w:bottom w:val="single" w:sz="8" w:space="0" w:color="auto"/>
              <w:right w:val="nil"/>
            </w:tcBorders>
          </w:tcPr>
          <w:p w14:paraId="677F4325" w14:textId="77777777" w:rsidR="00512A77" w:rsidRDefault="00512A77" w:rsidP="0063559F">
            <w:pPr>
              <w:spacing w:after="120"/>
              <w:jc w:val="right"/>
              <w:rPr>
                <w:rFonts w:ascii="Calibri" w:hAnsi="Calibri" w:cs="Calibri"/>
                <w:b/>
                <w:bCs/>
                <w:color w:val="000000"/>
                <w:sz w:val="16"/>
                <w:szCs w:val="16"/>
              </w:rPr>
            </w:pPr>
          </w:p>
        </w:tc>
        <w:tc>
          <w:tcPr>
            <w:tcW w:w="644" w:type="pct"/>
            <w:tcBorders>
              <w:top w:val="nil"/>
              <w:left w:val="nil"/>
              <w:bottom w:val="single" w:sz="8" w:space="0" w:color="auto"/>
              <w:right w:val="nil"/>
            </w:tcBorders>
            <w:shd w:val="clear" w:color="auto" w:fill="auto"/>
            <w:noWrap/>
            <w:vAlign w:val="center"/>
            <w:hideMark/>
          </w:tcPr>
          <w:p w14:paraId="7422F663" w14:textId="50B5BF78" w:rsidR="00512A77" w:rsidRDefault="00512A77" w:rsidP="0063559F">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544" w:type="pct"/>
            <w:tcBorders>
              <w:top w:val="nil"/>
              <w:left w:val="nil"/>
              <w:bottom w:val="single" w:sz="8" w:space="0" w:color="auto"/>
              <w:right w:val="nil"/>
            </w:tcBorders>
            <w:shd w:val="clear" w:color="auto" w:fill="auto"/>
            <w:noWrap/>
            <w:vAlign w:val="center"/>
            <w:hideMark/>
          </w:tcPr>
          <w:p w14:paraId="7C53245B" w14:textId="77777777" w:rsidR="00512A77" w:rsidRDefault="00512A77" w:rsidP="0063559F">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477" w:type="pct"/>
            <w:tcBorders>
              <w:top w:val="nil"/>
              <w:left w:val="nil"/>
              <w:bottom w:val="single" w:sz="8" w:space="0" w:color="auto"/>
              <w:right w:val="nil"/>
            </w:tcBorders>
            <w:shd w:val="clear" w:color="auto" w:fill="auto"/>
            <w:noWrap/>
            <w:vAlign w:val="center"/>
            <w:hideMark/>
          </w:tcPr>
          <w:p w14:paraId="1CA6A295" w14:textId="799700AC" w:rsidR="00512A77" w:rsidRDefault="00512A77" w:rsidP="0063559F">
            <w:pPr>
              <w:spacing w:after="120"/>
              <w:jc w:val="right"/>
              <w:rPr>
                <w:rFonts w:ascii="Calibri" w:hAnsi="Calibri" w:cs="Calibri"/>
                <w:b/>
                <w:bCs/>
                <w:color w:val="000000"/>
                <w:sz w:val="16"/>
                <w:szCs w:val="16"/>
              </w:rPr>
            </w:pPr>
            <w:r>
              <w:rPr>
                <w:rFonts w:ascii="Calibri" w:hAnsi="Calibri" w:cs="Calibri"/>
                <w:b/>
                <w:bCs/>
                <w:color w:val="000000"/>
                <w:sz w:val="16"/>
                <w:szCs w:val="16"/>
              </w:rPr>
              <w:t>1</w:t>
            </w:r>
            <w:r w:rsidR="00BD19D2">
              <w:rPr>
                <w:rFonts w:ascii="Calibri" w:hAnsi="Calibri" w:cs="Calibri"/>
                <w:b/>
                <w:bCs/>
                <w:color w:val="000000"/>
                <w:sz w:val="16"/>
                <w:szCs w:val="16"/>
              </w:rPr>
              <w:t>2</w:t>
            </w:r>
            <w:r>
              <w:rPr>
                <w:rFonts w:ascii="Calibri" w:hAnsi="Calibri" w:cs="Calibri"/>
                <w:b/>
                <w:bCs/>
                <w:color w:val="000000"/>
                <w:sz w:val="16"/>
                <w:szCs w:val="16"/>
              </w:rPr>
              <w:t>.</w:t>
            </w:r>
            <w:r w:rsidR="00BD19D2">
              <w:rPr>
                <w:rFonts w:ascii="Calibri" w:hAnsi="Calibri" w:cs="Calibri"/>
                <w:b/>
                <w:bCs/>
                <w:color w:val="000000"/>
                <w:sz w:val="16"/>
                <w:szCs w:val="16"/>
              </w:rPr>
              <w:t>492</w:t>
            </w:r>
            <w:r>
              <w:rPr>
                <w:rFonts w:ascii="Calibri" w:hAnsi="Calibri" w:cs="Calibri"/>
                <w:b/>
                <w:bCs/>
                <w:color w:val="000000"/>
                <w:sz w:val="16"/>
                <w:szCs w:val="16"/>
              </w:rPr>
              <w:t>.2</w:t>
            </w:r>
            <w:r w:rsidR="00BD19D2">
              <w:rPr>
                <w:rFonts w:ascii="Calibri" w:hAnsi="Calibri" w:cs="Calibri"/>
                <w:b/>
                <w:bCs/>
                <w:color w:val="000000"/>
                <w:sz w:val="16"/>
                <w:szCs w:val="16"/>
              </w:rPr>
              <w:t>95</w:t>
            </w:r>
          </w:p>
        </w:tc>
      </w:tr>
      <w:tr w:rsidR="00BD19D2" w14:paraId="77B77A48" w14:textId="77777777" w:rsidTr="00512A77">
        <w:trPr>
          <w:trHeight w:hRule="exact" w:val="227"/>
        </w:trPr>
        <w:tc>
          <w:tcPr>
            <w:tcW w:w="1664" w:type="pct"/>
            <w:tcBorders>
              <w:top w:val="nil"/>
              <w:left w:val="nil"/>
              <w:bottom w:val="single" w:sz="8" w:space="0" w:color="auto"/>
              <w:right w:val="nil"/>
            </w:tcBorders>
            <w:shd w:val="clear" w:color="auto" w:fill="auto"/>
            <w:noWrap/>
            <w:vAlign w:val="center"/>
            <w:hideMark/>
          </w:tcPr>
          <w:p w14:paraId="101C9D88" w14:textId="5E47DC77" w:rsidR="00512A77" w:rsidRDefault="00512A77" w:rsidP="0063559F">
            <w:pPr>
              <w:spacing w:after="120"/>
              <w:rPr>
                <w:rFonts w:ascii="Calibri" w:hAnsi="Calibri" w:cs="Calibri"/>
                <w:b/>
                <w:bCs/>
                <w:color w:val="000000"/>
                <w:sz w:val="16"/>
                <w:szCs w:val="16"/>
              </w:rPr>
            </w:pPr>
            <w:r>
              <w:rPr>
                <w:rFonts w:ascii="Calibri" w:hAnsi="Calibri" w:cs="Calibri"/>
                <w:b/>
                <w:bCs/>
                <w:color w:val="000000"/>
                <w:sz w:val="16"/>
                <w:szCs w:val="16"/>
              </w:rPr>
              <w:t>PASSIVO DE ARRENDAMENTO LÍQUIDO TOTAL</w:t>
            </w:r>
          </w:p>
        </w:tc>
        <w:tc>
          <w:tcPr>
            <w:tcW w:w="454" w:type="pct"/>
            <w:tcBorders>
              <w:top w:val="nil"/>
              <w:left w:val="nil"/>
              <w:bottom w:val="single" w:sz="8" w:space="0" w:color="auto"/>
              <w:right w:val="nil"/>
            </w:tcBorders>
            <w:shd w:val="clear" w:color="auto" w:fill="auto"/>
            <w:noWrap/>
            <w:vAlign w:val="center"/>
            <w:hideMark/>
          </w:tcPr>
          <w:p w14:paraId="34D419D6" w14:textId="4A271C28" w:rsidR="00512A77" w:rsidRDefault="00512A77" w:rsidP="0063559F">
            <w:pPr>
              <w:spacing w:after="120"/>
              <w:jc w:val="right"/>
              <w:rPr>
                <w:rFonts w:ascii="Calibri" w:hAnsi="Calibri" w:cs="Calibri"/>
                <w:b/>
                <w:bCs/>
                <w:color w:val="000000"/>
                <w:sz w:val="16"/>
                <w:szCs w:val="16"/>
              </w:rPr>
            </w:pPr>
            <w:r>
              <w:rPr>
                <w:rFonts w:ascii="Calibri" w:hAnsi="Calibri" w:cs="Calibri"/>
                <w:b/>
                <w:bCs/>
                <w:color w:val="000000"/>
                <w:sz w:val="16"/>
                <w:szCs w:val="16"/>
              </w:rPr>
              <w:t>21.671.300</w:t>
            </w:r>
          </w:p>
        </w:tc>
        <w:tc>
          <w:tcPr>
            <w:tcW w:w="452" w:type="pct"/>
            <w:tcBorders>
              <w:top w:val="nil"/>
              <w:left w:val="nil"/>
              <w:bottom w:val="single" w:sz="8" w:space="0" w:color="auto"/>
              <w:right w:val="nil"/>
            </w:tcBorders>
            <w:shd w:val="clear" w:color="auto" w:fill="auto"/>
            <w:vAlign w:val="center"/>
            <w:hideMark/>
          </w:tcPr>
          <w:p w14:paraId="47EFFFC2" w14:textId="0B3B8960" w:rsidR="00512A77" w:rsidRDefault="00512A77" w:rsidP="0063559F">
            <w:pPr>
              <w:spacing w:after="120"/>
              <w:jc w:val="right"/>
              <w:rPr>
                <w:rFonts w:ascii="Calibri" w:hAnsi="Calibri" w:cs="Calibri"/>
                <w:b/>
                <w:bCs/>
                <w:color w:val="000000"/>
                <w:sz w:val="16"/>
                <w:szCs w:val="16"/>
              </w:rPr>
            </w:pPr>
            <w:r>
              <w:rPr>
                <w:rFonts w:ascii="Calibri" w:hAnsi="Calibri" w:cs="Calibri"/>
                <w:b/>
                <w:bCs/>
                <w:color w:val="000000"/>
                <w:sz w:val="16"/>
                <w:szCs w:val="16"/>
              </w:rPr>
              <w:t>(176.699) </w:t>
            </w:r>
          </w:p>
        </w:tc>
        <w:tc>
          <w:tcPr>
            <w:tcW w:w="765" w:type="pct"/>
            <w:tcBorders>
              <w:top w:val="nil"/>
              <w:left w:val="nil"/>
              <w:bottom w:val="single" w:sz="8" w:space="0" w:color="auto"/>
              <w:right w:val="nil"/>
            </w:tcBorders>
          </w:tcPr>
          <w:p w14:paraId="6487F564" w14:textId="1B44C4F9" w:rsidR="00512A77" w:rsidRDefault="00512A77" w:rsidP="0063559F">
            <w:pPr>
              <w:spacing w:after="120"/>
              <w:jc w:val="right"/>
              <w:rPr>
                <w:rFonts w:ascii="Calibri" w:hAnsi="Calibri" w:cs="Calibri"/>
                <w:b/>
                <w:bCs/>
                <w:color w:val="000000"/>
                <w:sz w:val="16"/>
                <w:szCs w:val="16"/>
              </w:rPr>
            </w:pPr>
            <w:r>
              <w:rPr>
                <w:rFonts w:ascii="Calibri" w:hAnsi="Calibri" w:cs="Calibri"/>
                <w:b/>
                <w:bCs/>
                <w:color w:val="000000"/>
                <w:sz w:val="16"/>
                <w:szCs w:val="16"/>
              </w:rPr>
              <w:t>5.401.137</w:t>
            </w:r>
          </w:p>
        </w:tc>
        <w:tc>
          <w:tcPr>
            <w:tcW w:w="644" w:type="pct"/>
            <w:tcBorders>
              <w:top w:val="nil"/>
              <w:left w:val="nil"/>
              <w:bottom w:val="single" w:sz="8" w:space="0" w:color="auto"/>
              <w:right w:val="nil"/>
            </w:tcBorders>
            <w:shd w:val="clear" w:color="auto" w:fill="auto"/>
            <w:noWrap/>
            <w:vAlign w:val="center"/>
            <w:hideMark/>
          </w:tcPr>
          <w:p w14:paraId="5D338739" w14:textId="183FD981" w:rsidR="00512A77" w:rsidRDefault="00512A77" w:rsidP="0063559F">
            <w:pPr>
              <w:spacing w:after="120"/>
              <w:jc w:val="right"/>
              <w:rPr>
                <w:rFonts w:ascii="Calibri" w:hAnsi="Calibri" w:cs="Calibri"/>
                <w:b/>
                <w:bCs/>
                <w:color w:val="000000"/>
                <w:sz w:val="16"/>
                <w:szCs w:val="16"/>
              </w:rPr>
            </w:pPr>
            <w:r>
              <w:rPr>
                <w:rFonts w:ascii="Calibri" w:hAnsi="Calibri" w:cs="Calibri"/>
                <w:b/>
                <w:bCs/>
                <w:color w:val="000000"/>
                <w:sz w:val="16"/>
                <w:szCs w:val="16"/>
              </w:rPr>
              <w:t>(6.292.004) </w:t>
            </w:r>
          </w:p>
        </w:tc>
        <w:tc>
          <w:tcPr>
            <w:tcW w:w="544" w:type="pct"/>
            <w:tcBorders>
              <w:top w:val="nil"/>
              <w:left w:val="nil"/>
              <w:bottom w:val="single" w:sz="8" w:space="0" w:color="auto"/>
              <w:right w:val="nil"/>
            </w:tcBorders>
            <w:shd w:val="clear" w:color="auto" w:fill="auto"/>
            <w:noWrap/>
            <w:vAlign w:val="center"/>
            <w:hideMark/>
          </w:tcPr>
          <w:p w14:paraId="1CD77611" w14:textId="6E6A7BF6" w:rsidR="00512A77" w:rsidRDefault="00512A77" w:rsidP="0063559F">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BD19D2">
              <w:rPr>
                <w:rFonts w:ascii="Calibri" w:hAnsi="Calibri" w:cs="Calibri"/>
                <w:b/>
                <w:bCs/>
                <w:color w:val="000000"/>
                <w:sz w:val="16"/>
                <w:szCs w:val="16"/>
              </w:rPr>
              <w:t>2.272.306</w:t>
            </w:r>
            <w:r>
              <w:rPr>
                <w:rFonts w:ascii="Calibri" w:hAnsi="Calibri" w:cs="Calibri"/>
                <w:b/>
                <w:bCs/>
                <w:color w:val="000000"/>
                <w:sz w:val="16"/>
                <w:szCs w:val="16"/>
              </w:rPr>
              <w:t>)</w:t>
            </w:r>
          </w:p>
        </w:tc>
        <w:tc>
          <w:tcPr>
            <w:tcW w:w="477" w:type="pct"/>
            <w:tcBorders>
              <w:top w:val="nil"/>
              <w:left w:val="nil"/>
              <w:bottom w:val="single" w:sz="8" w:space="0" w:color="auto"/>
              <w:right w:val="nil"/>
            </w:tcBorders>
            <w:shd w:val="clear" w:color="auto" w:fill="auto"/>
            <w:noWrap/>
            <w:vAlign w:val="center"/>
            <w:hideMark/>
          </w:tcPr>
          <w:p w14:paraId="10D93448" w14:textId="21E6D85C" w:rsidR="00512A77" w:rsidRDefault="00512A77" w:rsidP="0063559F">
            <w:pPr>
              <w:spacing w:after="120"/>
              <w:jc w:val="right"/>
              <w:rPr>
                <w:rFonts w:ascii="Calibri" w:hAnsi="Calibri" w:cs="Calibri"/>
                <w:b/>
                <w:bCs/>
                <w:color w:val="000000"/>
                <w:sz w:val="16"/>
                <w:szCs w:val="16"/>
              </w:rPr>
            </w:pPr>
            <w:r>
              <w:rPr>
                <w:rFonts w:ascii="Calibri" w:hAnsi="Calibri" w:cs="Calibri"/>
                <w:b/>
                <w:bCs/>
                <w:color w:val="000000"/>
                <w:sz w:val="16"/>
                <w:szCs w:val="16"/>
              </w:rPr>
              <w:t>1</w:t>
            </w:r>
            <w:r w:rsidR="00BD19D2">
              <w:rPr>
                <w:rFonts w:ascii="Calibri" w:hAnsi="Calibri" w:cs="Calibri"/>
                <w:b/>
                <w:bCs/>
                <w:color w:val="000000"/>
                <w:sz w:val="16"/>
                <w:szCs w:val="16"/>
              </w:rPr>
              <w:t>8</w:t>
            </w:r>
            <w:r>
              <w:rPr>
                <w:rFonts w:ascii="Calibri" w:hAnsi="Calibri" w:cs="Calibri"/>
                <w:b/>
                <w:bCs/>
                <w:color w:val="000000"/>
                <w:sz w:val="16"/>
                <w:szCs w:val="16"/>
              </w:rPr>
              <w:t>.</w:t>
            </w:r>
            <w:r w:rsidR="00BD19D2">
              <w:rPr>
                <w:rFonts w:ascii="Calibri" w:hAnsi="Calibri" w:cs="Calibri"/>
                <w:b/>
                <w:bCs/>
                <w:color w:val="000000"/>
                <w:sz w:val="16"/>
                <w:szCs w:val="16"/>
              </w:rPr>
              <w:t>331</w:t>
            </w:r>
            <w:r>
              <w:rPr>
                <w:rFonts w:ascii="Calibri" w:hAnsi="Calibri" w:cs="Calibri"/>
                <w:b/>
                <w:bCs/>
                <w:color w:val="000000"/>
                <w:sz w:val="16"/>
                <w:szCs w:val="16"/>
              </w:rPr>
              <w:t>.</w:t>
            </w:r>
            <w:r w:rsidR="00BD19D2">
              <w:rPr>
                <w:rFonts w:ascii="Calibri" w:hAnsi="Calibri" w:cs="Calibri"/>
                <w:b/>
                <w:bCs/>
                <w:color w:val="000000"/>
                <w:sz w:val="16"/>
                <w:szCs w:val="16"/>
              </w:rPr>
              <w:t>458</w:t>
            </w:r>
          </w:p>
        </w:tc>
      </w:tr>
    </w:tbl>
    <w:p w14:paraId="227EEFBC" w14:textId="1840F275" w:rsidR="00F40821" w:rsidRPr="002E2B5B" w:rsidRDefault="00D22F5E" w:rsidP="000B3A75">
      <w:pPr>
        <w:pStyle w:val="Ttulo4"/>
        <w:spacing w:before="120" w:after="120" w:line="240" w:lineRule="auto"/>
        <w:jc w:val="left"/>
        <w:rPr>
          <w:rFonts w:ascii="Calibri" w:hAnsi="Calibri" w:cs="Calibri"/>
          <w:bCs w:val="0"/>
          <w:sz w:val="22"/>
          <w:szCs w:val="22"/>
        </w:rPr>
      </w:pPr>
      <w:r w:rsidRPr="002E2B5B">
        <w:rPr>
          <w:rFonts w:ascii="Calibri" w:hAnsi="Calibri" w:cs="Calibri"/>
          <w:bCs w:val="0"/>
          <w:sz w:val="22"/>
          <w:szCs w:val="22"/>
        </w:rPr>
        <w:t>NOTA 1</w:t>
      </w:r>
      <w:r w:rsidR="00BD19D2">
        <w:rPr>
          <w:rFonts w:ascii="Calibri" w:hAnsi="Calibri" w:cs="Calibri"/>
          <w:bCs w:val="0"/>
          <w:sz w:val="22"/>
          <w:szCs w:val="22"/>
        </w:rPr>
        <w:t>7</w:t>
      </w:r>
      <w:r w:rsidR="00F40821" w:rsidRPr="002E2B5B">
        <w:rPr>
          <w:rFonts w:ascii="Calibri" w:hAnsi="Calibri" w:cs="Calibri"/>
          <w:bCs w:val="0"/>
          <w:sz w:val="22"/>
          <w:szCs w:val="22"/>
        </w:rPr>
        <w:t xml:space="preserve"> - PATRIMÔNIO LÍQUIDO </w:t>
      </w:r>
    </w:p>
    <w:p w14:paraId="29706E20" w14:textId="77777777" w:rsidR="00CE32D4" w:rsidRPr="002E2B5B" w:rsidRDefault="00997B3F" w:rsidP="00937ED9">
      <w:pPr>
        <w:numPr>
          <w:ilvl w:val="0"/>
          <w:numId w:val="7"/>
        </w:numPr>
        <w:spacing w:after="120"/>
        <w:ind w:left="284" w:right="-142" w:hanging="284"/>
        <w:rPr>
          <w:rFonts w:ascii="Calibri" w:hAnsi="Calibri" w:cs="Calibri"/>
          <w:b/>
          <w:sz w:val="22"/>
          <w:szCs w:val="22"/>
        </w:rPr>
      </w:pPr>
      <w:r w:rsidRPr="002E2B5B">
        <w:rPr>
          <w:rFonts w:ascii="Calibri" w:hAnsi="Calibri" w:cs="Calibri"/>
          <w:b/>
          <w:sz w:val="22"/>
          <w:szCs w:val="22"/>
        </w:rPr>
        <w:t xml:space="preserve">Capital Social </w:t>
      </w:r>
    </w:p>
    <w:p w14:paraId="598D713E" w14:textId="690B9CE4" w:rsidR="009F59D9" w:rsidRPr="002D2F93" w:rsidRDefault="000C5384" w:rsidP="002D2F93">
      <w:pPr>
        <w:spacing w:before="120" w:after="120"/>
        <w:ind w:right="57"/>
        <w:jc w:val="both"/>
        <w:rPr>
          <w:rFonts w:ascii="Calibri" w:hAnsi="Calibri" w:cs="Calibri"/>
          <w:sz w:val="22"/>
          <w:szCs w:val="22"/>
        </w:rPr>
      </w:pPr>
      <w:r w:rsidRPr="000C5384">
        <w:rPr>
          <w:rFonts w:ascii="Calibri" w:hAnsi="Calibri" w:cs="Calibri"/>
          <w:sz w:val="22"/>
          <w:szCs w:val="22"/>
        </w:rPr>
        <w:t xml:space="preserve">O Capital Social, após a integralização de capital, </w:t>
      </w:r>
      <w:r w:rsidR="00BD58D3">
        <w:rPr>
          <w:rFonts w:ascii="Calibri" w:hAnsi="Calibri" w:cs="Calibri"/>
          <w:sz w:val="22"/>
          <w:szCs w:val="22"/>
        </w:rPr>
        <w:t>c</w:t>
      </w:r>
      <w:r w:rsidRPr="000C5384">
        <w:rPr>
          <w:rFonts w:ascii="Calibri" w:hAnsi="Calibri" w:cs="Calibri"/>
          <w:sz w:val="22"/>
          <w:szCs w:val="22"/>
        </w:rPr>
        <w:t xml:space="preserve">onforme Ata da </w:t>
      </w:r>
      <w:r w:rsidR="00BD58D3">
        <w:rPr>
          <w:rFonts w:ascii="Calibri" w:hAnsi="Calibri" w:cs="Calibri"/>
          <w:sz w:val="22"/>
          <w:szCs w:val="22"/>
        </w:rPr>
        <w:t>34</w:t>
      </w:r>
      <w:r w:rsidRPr="000C5384">
        <w:rPr>
          <w:rFonts w:ascii="Calibri" w:hAnsi="Calibri" w:cs="Calibri"/>
          <w:sz w:val="22"/>
          <w:szCs w:val="22"/>
        </w:rPr>
        <w:t>ª Assembleia Geral Extraordinária de 2</w:t>
      </w:r>
      <w:r w:rsidR="00BD58D3">
        <w:rPr>
          <w:rFonts w:ascii="Calibri" w:hAnsi="Calibri" w:cs="Calibri"/>
          <w:sz w:val="22"/>
          <w:szCs w:val="22"/>
        </w:rPr>
        <w:t>7</w:t>
      </w:r>
      <w:r w:rsidRPr="000C5384">
        <w:rPr>
          <w:rFonts w:ascii="Calibri" w:hAnsi="Calibri" w:cs="Calibri"/>
          <w:sz w:val="22"/>
          <w:szCs w:val="22"/>
        </w:rPr>
        <w:t xml:space="preserve"> de a</w:t>
      </w:r>
      <w:r w:rsidR="00BD58D3">
        <w:rPr>
          <w:rFonts w:ascii="Calibri" w:hAnsi="Calibri" w:cs="Calibri"/>
          <w:sz w:val="22"/>
          <w:szCs w:val="22"/>
        </w:rPr>
        <w:t xml:space="preserve">bril </w:t>
      </w:r>
      <w:r w:rsidRPr="000C5384">
        <w:rPr>
          <w:rFonts w:ascii="Calibri" w:hAnsi="Calibri" w:cs="Calibri"/>
          <w:sz w:val="22"/>
          <w:szCs w:val="22"/>
        </w:rPr>
        <w:t>de 20</w:t>
      </w:r>
      <w:r w:rsidR="00BD58D3">
        <w:rPr>
          <w:rFonts w:ascii="Calibri" w:hAnsi="Calibri" w:cs="Calibri"/>
          <w:sz w:val="22"/>
          <w:szCs w:val="22"/>
        </w:rPr>
        <w:t>22</w:t>
      </w:r>
      <w:r w:rsidRPr="000C5384">
        <w:rPr>
          <w:rFonts w:ascii="Calibri" w:hAnsi="Calibri" w:cs="Calibri"/>
          <w:sz w:val="22"/>
          <w:szCs w:val="22"/>
        </w:rPr>
        <w:t>,</w:t>
      </w:r>
      <w:r w:rsidR="00BD19D2">
        <w:rPr>
          <w:rFonts w:ascii="Calibri" w:hAnsi="Calibri" w:cs="Calibri"/>
          <w:sz w:val="22"/>
          <w:szCs w:val="22"/>
        </w:rPr>
        <w:t xml:space="preserve"> bem como após a incorporação da EPL, mencionada na Nota 1, </w:t>
      </w:r>
      <w:r w:rsidRPr="000C5384">
        <w:rPr>
          <w:rFonts w:ascii="Calibri" w:hAnsi="Calibri" w:cs="Calibri"/>
          <w:sz w:val="22"/>
          <w:szCs w:val="22"/>
        </w:rPr>
        <w:t>totaliza R$ 2</w:t>
      </w:r>
      <w:r w:rsidR="00BD58D3">
        <w:rPr>
          <w:rFonts w:ascii="Calibri" w:hAnsi="Calibri" w:cs="Calibri"/>
          <w:sz w:val="22"/>
          <w:szCs w:val="22"/>
        </w:rPr>
        <w:t>3,</w:t>
      </w:r>
      <w:r w:rsidR="00E94402">
        <w:rPr>
          <w:rFonts w:ascii="Calibri" w:hAnsi="Calibri" w:cs="Calibri"/>
          <w:sz w:val="22"/>
          <w:szCs w:val="22"/>
        </w:rPr>
        <w:t>68</w:t>
      </w:r>
      <w:r w:rsidRPr="000C5384">
        <w:rPr>
          <w:rFonts w:ascii="Calibri" w:hAnsi="Calibri" w:cs="Calibri"/>
          <w:sz w:val="22"/>
          <w:szCs w:val="22"/>
        </w:rPr>
        <w:t xml:space="preserve"> bilhões e é composto de 8.090.009 ações ordinárias, sem valor nominal, no qual a União é detentora de 100% dessas ações.</w:t>
      </w:r>
    </w:p>
    <w:p w14:paraId="165EC195" w14:textId="50403BA2" w:rsidR="00A05C0D" w:rsidRPr="00A05C0D" w:rsidRDefault="00A05C0D" w:rsidP="00A05C0D">
      <w:pPr>
        <w:numPr>
          <w:ilvl w:val="0"/>
          <w:numId w:val="7"/>
        </w:numPr>
        <w:spacing w:after="120"/>
        <w:ind w:left="284" w:right="-142" w:hanging="284"/>
        <w:rPr>
          <w:rFonts w:ascii="Calibri" w:hAnsi="Calibri" w:cs="Calibri"/>
          <w:b/>
          <w:bCs/>
          <w:sz w:val="22"/>
          <w:szCs w:val="22"/>
        </w:rPr>
      </w:pPr>
      <w:r w:rsidRPr="00A05C0D">
        <w:rPr>
          <w:rFonts w:ascii="Calibri" w:hAnsi="Calibri" w:cs="Calibri"/>
          <w:b/>
          <w:bCs/>
          <w:sz w:val="22"/>
          <w:szCs w:val="22"/>
        </w:rPr>
        <w:t xml:space="preserve">Adiantamento para Futuro Aumento de Capital – AFAC </w:t>
      </w:r>
    </w:p>
    <w:p w14:paraId="2D92F14E" w14:textId="19298EDB" w:rsidR="000C5384" w:rsidRDefault="000C5384" w:rsidP="00A05C0D">
      <w:pPr>
        <w:spacing w:after="120"/>
        <w:ind w:right="57"/>
        <w:jc w:val="both"/>
        <w:rPr>
          <w:rFonts w:ascii="Calibri" w:hAnsi="Calibri" w:cs="Calibri"/>
          <w:sz w:val="22"/>
          <w:szCs w:val="22"/>
        </w:rPr>
      </w:pPr>
      <w:r w:rsidRPr="000C5384">
        <w:rPr>
          <w:rFonts w:ascii="Calibri" w:hAnsi="Calibri" w:cs="Calibri"/>
          <w:sz w:val="22"/>
          <w:szCs w:val="22"/>
        </w:rPr>
        <w:t>Os Adiantamentos para futuros aumentos de capital são compostos de recursos, oriundos do Orçamento Geral da União, nos exercícios de 20</w:t>
      </w:r>
      <w:r w:rsidR="00BD58D3">
        <w:rPr>
          <w:rFonts w:ascii="Calibri" w:hAnsi="Calibri" w:cs="Calibri"/>
          <w:sz w:val="22"/>
          <w:szCs w:val="22"/>
        </w:rPr>
        <w:t>2</w:t>
      </w:r>
      <w:r w:rsidRPr="000C5384">
        <w:rPr>
          <w:rFonts w:ascii="Calibri" w:hAnsi="Calibri" w:cs="Calibri"/>
          <w:sz w:val="22"/>
          <w:szCs w:val="22"/>
        </w:rPr>
        <w:t>1 a 202</w:t>
      </w:r>
      <w:r>
        <w:rPr>
          <w:rFonts w:ascii="Calibri" w:hAnsi="Calibri" w:cs="Calibri"/>
          <w:sz w:val="22"/>
          <w:szCs w:val="22"/>
        </w:rPr>
        <w:t>2</w:t>
      </w:r>
      <w:r w:rsidRPr="000C5384">
        <w:rPr>
          <w:rFonts w:ascii="Calibri" w:hAnsi="Calibri" w:cs="Calibri"/>
          <w:sz w:val="22"/>
          <w:szCs w:val="22"/>
        </w:rPr>
        <w:t xml:space="preserve">, na categoria Investimento, e sua utilização destinou-se à construção das Ferrovias Norte-Sul EF-151, Extensão Sul, Ferrovia Integração Oeste-Leste EF-334 (FIOL) e Ferrovia Integração Centro-Oeste EF-354 (FICO). </w:t>
      </w:r>
    </w:p>
    <w:p w14:paraId="6A5A1556" w14:textId="1820B301" w:rsidR="00B7591A" w:rsidRDefault="00B7591A" w:rsidP="00A05C0D">
      <w:pPr>
        <w:spacing w:after="120"/>
        <w:ind w:right="57"/>
        <w:jc w:val="both"/>
        <w:rPr>
          <w:rFonts w:ascii="Calibri" w:hAnsi="Calibri" w:cs="Calibri"/>
          <w:sz w:val="22"/>
          <w:szCs w:val="22"/>
        </w:rPr>
      </w:pPr>
      <w:r>
        <w:rPr>
          <w:rFonts w:ascii="Calibri" w:hAnsi="Calibri" w:cs="Calibri"/>
          <w:sz w:val="22"/>
          <w:szCs w:val="22"/>
        </w:rPr>
        <w:t xml:space="preserve">O AFAC oriundo da EPL representa os investimentos </w:t>
      </w:r>
      <w:r w:rsidR="000379C3">
        <w:rPr>
          <w:rFonts w:ascii="Calibri" w:hAnsi="Calibri" w:cs="Calibri"/>
          <w:sz w:val="22"/>
          <w:szCs w:val="22"/>
        </w:rPr>
        <w:t xml:space="preserve">realizados entre a data de avaliação do laudo de incorporação (30/06/2022) e a data da efetiva incorporação (30/09/2022), aplicado </w:t>
      </w:r>
      <w:r w:rsidRPr="00B7591A">
        <w:rPr>
          <w:rFonts w:ascii="Calibri" w:hAnsi="Calibri" w:cs="Calibri"/>
          <w:sz w:val="22"/>
          <w:szCs w:val="22"/>
        </w:rPr>
        <w:t xml:space="preserve">em estudos e projetos de longo prazo, que </w:t>
      </w:r>
      <w:r w:rsidRPr="00B7591A">
        <w:rPr>
          <w:rFonts w:ascii="Calibri" w:hAnsi="Calibri" w:cs="Calibri"/>
          <w:sz w:val="22"/>
          <w:szCs w:val="22"/>
        </w:rPr>
        <w:lastRenderedPageBreak/>
        <w:t>envolvem custos com contratação de</w:t>
      </w:r>
      <w:r>
        <w:rPr>
          <w:rFonts w:ascii="Calibri" w:hAnsi="Calibri" w:cs="Calibri"/>
          <w:sz w:val="22"/>
          <w:szCs w:val="22"/>
        </w:rPr>
        <w:t xml:space="preserve"> </w:t>
      </w:r>
      <w:r w:rsidRPr="00B7591A">
        <w:rPr>
          <w:rFonts w:ascii="Calibri" w:hAnsi="Calibri" w:cs="Calibri"/>
          <w:sz w:val="22"/>
          <w:szCs w:val="22"/>
        </w:rPr>
        <w:t>terceiros (fornecedores), e normalmente resultam na obtenção de licenças ambientais</w:t>
      </w:r>
      <w:r>
        <w:rPr>
          <w:rFonts w:ascii="Calibri" w:hAnsi="Calibri" w:cs="Calibri"/>
          <w:sz w:val="22"/>
          <w:szCs w:val="22"/>
        </w:rPr>
        <w:t>.</w:t>
      </w:r>
    </w:p>
    <w:p w14:paraId="312E38ED" w14:textId="23707DB3" w:rsidR="00A05C0D" w:rsidRPr="002E2B5B" w:rsidRDefault="00A05C0D" w:rsidP="00A05C0D">
      <w:pPr>
        <w:spacing w:after="120"/>
        <w:ind w:right="57"/>
        <w:jc w:val="both"/>
        <w:rPr>
          <w:rFonts w:ascii="Calibri" w:hAnsi="Calibri" w:cs="Calibri"/>
          <w:sz w:val="22"/>
          <w:szCs w:val="22"/>
        </w:rPr>
      </w:pPr>
      <w:r w:rsidRPr="002E2B5B">
        <w:rPr>
          <w:rFonts w:ascii="Calibri" w:hAnsi="Calibri" w:cs="Calibri"/>
          <w:sz w:val="22"/>
          <w:szCs w:val="22"/>
        </w:rPr>
        <w:t>Conforme o Decreto nº 8.945 de 27 de dezembro de 2016, a atualização monetária pela taxa SELIC não incide mais sobre os valores aportados a partir de 01 de janeiro de 2017</w:t>
      </w:r>
      <w:r>
        <w:rPr>
          <w:rFonts w:ascii="Calibri" w:hAnsi="Calibri" w:cs="Calibri"/>
          <w:sz w:val="22"/>
          <w:szCs w:val="22"/>
        </w:rPr>
        <w:t xml:space="preserve">. </w:t>
      </w:r>
    </w:p>
    <w:p w14:paraId="554AA48D" w14:textId="6FDCD417" w:rsidR="00A05C0D" w:rsidRDefault="00A05C0D" w:rsidP="00A05C0D">
      <w:pPr>
        <w:spacing w:after="120"/>
        <w:jc w:val="both"/>
        <w:rPr>
          <w:rFonts w:ascii="Calibri" w:hAnsi="Calibri" w:cs="Calibri"/>
          <w:sz w:val="22"/>
          <w:szCs w:val="22"/>
        </w:rPr>
      </w:pPr>
      <w:r w:rsidRPr="002E2B5B">
        <w:rPr>
          <w:rFonts w:ascii="Calibri" w:hAnsi="Calibri" w:cs="Calibri"/>
          <w:sz w:val="22"/>
          <w:szCs w:val="22"/>
        </w:rPr>
        <w:t>A movimentação de AFAC</w:t>
      </w:r>
      <w:r>
        <w:rPr>
          <w:rFonts w:ascii="Calibri" w:hAnsi="Calibri" w:cs="Calibri"/>
          <w:sz w:val="22"/>
          <w:szCs w:val="22"/>
        </w:rPr>
        <w:t>,</w:t>
      </w:r>
      <w:r w:rsidRPr="002E2B5B">
        <w:rPr>
          <w:rFonts w:ascii="Calibri" w:hAnsi="Calibri" w:cs="Calibri"/>
          <w:sz w:val="22"/>
          <w:szCs w:val="22"/>
        </w:rPr>
        <w:t xml:space="preserve"> </w:t>
      </w:r>
      <w:r w:rsidR="00BD58D3">
        <w:rPr>
          <w:rFonts w:ascii="Calibri" w:hAnsi="Calibri" w:cs="Calibri"/>
          <w:sz w:val="22"/>
          <w:szCs w:val="22"/>
        </w:rPr>
        <w:t xml:space="preserve">até </w:t>
      </w:r>
      <w:r w:rsidRPr="002E2B5B">
        <w:rPr>
          <w:rFonts w:ascii="Calibri" w:hAnsi="Calibri" w:cs="Calibri"/>
          <w:sz w:val="22"/>
          <w:szCs w:val="22"/>
        </w:rPr>
        <w:t xml:space="preserve">o </w:t>
      </w:r>
      <w:r w:rsidR="00E94402">
        <w:rPr>
          <w:rFonts w:ascii="Calibri" w:hAnsi="Calibri" w:cs="Calibri"/>
          <w:sz w:val="22"/>
          <w:szCs w:val="22"/>
        </w:rPr>
        <w:t>3</w:t>
      </w:r>
      <w:r w:rsidR="007701F3">
        <w:rPr>
          <w:rFonts w:ascii="Calibri" w:hAnsi="Calibri" w:cs="Calibri"/>
          <w:sz w:val="22"/>
          <w:szCs w:val="22"/>
        </w:rPr>
        <w:t>º trimestre de 2022</w:t>
      </w:r>
      <w:r>
        <w:rPr>
          <w:rFonts w:ascii="Calibri" w:hAnsi="Calibri" w:cs="Calibri"/>
          <w:sz w:val="22"/>
          <w:szCs w:val="22"/>
        </w:rPr>
        <w:t xml:space="preserve">, </w:t>
      </w:r>
      <w:r w:rsidRPr="002E2B5B">
        <w:rPr>
          <w:rFonts w:ascii="Calibri" w:hAnsi="Calibri" w:cs="Calibri"/>
          <w:sz w:val="22"/>
          <w:szCs w:val="22"/>
        </w:rPr>
        <w:t>foi:</w:t>
      </w:r>
    </w:p>
    <w:tbl>
      <w:tblPr>
        <w:tblW w:w="5000" w:type="pct"/>
        <w:tblCellMar>
          <w:left w:w="70" w:type="dxa"/>
          <w:right w:w="70" w:type="dxa"/>
        </w:tblCellMar>
        <w:tblLook w:val="04A0" w:firstRow="1" w:lastRow="0" w:firstColumn="1" w:lastColumn="0" w:noHBand="0" w:noVBand="1"/>
      </w:tblPr>
      <w:tblGrid>
        <w:gridCol w:w="2265"/>
        <w:gridCol w:w="1352"/>
        <w:gridCol w:w="2058"/>
        <w:gridCol w:w="2043"/>
        <w:gridCol w:w="2749"/>
      </w:tblGrid>
      <w:tr w:rsidR="00A05C0D" w14:paraId="2D9601E6" w14:textId="77777777" w:rsidTr="007701F3">
        <w:trPr>
          <w:trHeight w:hRule="exact" w:val="227"/>
        </w:trPr>
        <w:tc>
          <w:tcPr>
            <w:tcW w:w="1082" w:type="pct"/>
            <w:tcBorders>
              <w:top w:val="nil"/>
              <w:left w:val="nil"/>
              <w:bottom w:val="single" w:sz="8" w:space="0" w:color="auto"/>
              <w:right w:val="nil"/>
            </w:tcBorders>
            <w:shd w:val="clear" w:color="auto" w:fill="auto"/>
            <w:noWrap/>
            <w:vAlign w:val="center"/>
            <w:hideMark/>
          </w:tcPr>
          <w:p w14:paraId="2B97A7DD" w14:textId="77777777" w:rsidR="00A05C0D" w:rsidRDefault="00A05C0D" w:rsidP="00670EF5">
            <w:pPr>
              <w:spacing w:after="120"/>
              <w:rPr>
                <w:rFonts w:ascii="Calibri" w:hAnsi="Calibri" w:cs="Calibri"/>
                <w:b/>
                <w:bCs/>
                <w:color w:val="000000"/>
                <w:sz w:val="16"/>
                <w:szCs w:val="16"/>
              </w:rPr>
            </w:pPr>
            <w:r>
              <w:rPr>
                <w:rFonts w:ascii="Calibri" w:hAnsi="Calibri" w:cs="Calibri"/>
                <w:b/>
                <w:bCs/>
                <w:color w:val="000000"/>
                <w:sz w:val="16"/>
                <w:szCs w:val="16"/>
              </w:rPr>
              <w:t>AFAC – PL</w:t>
            </w:r>
          </w:p>
        </w:tc>
        <w:tc>
          <w:tcPr>
            <w:tcW w:w="646" w:type="pct"/>
            <w:tcBorders>
              <w:top w:val="nil"/>
              <w:left w:val="nil"/>
              <w:bottom w:val="single" w:sz="8" w:space="0" w:color="auto"/>
              <w:right w:val="nil"/>
            </w:tcBorders>
            <w:shd w:val="clear" w:color="auto" w:fill="auto"/>
            <w:noWrap/>
            <w:vAlign w:val="center"/>
            <w:hideMark/>
          </w:tcPr>
          <w:p w14:paraId="740F9FAD" w14:textId="77777777"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959" w:type="pct"/>
            <w:gridSpan w:val="2"/>
            <w:tcBorders>
              <w:top w:val="nil"/>
              <w:left w:val="nil"/>
              <w:bottom w:val="single" w:sz="8" w:space="0" w:color="auto"/>
              <w:right w:val="nil"/>
            </w:tcBorders>
            <w:shd w:val="clear" w:color="auto" w:fill="auto"/>
            <w:vAlign w:val="center"/>
            <w:hideMark/>
          </w:tcPr>
          <w:p w14:paraId="166D9A40" w14:textId="6E8247BD"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26154E">
              <w:rPr>
                <w:rFonts w:ascii="Calibri" w:hAnsi="Calibri" w:cs="Calibri"/>
                <w:b/>
                <w:bCs/>
                <w:color w:val="000000"/>
                <w:sz w:val="16"/>
                <w:szCs w:val="16"/>
              </w:rPr>
              <w:t>0</w:t>
            </w:r>
            <w:r>
              <w:rPr>
                <w:rFonts w:ascii="Calibri" w:hAnsi="Calibri" w:cs="Calibri"/>
                <w:b/>
                <w:bCs/>
                <w:color w:val="000000"/>
                <w:sz w:val="16"/>
                <w:szCs w:val="16"/>
              </w:rPr>
              <w:t>/</w:t>
            </w:r>
            <w:r w:rsidR="007701F3">
              <w:rPr>
                <w:rFonts w:ascii="Calibri" w:hAnsi="Calibri" w:cs="Calibri"/>
                <w:b/>
                <w:bCs/>
                <w:color w:val="000000"/>
                <w:sz w:val="16"/>
                <w:szCs w:val="16"/>
              </w:rPr>
              <w:t>0</w:t>
            </w:r>
            <w:r w:rsidR="00E94402">
              <w:rPr>
                <w:rFonts w:ascii="Calibri" w:hAnsi="Calibri" w:cs="Calibri"/>
                <w:b/>
                <w:bCs/>
                <w:color w:val="000000"/>
                <w:sz w:val="16"/>
                <w:szCs w:val="16"/>
              </w:rPr>
              <w:t>9</w:t>
            </w:r>
            <w:r>
              <w:rPr>
                <w:rFonts w:ascii="Calibri" w:hAnsi="Calibri" w:cs="Calibri"/>
                <w:b/>
                <w:bCs/>
                <w:color w:val="000000"/>
                <w:sz w:val="16"/>
                <w:szCs w:val="16"/>
              </w:rPr>
              <w:t>/202</w:t>
            </w:r>
            <w:r w:rsidR="007701F3">
              <w:rPr>
                <w:rFonts w:ascii="Calibri" w:hAnsi="Calibri" w:cs="Calibri"/>
                <w:b/>
                <w:bCs/>
                <w:color w:val="000000"/>
                <w:sz w:val="16"/>
                <w:szCs w:val="16"/>
              </w:rPr>
              <w:t>2</w:t>
            </w:r>
          </w:p>
        </w:tc>
        <w:tc>
          <w:tcPr>
            <w:tcW w:w="1313" w:type="pct"/>
            <w:tcBorders>
              <w:top w:val="nil"/>
              <w:left w:val="nil"/>
              <w:bottom w:val="single" w:sz="8" w:space="0" w:color="auto"/>
              <w:right w:val="nil"/>
            </w:tcBorders>
            <w:shd w:val="clear" w:color="auto" w:fill="auto"/>
            <w:vAlign w:val="center"/>
            <w:hideMark/>
          </w:tcPr>
          <w:p w14:paraId="05C33A08" w14:textId="62D89169"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31/12/202</w:t>
            </w:r>
            <w:r w:rsidR="007701F3">
              <w:rPr>
                <w:rFonts w:ascii="Calibri" w:hAnsi="Calibri" w:cs="Calibri"/>
                <w:b/>
                <w:bCs/>
                <w:color w:val="000000"/>
                <w:sz w:val="16"/>
                <w:szCs w:val="16"/>
              </w:rPr>
              <w:t>1</w:t>
            </w:r>
          </w:p>
        </w:tc>
      </w:tr>
      <w:tr w:rsidR="007701F3" w14:paraId="52F210D9" w14:textId="77777777" w:rsidTr="007701F3">
        <w:trPr>
          <w:trHeight w:hRule="exact" w:val="227"/>
        </w:trPr>
        <w:tc>
          <w:tcPr>
            <w:tcW w:w="1082" w:type="pct"/>
            <w:tcBorders>
              <w:top w:val="single" w:sz="8" w:space="0" w:color="auto"/>
              <w:left w:val="nil"/>
              <w:bottom w:val="nil"/>
              <w:right w:val="nil"/>
            </w:tcBorders>
            <w:shd w:val="clear" w:color="auto" w:fill="auto"/>
            <w:noWrap/>
            <w:vAlign w:val="center"/>
            <w:hideMark/>
          </w:tcPr>
          <w:p w14:paraId="6ED3A8D9" w14:textId="77777777" w:rsidR="007701F3" w:rsidRDefault="007701F3" w:rsidP="007701F3">
            <w:pPr>
              <w:spacing w:after="120"/>
              <w:rPr>
                <w:rFonts w:ascii="Calibri" w:hAnsi="Calibri" w:cs="Calibri"/>
                <w:color w:val="000000"/>
                <w:sz w:val="16"/>
                <w:szCs w:val="16"/>
              </w:rPr>
            </w:pPr>
            <w:r>
              <w:rPr>
                <w:rFonts w:ascii="Calibri" w:hAnsi="Calibri" w:cs="Calibri"/>
                <w:color w:val="000000"/>
                <w:sz w:val="16"/>
                <w:szCs w:val="16"/>
              </w:rPr>
              <w:t>Saldo anterior</w:t>
            </w:r>
          </w:p>
        </w:tc>
        <w:tc>
          <w:tcPr>
            <w:tcW w:w="646" w:type="pct"/>
            <w:tcBorders>
              <w:top w:val="nil"/>
              <w:left w:val="nil"/>
              <w:bottom w:val="nil"/>
              <w:right w:val="nil"/>
            </w:tcBorders>
            <w:shd w:val="clear" w:color="auto" w:fill="auto"/>
            <w:noWrap/>
            <w:vAlign w:val="center"/>
            <w:hideMark/>
          </w:tcPr>
          <w:p w14:paraId="490173EF" w14:textId="77777777" w:rsidR="007701F3" w:rsidRDefault="007701F3" w:rsidP="007701F3">
            <w:pPr>
              <w:spacing w:after="120"/>
              <w:rPr>
                <w:rFonts w:ascii="Calibri" w:hAnsi="Calibri" w:cs="Calibri"/>
                <w:color w:val="000000"/>
                <w:sz w:val="16"/>
                <w:szCs w:val="16"/>
              </w:rPr>
            </w:pPr>
          </w:p>
        </w:tc>
        <w:tc>
          <w:tcPr>
            <w:tcW w:w="1959" w:type="pct"/>
            <w:gridSpan w:val="2"/>
            <w:tcBorders>
              <w:top w:val="single" w:sz="8" w:space="0" w:color="auto"/>
              <w:left w:val="nil"/>
              <w:bottom w:val="nil"/>
              <w:right w:val="nil"/>
            </w:tcBorders>
            <w:shd w:val="clear" w:color="auto" w:fill="auto"/>
            <w:vAlign w:val="center"/>
            <w:hideMark/>
          </w:tcPr>
          <w:p w14:paraId="57C96F44" w14:textId="079251EC" w:rsidR="007701F3" w:rsidRDefault="007701F3" w:rsidP="007701F3">
            <w:pPr>
              <w:spacing w:after="120"/>
              <w:jc w:val="right"/>
              <w:rPr>
                <w:rFonts w:ascii="Calibri" w:hAnsi="Calibri" w:cs="Calibri"/>
                <w:color w:val="000000"/>
                <w:sz w:val="16"/>
                <w:szCs w:val="16"/>
              </w:rPr>
            </w:pPr>
            <w:r>
              <w:rPr>
                <w:rFonts w:ascii="Calibri" w:hAnsi="Calibri" w:cs="Calibri"/>
                <w:b/>
                <w:bCs/>
                <w:color w:val="000000"/>
                <w:sz w:val="16"/>
                <w:szCs w:val="16"/>
              </w:rPr>
              <w:t>1.288.641.343</w:t>
            </w:r>
          </w:p>
        </w:tc>
        <w:tc>
          <w:tcPr>
            <w:tcW w:w="1313" w:type="pct"/>
            <w:tcBorders>
              <w:top w:val="nil"/>
              <w:left w:val="nil"/>
              <w:bottom w:val="nil"/>
              <w:right w:val="nil"/>
            </w:tcBorders>
            <w:shd w:val="clear" w:color="auto" w:fill="auto"/>
            <w:vAlign w:val="center"/>
            <w:hideMark/>
          </w:tcPr>
          <w:p w14:paraId="65BE5C91" w14:textId="0D01B106"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903.489.907</w:t>
            </w:r>
          </w:p>
        </w:tc>
      </w:tr>
      <w:tr w:rsidR="007701F3" w14:paraId="649A18A0" w14:textId="77777777" w:rsidTr="007701F3">
        <w:trPr>
          <w:trHeight w:hRule="exact" w:val="227"/>
        </w:trPr>
        <w:tc>
          <w:tcPr>
            <w:tcW w:w="1082" w:type="pct"/>
            <w:tcBorders>
              <w:top w:val="nil"/>
              <w:left w:val="nil"/>
              <w:bottom w:val="nil"/>
              <w:right w:val="nil"/>
            </w:tcBorders>
            <w:shd w:val="clear" w:color="auto" w:fill="auto"/>
            <w:noWrap/>
            <w:vAlign w:val="center"/>
            <w:hideMark/>
          </w:tcPr>
          <w:p w14:paraId="2B7D3D6F" w14:textId="77777777" w:rsidR="007701F3" w:rsidRDefault="007701F3" w:rsidP="007701F3">
            <w:pPr>
              <w:spacing w:after="120"/>
              <w:rPr>
                <w:rFonts w:ascii="Calibri" w:hAnsi="Calibri" w:cs="Calibri"/>
                <w:color w:val="000000"/>
                <w:sz w:val="16"/>
                <w:szCs w:val="16"/>
              </w:rPr>
            </w:pPr>
            <w:r>
              <w:rPr>
                <w:rFonts w:ascii="Calibri" w:hAnsi="Calibri" w:cs="Calibri"/>
                <w:color w:val="000000"/>
                <w:sz w:val="16"/>
                <w:szCs w:val="16"/>
              </w:rPr>
              <w:t>Ingressos</w:t>
            </w:r>
          </w:p>
        </w:tc>
        <w:tc>
          <w:tcPr>
            <w:tcW w:w="646" w:type="pct"/>
            <w:tcBorders>
              <w:top w:val="nil"/>
              <w:left w:val="nil"/>
              <w:bottom w:val="nil"/>
              <w:right w:val="nil"/>
            </w:tcBorders>
            <w:shd w:val="clear" w:color="auto" w:fill="auto"/>
            <w:noWrap/>
            <w:vAlign w:val="center"/>
            <w:hideMark/>
          </w:tcPr>
          <w:p w14:paraId="7EAA94AD" w14:textId="77777777" w:rsidR="007701F3" w:rsidRDefault="007701F3" w:rsidP="007701F3">
            <w:pPr>
              <w:spacing w:after="120"/>
              <w:rPr>
                <w:rFonts w:ascii="Calibri" w:hAnsi="Calibri" w:cs="Calibri"/>
                <w:color w:val="000000"/>
                <w:sz w:val="16"/>
                <w:szCs w:val="16"/>
              </w:rPr>
            </w:pPr>
          </w:p>
        </w:tc>
        <w:tc>
          <w:tcPr>
            <w:tcW w:w="1959" w:type="pct"/>
            <w:gridSpan w:val="2"/>
            <w:tcBorders>
              <w:top w:val="nil"/>
              <w:left w:val="nil"/>
              <w:bottom w:val="nil"/>
              <w:right w:val="nil"/>
            </w:tcBorders>
            <w:shd w:val="clear" w:color="auto" w:fill="auto"/>
            <w:vAlign w:val="center"/>
            <w:hideMark/>
          </w:tcPr>
          <w:p w14:paraId="7116AA61" w14:textId="40914580" w:rsidR="007701F3" w:rsidRDefault="00E94402" w:rsidP="007701F3">
            <w:pPr>
              <w:spacing w:after="120"/>
              <w:jc w:val="right"/>
              <w:rPr>
                <w:rFonts w:ascii="Calibri" w:hAnsi="Calibri" w:cs="Calibri"/>
                <w:color w:val="000000"/>
                <w:sz w:val="16"/>
                <w:szCs w:val="16"/>
              </w:rPr>
            </w:pPr>
            <w:r>
              <w:rPr>
                <w:rFonts w:ascii="Calibri" w:hAnsi="Calibri" w:cs="Calibri"/>
                <w:color w:val="000000"/>
                <w:sz w:val="16"/>
                <w:szCs w:val="16"/>
              </w:rPr>
              <w:t>223.287.079</w:t>
            </w:r>
          </w:p>
        </w:tc>
        <w:tc>
          <w:tcPr>
            <w:tcW w:w="1313" w:type="pct"/>
            <w:tcBorders>
              <w:top w:val="nil"/>
              <w:left w:val="nil"/>
              <w:bottom w:val="nil"/>
              <w:right w:val="nil"/>
            </w:tcBorders>
            <w:shd w:val="clear" w:color="auto" w:fill="auto"/>
            <w:vAlign w:val="center"/>
            <w:hideMark/>
          </w:tcPr>
          <w:p w14:paraId="0D933D0F" w14:textId="7840B309"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387.808.679</w:t>
            </w:r>
          </w:p>
        </w:tc>
      </w:tr>
      <w:tr w:rsidR="00E94402" w14:paraId="596C7F68" w14:textId="77777777" w:rsidTr="007701F3">
        <w:trPr>
          <w:trHeight w:hRule="exact" w:val="227"/>
        </w:trPr>
        <w:tc>
          <w:tcPr>
            <w:tcW w:w="1082" w:type="pct"/>
            <w:tcBorders>
              <w:top w:val="nil"/>
              <w:left w:val="nil"/>
              <w:bottom w:val="nil"/>
              <w:right w:val="nil"/>
            </w:tcBorders>
            <w:shd w:val="clear" w:color="auto" w:fill="auto"/>
            <w:noWrap/>
            <w:vAlign w:val="center"/>
          </w:tcPr>
          <w:p w14:paraId="6B8355F0" w14:textId="50098451" w:rsidR="00E94402" w:rsidRDefault="00E94402" w:rsidP="007701F3">
            <w:pPr>
              <w:spacing w:after="120"/>
              <w:rPr>
                <w:rFonts w:ascii="Calibri" w:hAnsi="Calibri" w:cs="Calibri"/>
                <w:color w:val="000000"/>
                <w:sz w:val="16"/>
                <w:szCs w:val="16"/>
              </w:rPr>
            </w:pPr>
            <w:r>
              <w:rPr>
                <w:rFonts w:ascii="Calibri" w:hAnsi="Calibri" w:cs="Calibri"/>
                <w:color w:val="000000"/>
                <w:sz w:val="16"/>
                <w:szCs w:val="16"/>
              </w:rPr>
              <w:t>Ingresso oriundo da EPL</w:t>
            </w:r>
          </w:p>
        </w:tc>
        <w:tc>
          <w:tcPr>
            <w:tcW w:w="646" w:type="pct"/>
            <w:tcBorders>
              <w:top w:val="nil"/>
              <w:left w:val="nil"/>
              <w:bottom w:val="nil"/>
              <w:right w:val="nil"/>
            </w:tcBorders>
            <w:shd w:val="clear" w:color="auto" w:fill="auto"/>
            <w:noWrap/>
            <w:vAlign w:val="center"/>
          </w:tcPr>
          <w:p w14:paraId="2884CC8E" w14:textId="77777777" w:rsidR="00E94402" w:rsidRDefault="00E94402" w:rsidP="007701F3">
            <w:pPr>
              <w:spacing w:after="120"/>
              <w:rPr>
                <w:rFonts w:ascii="Calibri" w:hAnsi="Calibri" w:cs="Calibri"/>
                <w:color w:val="000000"/>
                <w:sz w:val="16"/>
                <w:szCs w:val="16"/>
              </w:rPr>
            </w:pPr>
          </w:p>
        </w:tc>
        <w:tc>
          <w:tcPr>
            <w:tcW w:w="1959" w:type="pct"/>
            <w:gridSpan w:val="2"/>
            <w:tcBorders>
              <w:top w:val="nil"/>
              <w:left w:val="nil"/>
              <w:bottom w:val="nil"/>
              <w:right w:val="nil"/>
            </w:tcBorders>
            <w:shd w:val="clear" w:color="auto" w:fill="auto"/>
            <w:vAlign w:val="center"/>
          </w:tcPr>
          <w:p w14:paraId="09A81A83" w14:textId="233D3B8A" w:rsidR="00E94402" w:rsidRDefault="00E94402" w:rsidP="007701F3">
            <w:pPr>
              <w:spacing w:after="120"/>
              <w:jc w:val="right"/>
              <w:rPr>
                <w:rFonts w:ascii="Calibri" w:hAnsi="Calibri" w:cs="Calibri"/>
                <w:color w:val="000000"/>
                <w:sz w:val="16"/>
                <w:szCs w:val="16"/>
              </w:rPr>
            </w:pPr>
            <w:r>
              <w:rPr>
                <w:rFonts w:ascii="Calibri" w:hAnsi="Calibri" w:cs="Calibri"/>
                <w:color w:val="000000"/>
                <w:sz w:val="16"/>
                <w:szCs w:val="16"/>
              </w:rPr>
              <w:t>8.823.114</w:t>
            </w:r>
          </w:p>
        </w:tc>
        <w:tc>
          <w:tcPr>
            <w:tcW w:w="1313" w:type="pct"/>
            <w:tcBorders>
              <w:top w:val="nil"/>
              <w:left w:val="nil"/>
              <w:bottom w:val="nil"/>
              <w:right w:val="nil"/>
            </w:tcBorders>
            <w:shd w:val="clear" w:color="auto" w:fill="auto"/>
            <w:vAlign w:val="center"/>
          </w:tcPr>
          <w:p w14:paraId="110DCC8A" w14:textId="77777777" w:rsidR="00E94402" w:rsidRDefault="00E94402" w:rsidP="007701F3">
            <w:pPr>
              <w:spacing w:after="120"/>
              <w:jc w:val="right"/>
              <w:rPr>
                <w:rFonts w:ascii="Calibri" w:hAnsi="Calibri" w:cs="Calibri"/>
                <w:color w:val="000000"/>
                <w:sz w:val="16"/>
                <w:szCs w:val="16"/>
              </w:rPr>
            </w:pPr>
          </w:p>
        </w:tc>
      </w:tr>
      <w:tr w:rsidR="007701F3" w14:paraId="630C5B88" w14:textId="77777777" w:rsidTr="007701F3">
        <w:trPr>
          <w:trHeight w:hRule="exact" w:val="227"/>
        </w:trPr>
        <w:tc>
          <w:tcPr>
            <w:tcW w:w="1082" w:type="pct"/>
            <w:tcBorders>
              <w:top w:val="nil"/>
              <w:left w:val="nil"/>
              <w:bottom w:val="nil"/>
              <w:right w:val="nil"/>
            </w:tcBorders>
            <w:shd w:val="clear" w:color="auto" w:fill="auto"/>
            <w:noWrap/>
            <w:vAlign w:val="center"/>
            <w:hideMark/>
          </w:tcPr>
          <w:p w14:paraId="06AFAA77" w14:textId="77777777" w:rsidR="007701F3" w:rsidRDefault="007701F3" w:rsidP="007701F3">
            <w:pPr>
              <w:spacing w:after="120"/>
              <w:rPr>
                <w:rFonts w:ascii="Calibri" w:hAnsi="Calibri" w:cs="Calibri"/>
                <w:color w:val="000000"/>
                <w:sz w:val="16"/>
                <w:szCs w:val="16"/>
              </w:rPr>
            </w:pPr>
            <w:r>
              <w:rPr>
                <w:rFonts w:ascii="Calibri" w:hAnsi="Calibri" w:cs="Calibri"/>
                <w:color w:val="000000"/>
                <w:sz w:val="16"/>
                <w:szCs w:val="16"/>
              </w:rPr>
              <w:t>Integralização</w:t>
            </w:r>
          </w:p>
        </w:tc>
        <w:tc>
          <w:tcPr>
            <w:tcW w:w="646" w:type="pct"/>
            <w:tcBorders>
              <w:top w:val="nil"/>
              <w:left w:val="nil"/>
              <w:bottom w:val="nil"/>
              <w:right w:val="nil"/>
            </w:tcBorders>
            <w:shd w:val="clear" w:color="auto" w:fill="auto"/>
            <w:noWrap/>
            <w:vAlign w:val="center"/>
            <w:hideMark/>
          </w:tcPr>
          <w:p w14:paraId="1C2B3FC5" w14:textId="77777777" w:rsidR="007701F3" w:rsidRDefault="007701F3" w:rsidP="007701F3">
            <w:pPr>
              <w:spacing w:after="120"/>
              <w:rPr>
                <w:rFonts w:ascii="Calibri" w:hAnsi="Calibri" w:cs="Calibri"/>
                <w:color w:val="000000"/>
                <w:sz w:val="16"/>
                <w:szCs w:val="16"/>
              </w:rPr>
            </w:pPr>
          </w:p>
        </w:tc>
        <w:tc>
          <w:tcPr>
            <w:tcW w:w="1959" w:type="pct"/>
            <w:gridSpan w:val="2"/>
            <w:tcBorders>
              <w:top w:val="nil"/>
              <w:left w:val="nil"/>
              <w:bottom w:val="nil"/>
              <w:right w:val="nil"/>
            </w:tcBorders>
            <w:shd w:val="clear" w:color="auto" w:fill="auto"/>
            <w:vAlign w:val="center"/>
            <w:hideMark/>
          </w:tcPr>
          <w:p w14:paraId="423A264F" w14:textId="0C67456A" w:rsidR="007701F3" w:rsidRDefault="0026154E" w:rsidP="007701F3">
            <w:pPr>
              <w:spacing w:after="120"/>
              <w:jc w:val="right"/>
              <w:rPr>
                <w:rFonts w:ascii="Calibri" w:hAnsi="Calibri" w:cs="Calibri"/>
                <w:color w:val="000000"/>
                <w:sz w:val="16"/>
                <w:szCs w:val="16"/>
              </w:rPr>
            </w:pPr>
            <w:r>
              <w:rPr>
                <w:rFonts w:ascii="Calibri" w:hAnsi="Calibri" w:cs="Calibri"/>
                <w:color w:val="000000"/>
                <w:sz w:val="16"/>
                <w:szCs w:val="16"/>
              </w:rPr>
              <w:t>(1.284.047.034)</w:t>
            </w:r>
          </w:p>
        </w:tc>
        <w:tc>
          <w:tcPr>
            <w:tcW w:w="1313" w:type="pct"/>
            <w:tcBorders>
              <w:top w:val="nil"/>
              <w:left w:val="nil"/>
              <w:bottom w:val="nil"/>
              <w:right w:val="nil"/>
            </w:tcBorders>
            <w:shd w:val="clear" w:color="auto" w:fill="auto"/>
            <w:vAlign w:val="center"/>
            <w:hideMark/>
          </w:tcPr>
          <w:p w14:paraId="4BDC71F3" w14:textId="4DF1A2F2"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0</w:t>
            </w:r>
          </w:p>
        </w:tc>
      </w:tr>
      <w:tr w:rsidR="007701F3" w14:paraId="2B3F69ED" w14:textId="77777777" w:rsidTr="007701F3">
        <w:trPr>
          <w:trHeight w:hRule="exact" w:val="227"/>
        </w:trPr>
        <w:tc>
          <w:tcPr>
            <w:tcW w:w="1082" w:type="pct"/>
            <w:tcBorders>
              <w:top w:val="nil"/>
              <w:left w:val="nil"/>
              <w:bottom w:val="nil"/>
              <w:right w:val="nil"/>
            </w:tcBorders>
            <w:shd w:val="clear" w:color="auto" w:fill="auto"/>
            <w:noWrap/>
            <w:vAlign w:val="center"/>
            <w:hideMark/>
          </w:tcPr>
          <w:p w14:paraId="6C204B97" w14:textId="77777777" w:rsidR="007701F3" w:rsidRDefault="007701F3" w:rsidP="007701F3">
            <w:pPr>
              <w:spacing w:after="120"/>
              <w:rPr>
                <w:rFonts w:ascii="Calibri" w:hAnsi="Calibri" w:cs="Calibri"/>
                <w:color w:val="000000"/>
                <w:sz w:val="16"/>
                <w:szCs w:val="16"/>
              </w:rPr>
            </w:pPr>
            <w:r>
              <w:rPr>
                <w:rFonts w:ascii="Calibri" w:hAnsi="Calibri" w:cs="Calibri"/>
                <w:color w:val="000000"/>
                <w:sz w:val="16"/>
                <w:szCs w:val="16"/>
              </w:rPr>
              <w:t>Devolução de AFAC</w:t>
            </w:r>
          </w:p>
        </w:tc>
        <w:tc>
          <w:tcPr>
            <w:tcW w:w="646" w:type="pct"/>
            <w:tcBorders>
              <w:top w:val="nil"/>
              <w:left w:val="nil"/>
              <w:bottom w:val="nil"/>
              <w:right w:val="nil"/>
            </w:tcBorders>
            <w:shd w:val="clear" w:color="auto" w:fill="auto"/>
            <w:noWrap/>
            <w:vAlign w:val="center"/>
            <w:hideMark/>
          </w:tcPr>
          <w:p w14:paraId="2E00E23B" w14:textId="77777777" w:rsidR="007701F3" w:rsidRDefault="007701F3" w:rsidP="007701F3">
            <w:pPr>
              <w:spacing w:after="120"/>
              <w:rPr>
                <w:rFonts w:ascii="Calibri" w:hAnsi="Calibri" w:cs="Calibri"/>
                <w:color w:val="000000"/>
                <w:sz w:val="16"/>
                <w:szCs w:val="16"/>
              </w:rPr>
            </w:pPr>
          </w:p>
        </w:tc>
        <w:tc>
          <w:tcPr>
            <w:tcW w:w="1959" w:type="pct"/>
            <w:gridSpan w:val="2"/>
            <w:tcBorders>
              <w:top w:val="nil"/>
              <w:left w:val="nil"/>
              <w:bottom w:val="nil"/>
              <w:right w:val="nil"/>
            </w:tcBorders>
            <w:shd w:val="clear" w:color="auto" w:fill="auto"/>
            <w:vAlign w:val="center"/>
            <w:hideMark/>
          </w:tcPr>
          <w:p w14:paraId="72F3CD5E" w14:textId="1A31D969"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0</w:t>
            </w:r>
          </w:p>
        </w:tc>
        <w:tc>
          <w:tcPr>
            <w:tcW w:w="1313" w:type="pct"/>
            <w:tcBorders>
              <w:top w:val="nil"/>
              <w:left w:val="nil"/>
              <w:bottom w:val="nil"/>
              <w:right w:val="nil"/>
            </w:tcBorders>
            <w:shd w:val="clear" w:color="auto" w:fill="auto"/>
            <w:vAlign w:val="center"/>
            <w:hideMark/>
          </w:tcPr>
          <w:p w14:paraId="0E1A8A7C" w14:textId="3C62101F" w:rsidR="007701F3" w:rsidRDefault="007701F3" w:rsidP="007701F3">
            <w:pPr>
              <w:spacing w:after="120"/>
              <w:jc w:val="right"/>
              <w:rPr>
                <w:rFonts w:ascii="Calibri" w:hAnsi="Calibri" w:cs="Calibri"/>
                <w:color w:val="000000"/>
                <w:sz w:val="16"/>
                <w:szCs w:val="16"/>
              </w:rPr>
            </w:pPr>
            <w:r>
              <w:rPr>
                <w:rFonts w:ascii="Calibri" w:hAnsi="Calibri" w:cs="Calibri"/>
                <w:color w:val="000000"/>
                <w:sz w:val="16"/>
                <w:szCs w:val="16"/>
              </w:rPr>
              <w:t>(2.657.243)</w:t>
            </w:r>
          </w:p>
        </w:tc>
      </w:tr>
      <w:tr w:rsidR="007701F3" w14:paraId="232DE3CF" w14:textId="77777777" w:rsidTr="007701F3">
        <w:trPr>
          <w:trHeight w:hRule="exact" w:val="227"/>
        </w:trPr>
        <w:tc>
          <w:tcPr>
            <w:tcW w:w="1082" w:type="pct"/>
            <w:tcBorders>
              <w:top w:val="nil"/>
              <w:left w:val="nil"/>
              <w:bottom w:val="single" w:sz="8" w:space="0" w:color="auto"/>
              <w:right w:val="nil"/>
            </w:tcBorders>
            <w:shd w:val="clear" w:color="auto" w:fill="auto"/>
            <w:noWrap/>
            <w:vAlign w:val="center"/>
            <w:hideMark/>
          </w:tcPr>
          <w:p w14:paraId="3ACF6963" w14:textId="77777777" w:rsidR="007701F3" w:rsidRDefault="007701F3" w:rsidP="007701F3">
            <w:pPr>
              <w:spacing w:after="120"/>
              <w:rPr>
                <w:rFonts w:ascii="Calibri" w:hAnsi="Calibri" w:cs="Calibri"/>
                <w:b/>
                <w:bCs/>
                <w:color w:val="000000"/>
                <w:sz w:val="16"/>
                <w:szCs w:val="16"/>
              </w:rPr>
            </w:pPr>
            <w:r>
              <w:rPr>
                <w:rFonts w:ascii="Calibri" w:hAnsi="Calibri" w:cs="Calibri"/>
                <w:b/>
                <w:bCs/>
                <w:color w:val="000000"/>
                <w:sz w:val="16"/>
                <w:szCs w:val="16"/>
              </w:rPr>
              <w:t xml:space="preserve">TOTAL AFAC Patrimônio Líquido </w:t>
            </w:r>
          </w:p>
        </w:tc>
        <w:tc>
          <w:tcPr>
            <w:tcW w:w="646" w:type="pct"/>
            <w:tcBorders>
              <w:top w:val="nil"/>
              <w:left w:val="nil"/>
              <w:bottom w:val="single" w:sz="8" w:space="0" w:color="auto"/>
              <w:right w:val="nil"/>
            </w:tcBorders>
            <w:shd w:val="clear" w:color="auto" w:fill="auto"/>
            <w:noWrap/>
            <w:vAlign w:val="center"/>
            <w:hideMark/>
          </w:tcPr>
          <w:p w14:paraId="420ACEF6" w14:textId="77777777" w:rsidR="007701F3" w:rsidRDefault="007701F3" w:rsidP="007701F3">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959" w:type="pct"/>
            <w:gridSpan w:val="2"/>
            <w:tcBorders>
              <w:top w:val="nil"/>
              <w:left w:val="nil"/>
              <w:bottom w:val="single" w:sz="8" w:space="0" w:color="auto"/>
              <w:right w:val="nil"/>
            </w:tcBorders>
            <w:shd w:val="clear" w:color="auto" w:fill="auto"/>
            <w:vAlign w:val="center"/>
            <w:hideMark/>
          </w:tcPr>
          <w:p w14:paraId="33B27E99" w14:textId="164322A5" w:rsidR="007701F3" w:rsidRDefault="00E94402" w:rsidP="007701F3">
            <w:pPr>
              <w:spacing w:after="120"/>
              <w:jc w:val="right"/>
              <w:rPr>
                <w:rFonts w:ascii="Calibri" w:hAnsi="Calibri" w:cs="Calibri"/>
                <w:b/>
                <w:bCs/>
                <w:color w:val="000000"/>
                <w:sz w:val="16"/>
                <w:szCs w:val="16"/>
              </w:rPr>
            </w:pPr>
            <w:r>
              <w:rPr>
                <w:rFonts w:ascii="Calibri" w:hAnsi="Calibri" w:cs="Calibri"/>
                <w:b/>
                <w:bCs/>
                <w:color w:val="000000"/>
                <w:sz w:val="16"/>
                <w:szCs w:val="16"/>
              </w:rPr>
              <w:t>236.704.502</w:t>
            </w:r>
          </w:p>
        </w:tc>
        <w:tc>
          <w:tcPr>
            <w:tcW w:w="1313" w:type="pct"/>
            <w:tcBorders>
              <w:top w:val="nil"/>
              <w:left w:val="nil"/>
              <w:bottom w:val="single" w:sz="8" w:space="0" w:color="auto"/>
              <w:right w:val="nil"/>
            </w:tcBorders>
            <w:shd w:val="clear" w:color="auto" w:fill="auto"/>
            <w:vAlign w:val="center"/>
            <w:hideMark/>
          </w:tcPr>
          <w:p w14:paraId="61AF7524" w14:textId="46E0D7F4" w:rsidR="007701F3" w:rsidRDefault="007701F3" w:rsidP="007701F3">
            <w:pPr>
              <w:spacing w:after="120"/>
              <w:jc w:val="right"/>
              <w:rPr>
                <w:rFonts w:ascii="Calibri" w:hAnsi="Calibri" w:cs="Calibri"/>
                <w:b/>
                <w:bCs/>
                <w:color w:val="000000"/>
                <w:sz w:val="16"/>
                <w:szCs w:val="16"/>
              </w:rPr>
            </w:pPr>
            <w:r>
              <w:rPr>
                <w:rFonts w:ascii="Calibri" w:hAnsi="Calibri" w:cs="Calibri"/>
                <w:b/>
                <w:bCs/>
                <w:color w:val="000000"/>
                <w:sz w:val="16"/>
                <w:szCs w:val="16"/>
              </w:rPr>
              <w:t>1.288.641.343</w:t>
            </w:r>
          </w:p>
        </w:tc>
      </w:tr>
      <w:tr w:rsidR="00A05C0D" w14:paraId="1BB865C0" w14:textId="77777777" w:rsidTr="007701F3">
        <w:trPr>
          <w:trHeight w:hRule="exact" w:val="227"/>
        </w:trPr>
        <w:tc>
          <w:tcPr>
            <w:tcW w:w="1728" w:type="pct"/>
            <w:gridSpan w:val="2"/>
            <w:tcBorders>
              <w:top w:val="single" w:sz="8" w:space="0" w:color="auto"/>
              <w:left w:val="nil"/>
              <w:bottom w:val="single" w:sz="8" w:space="0" w:color="auto"/>
              <w:right w:val="nil"/>
            </w:tcBorders>
            <w:shd w:val="clear" w:color="auto" w:fill="auto"/>
            <w:noWrap/>
            <w:vAlign w:val="center"/>
            <w:hideMark/>
          </w:tcPr>
          <w:p w14:paraId="32894E19" w14:textId="77777777" w:rsidR="00A05C0D" w:rsidRDefault="00A05C0D" w:rsidP="00670EF5">
            <w:pPr>
              <w:spacing w:after="120"/>
              <w:rPr>
                <w:rFonts w:ascii="Calibri" w:hAnsi="Calibri" w:cs="Calibri"/>
                <w:b/>
                <w:bCs/>
                <w:color w:val="000000"/>
                <w:sz w:val="16"/>
                <w:szCs w:val="16"/>
              </w:rPr>
            </w:pPr>
            <w:r>
              <w:rPr>
                <w:rFonts w:ascii="Calibri" w:hAnsi="Calibri" w:cs="Calibri"/>
                <w:b/>
                <w:bCs/>
                <w:color w:val="000000"/>
                <w:sz w:val="16"/>
                <w:szCs w:val="16"/>
              </w:rPr>
              <w:t>FORMAÇÃO DO SALDO DO AFAC</w:t>
            </w:r>
          </w:p>
        </w:tc>
        <w:tc>
          <w:tcPr>
            <w:tcW w:w="983" w:type="pct"/>
            <w:tcBorders>
              <w:top w:val="nil"/>
              <w:left w:val="nil"/>
              <w:bottom w:val="single" w:sz="8" w:space="0" w:color="auto"/>
              <w:right w:val="nil"/>
            </w:tcBorders>
            <w:shd w:val="clear" w:color="auto" w:fill="auto"/>
            <w:noWrap/>
            <w:vAlign w:val="center"/>
            <w:hideMark/>
          </w:tcPr>
          <w:p w14:paraId="5885DD03" w14:textId="77777777" w:rsidR="00A05C0D" w:rsidRDefault="00A05C0D" w:rsidP="00670EF5">
            <w:pPr>
              <w:spacing w:after="120"/>
              <w:jc w:val="center"/>
              <w:rPr>
                <w:rFonts w:ascii="Calibri" w:hAnsi="Calibri" w:cs="Calibri"/>
                <w:b/>
                <w:bCs/>
                <w:color w:val="000000"/>
                <w:sz w:val="16"/>
                <w:szCs w:val="16"/>
              </w:rPr>
            </w:pPr>
            <w:r>
              <w:rPr>
                <w:rFonts w:ascii="Calibri" w:hAnsi="Calibri" w:cs="Calibri"/>
                <w:b/>
                <w:bCs/>
                <w:color w:val="000000"/>
                <w:sz w:val="16"/>
                <w:szCs w:val="16"/>
              </w:rPr>
              <w:t> </w:t>
            </w:r>
          </w:p>
        </w:tc>
        <w:tc>
          <w:tcPr>
            <w:tcW w:w="976" w:type="pct"/>
            <w:tcBorders>
              <w:top w:val="nil"/>
              <w:left w:val="nil"/>
              <w:bottom w:val="single" w:sz="8" w:space="0" w:color="auto"/>
              <w:right w:val="nil"/>
            </w:tcBorders>
            <w:shd w:val="clear" w:color="auto" w:fill="auto"/>
            <w:noWrap/>
            <w:vAlign w:val="center"/>
            <w:hideMark/>
          </w:tcPr>
          <w:p w14:paraId="227CA451" w14:textId="77777777"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313" w:type="pct"/>
            <w:tcBorders>
              <w:top w:val="single" w:sz="8" w:space="0" w:color="auto"/>
              <w:left w:val="nil"/>
              <w:bottom w:val="single" w:sz="8" w:space="0" w:color="auto"/>
              <w:right w:val="nil"/>
            </w:tcBorders>
            <w:shd w:val="clear" w:color="auto" w:fill="auto"/>
            <w:vAlign w:val="center"/>
            <w:hideMark/>
          </w:tcPr>
          <w:p w14:paraId="22B8844E" w14:textId="77777777" w:rsidR="00A05C0D" w:rsidRDefault="00A05C0D" w:rsidP="00670EF5">
            <w:pPr>
              <w:spacing w:after="120"/>
              <w:rPr>
                <w:color w:val="000000"/>
                <w:sz w:val="20"/>
                <w:szCs w:val="20"/>
              </w:rPr>
            </w:pPr>
            <w:r>
              <w:rPr>
                <w:color w:val="000000"/>
                <w:sz w:val="20"/>
                <w:szCs w:val="20"/>
              </w:rPr>
              <w:t> </w:t>
            </w:r>
          </w:p>
        </w:tc>
      </w:tr>
      <w:tr w:rsidR="000C5384" w14:paraId="2F6AA9AA" w14:textId="77777777" w:rsidTr="007701F3">
        <w:trPr>
          <w:trHeight w:hRule="exact" w:val="227"/>
        </w:trPr>
        <w:tc>
          <w:tcPr>
            <w:tcW w:w="2711" w:type="pct"/>
            <w:gridSpan w:val="3"/>
            <w:tcBorders>
              <w:top w:val="nil"/>
              <w:left w:val="nil"/>
              <w:right w:val="nil"/>
            </w:tcBorders>
            <w:shd w:val="clear" w:color="auto" w:fill="auto"/>
            <w:noWrap/>
            <w:vAlign w:val="center"/>
          </w:tcPr>
          <w:p w14:paraId="18E38FCB" w14:textId="31E5EDA0" w:rsidR="000C5384" w:rsidRDefault="000C5384" w:rsidP="00670EF5">
            <w:pPr>
              <w:spacing w:after="120"/>
              <w:rPr>
                <w:rFonts w:ascii="Calibri" w:hAnsi="Calibri" w:cs="Calibri"/>
                <w:color w:val="000000"/>
                <w:sz w:val="16"/>
                <w:szCs w:val="16"/>
              </w:rPr>
            </w:pPr>
            <w:r>
              <w:rPr>
                <w:rFonts w:ascii="Calibri" w:hAnsi="Calibri" w:cs="Calibri"/>
                <w:color w:val="000000"/>
                <w:sz w:val="16"/>
                <w:szCs w:val="16"/>
              </w:rPr>
              <w:t>Recursos recebidos em 2021</w:t>
            </w:r>
          </w:p>
        </w:tc>
        <w:tc>
          <w:tcPr>
            <w:tcW w:w="976" w:type="pct"/>
            <w:tcBorders>
              <w:top w:val="nil"/>
              <w:left w:val="nil"/>
              <w:right w:val="nil"/>
            </w:tcBorders>
            <w:shd w:val="clear" w:color="auto" w:fill="auto"/>
            <w:noWrap/>
            <w:vAlign w:val="center"/>
          </w:tcPr>
          <w:p w14:paraId="6D102361" w14:textId="77777777" w:rsidR="000C5384" w:rsidRDefault="000C5384" w:rsidP="00670EF5">
            <w:pPr>
              <w:spacing w:after="120"/>
              <w:jc w:val="right"/>
              <w:rPr>
                <w:rFonts w:ascii="Calibri" w:hAnsi="Calibri" w:cs="Calibri"/>
                <w:color w:val="000000"/>
                <w:sz w:val="16"/>
                <w:szCs w:val="16"/>
              </w:rPr>
            </w:pPr>
          </w:p>
        </w:tc>
        <w:tc>
          <w:tcPr>
            <w:tcW w:w="1313" w:type="pct"/>
            <w:tcBorders>
              <w:top w:val="nil"/>
              <w:left w:val="nil"/>
              <w:right w:val="nil"/>
            </w:tcBorders>
            <w:shd w:val="clear" w:color="auto" w:fill="auto"/>
            <w:vAlign w:val="center"/>
          </w:tcPr>
          <w:p w14:paraId="1F2A28C4" w14:textId="0870157C" w:rsidR="000C5384" w:rsidRDefault="0026154E" w:rsidP="00670EF5">
            <w:pPr>
              <w:spacing w:after="120"/>
              <w:jc w:val="right"/>
              <w:rPr>
                <w:rFonts w:ascii="Calibri" w:hAnsi="Calibri" w:cs="Calibri"/>
                <w:color w:val="000000"/>
                <w:sz w:val="16"/>
                <w:szCs w:val="16"/>
              </w:rPr>
            </w:pPr>
            <w:r>
              <w:rPr>
                <w:rFonts w:ascii="Calibri" w:hAnsi="Calibri" w:cs="Calibri"/>
                <w:color w:val="000000"/>
                <w:sz w:val="16"/>
                <w:szCs w:val="16"/>
              </w:rPr>
              <w:t>4.594.309</w:t>
            </w:r>
          </w:p>
        </w:tc>
      </w:tr>
      <w:tr w:rsidR="00A05C0D" w14:paraId="5B86CAC7" w14:textId="77777777" w:rsidTr="007701F3">
        <w:trPr>
          <w:trHeight w:hRule="exact" w:val="227"/>
        </w:trPr>
        <w:tc>
          <w:tcPr>
            <w:tcW w:w="2711" w:type="pct"/>
            <w:gridSpan w:val="3"/>
            <w:tcBorders>
              <w:left w:val="nil"/>
              <w:bottom w:val="single" w:sz="8" w:space="0" w:color="auto"/>
              <w:right w:val="nil"/>
            </w:tcBorders>
            <w:shd w:val="clear" w:color="auto" w:fill="auto"/>
            <w:noWrap/>
            <w:vAlign w:val="center"/>
            <w:hideMark/>
          </w:tcPr>
          <w:p w14:paraId="7ED8F24B" w14:textId="015C4665" w:rsidR="00A05C0D" w:rsidRDefault="00A05C0D" w:rsidP="00670EF5">
            <w:pPr>
              <w:spacing w:after="120"/>
              <w:rPr>
                <w:rFonts w:ascii="Calibri" w:hAnsi="Calibri" w:cs="Calibri"/>
                <w:color w:val="000000"/>
                <w:sz w:val="16"/>
                <w:szCs w:val="16"/>
              </w:rPr>
            </w:pPr>
            <w:r>
              <w:rPr>
                <w:rFonts w:ascii="Calibri" w:hAnsi="Calibri" w:cs="Calibri"/>
                <w:color w:val="000000"/>
                <w:sz w:val="16"/>
                <w:szCs w:val="16"/>
              </w:rPr>
              <w:t>Recursos recebidos em 202</w:t>
            </w:r>
            <w:r w:rsidR="00ED26AA">
              <w:rPr>
                <w:rFonts w:ascii="Calibri" w:hAnsi="Calibri" w:cs="Calibri"/>
                <w:color w:val="000000"/>
                <w:sz w:val="16"/>
                <w:szCs w:val="16"/>
              </w:rPr>
              <w:t>2</w:t>
            </w:r>
          </w:p>
        </w:tc>
        <w:tc>
          <w:tcPr>
            <w:tcW w:w="976" w:type="pct"/>
            <w:tcBorders>
              <w:left w:val="nil"/>
              <w:bottom w:val="single" w:sz="8" w:space="0" w:color="auto"/>
              <w:right w:val="nil"/>
            </w:tcBorders>
            <w:shd w:val="clear" w:color="auto" w:fill="auto"/>
            <w:noWrap/>
            <w:vAlign w:val="center"/>
            <w:hideMark/>
          </w:tcPr>
          <w:p w14:paraId="63D41311" w14:textId="77777777" w:rsidR="00A05C0D" w:rsidRDefault="00A05C0D" w:rsidP="00670EF5">
            <w:pPr>
              <w:spacing w:after="120"/>
              <w:jc w:val="right"/>
              <w:rPr>
                <w:rFonts w:ascii="Calibri" w:hAnsi="Calibri" w:cs="Calibri"/>
                <w:color w:val="000000"/>
                <w:sz w:val="16"/>
                <w:szCs w:val="16"/>
              </w:rPr>
            </w:pPr>
            <w:r>
              <w:rPr>
                <w:rFonts w:ascii="Calibri" w:hAnsi="Calibri" w:cs="Calibri"/>
                <w:color w:val="000000"/>
                <w:sz w:val="16"/>
                <w:szCs w:val="16"/>
              </w:rPr>
              <w:t> </w:t>
            </w:r>
          </w:p>
        </w:tc>
        <w:tc>
          <w:tcPr>
            <w:tcW w:w="1313" w:type="pct"/>
            <w:tcBorders>
              <w:left w:val="nil"/>
              <w:bottom w:val="single" w:sz="8" w:space="0" w:color="auto"/>
              <w:right w:val="nil"/>
            </w:tcBorders>
            <w:shd w:val="clear" w:color="auto" w:fill="auto"/>
            <w:vAlign w:val="center"/>
            <w:hideMark/>
          </w:tcPr>
          <w:p w14:paraId="59EC5BB3" w14:textId="32B47383" w:rsidR="00A05C0D" w:rsidRDefault="00E94402" w:rsidP="00670EF5">
            <w:pPr>
              <w:spacing w:after="120"/>
              <w:jc w:val="right"/>
              <w:rPr>
                <w:rFonts w:ascii="Calibri" w:hAnsi="Calibri" w:cs="Calibri"/>
                <w:color w:val="000000"/>
                <w:sz w:val="16"/>
                <w:szCs w:val="16"/>
              </w:rPr>
            </w:pPr>
            <w:r>
              <w:rPr>
                <w:rFonts w:ascii="Calibri" w:hAnsi="Calibri" w:cs="Calibri"/>
                <w:color w:val="000000"/>
                <w:sz w:val="16"/>
                <w:szCs w:val="16"/>
              </w:rPr>
              <w:t>232.110.193</w:t>
            </w:r>
          </w:p>
        </w:tc>
      </w:tr>
      <w:tr w:rsidR="00A05C0D" w14:paraId="70B16B5E" w14:textId="77777777" w:rsidTr="007701F3">
        <w:trPr>
          <w:trHeight w:hRule="exact" w:val="227"/>
        </w:trPr>
        <w:tc>
          <w:tcPr>
            <w:tcW w:w="2711" w:type="pct"/>
            <w:gridSpan w:val="3"/>
            <w:tcBorders>
              <w:top w:val="single" w:sz="8" w:space="0" w:color="auto"/>
              <w:left w:val="nil"/>
              <w:bottom w:val="single" w:sz="8" w:space="0" w:color="auto"/>
              <w:right w:val="nil"/>
            </w:tcBorders>
            <w:shd w:val="clear" w:color="auto" w:fill="auto"/>
            <w:noWrap/>
            <w:vAlign w:val="center"/>
            <w:hideMark/>
          </w:tcPr>
          <w:p w14:paraId="5D1E0B95" w14:textId="6A4A198E" w:rsidR="00A05C0D" w:rsidRDefault="00A05C0D" w:rsidP="00670EF5">
            <w:pPr>
              <w:spacing w:after="120"/>
              <w:rPr>
                <w:rFonts w:ascii="Calibri" w:hAnsi="Calibri" w:cs="Calibri"/>
                <w:b/>
                <w:bCs/>
                <w:color w:val="000000"/>
                <w:sz w:val="16"/>
                <w:szCs w:val="16"/>
              </w:rPr>
            </w:pPr>
            <w:r>
              <w:rPr>
                <w:rFonts w:ascii="Calibri" w:hAnsi="Calibri" w:cs="Calibri"/>
                <w:b/>
                <w:bCs/>
                <w:color w:val="000000"/>
                <w:sz w:val="16"/>
                <w:szCs w:val="16"/>
              </w:rPr>
              <w:t>TOTAL AFAC EM 3</w:t>
            </w:r>
            <w:r w:rsidR="0026154E">
              <w:rPr>
                <w:rFonts w:ascii="Calibri" w:hAnsi="Calibri" w:cs="Calibri"/>
                <w:b/>
                <w:bCs/>
                <w:color w:val="000000"/>
                <w:sz w:val="16"/>
                <w:szCs w:val="16"/>
              </w:rPr>
              <w:t>0</w:t>
            </w:r>
            <w:r>
              <w:rPr>
                <w:rFonts w:ascii="Calibri" w:hAnsi="Calibri" w:cs="Calibri"/>
                <w:b/>
                <w:bCs/>
                <w:color w:val="000000"/>
                <w:sz w:val="16"/>
                <w:szCs w:val="16"/>
              </w:rPr>
              <w:t>/</w:t>
            </w:r>
            <w:r w:rsidR="004D7071">
              <w:rPr>
                <w:rFonts w:ascii="Calibri" w:hAnsi="Calibri" w:cs="Calibri"/>
                <w:b/>
                <w:bCs/>
                <w:color w:val="000000"/>
                <w:sz w:val="16"/>
                <w:szCs w:val="16"/>
              </w:rPr>
              <w:t>0</w:t>
            </w:r>
            <w:r w:rsidR="00E94402">
              <w:rPr>
                <w:rFonts w:ascii="Calibri" w:hAnsi="Calibri" w:cs="Calibri"/>
                <w:b/>
                <w:bCs/>
                <w:color w:val="000000"/>
                <w:sz w:val="16"/>
                <w:szCs w:val="16"/>
              </w:rPr>
              <w:t>9</w:t>
            </w:r>
            <w:r>
              <w:rPr>
                <w:rFonts w:ascii="Calibri" w:hAnsi="Calibri" w:cs="Calibri"/>
                <w:b/>
                <w:bCs/>
                <w:color w:val="000000"/>
                <w:sz w:val="16"/>
                <w:szCs w:val="16"/>
              </w:rPr>
              <w:t>/202</w:t>
            </w:r>
            <w:r w:rsidR="00ED26AA">
              <w:rPr>
                <w:rFonts w:ascii="Calibri" w:hAnsi="Calibri" w:cs="Calibri"/>
                <w:b/>
                <w:bCs/>
                <w:color w:val="000000"/>
                <w:sz w:val="16"/>
                <w:szCs w:val="16"/>
              </w:rPr>
              <w:t>2</w:t>
            </w:r>
          </w:p>
        </w:tc>
        <w:tc>
          <w:tcPr>
            <w:tcW w:w="976" w:type="pct"/>
            <w:tcBorders>
              <w:top w:val="nil"/>
              <w:left w:val="nil"/>
              <w:bottom w:val="single" w:sz="8" w:space="0" w:color="auto"/>
              <w:right w:val="nil"/>
            </w:tcBorders>
            <w:shd w:val="clear" w:color="auto" w:fill="auto"/>
            <w:noWrap/>
            <w:vAlign w:val="center"/>
            <w:hideMark/>
          </w:tcPr>
          <w:p w14:paraId="64AF446B" w14:textId="77777777" w:rsidR="00A05C0D" w:rsidRDefault="00A05C0D" w:rsidP="00670EF5">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1313" w:type="pct"/>
            <w:tcBorders>
              <w:top w:val="single" w:sz="8" w:space="0" w:color="auto"/>
              <w:left w:val="nil"/>
              <w:bottom w:val="single" w:sz="8" w:space="0" w:color="auto"/>
              <w:right w:val="nil"/>
            </w:tcBorders>
            <w:shd w:val="clear" w:color="auto" w:fill="auto"/>
            <w:vAlign w:val="center"/>
            <w:hideMark/>
          </w:tcPr>
          <w:p w14:paraId="32E0AF4A" w14:textId="15472ABC" w:rsidR="00A05C0D" w:rsidRDefault="00E50975" w:rsidP="00670EF5">
            <w:pPr>
              <w:spacing w:after="120"/>
              <w:jc w:val="right"/>
              <w:rPr>
                <w:rFonts w:ascii="Calibri" w:hAnsi="Calibri" w:cs="Calibri"/>
                <w:b/>
                <w:bCs/>
                <w:color w:val="000000"/>
                <w:sz w:val="16"/>
                <w:szCs w:val="16"/>
              </w:rPr>
            </w:pPr>
            <w:r>
              <w:rPr>
                <w:rFonts w:ascii="Calibri" w:hAnsi="Calibri" w:cs="Calibri"/>
                <w:b/>
                <w:bCs/>
                <w:color w:val="000000"/>
                <w:sz w:val="16"/>
                <w:szCs w:val="16"/>
              </w:rPr>
              <w:t>236.704.502</w:t>
            </w:r>
          </w:p>
        </w:tc>
      </w:tr>
    </w:tbl>
    <w:p w14:paraId="00BDCD20" w14:textId="1200DC3A" w:rsidR="000C5384" w:rsidRDefault="007701F3" w:rsidP="007701F3">
      <w:pPr>
        <w:spacing w:before="120" w:after="120"/>
        <w:ind w:right="-142"/>
        <w:jc w:val="both"/>
        <w:rPr>
          <w:rFonts w:ascii="Calibri" w:hAnsi="Calibri" w:cs="Calibri"/>
          <w:sz w:val="22"/>
          <w:szCs w:val="22"/>
        </w:rPr>
      </w:pPr>
      <w:r w:rsidRPr="007701F3">
        <w:rPr>
          <w:rFonts w:ascii="Calibri" w:hAnsi="Calibri" w:cs="Calibri"/>
          <w:sz w:val="22"/>
          <w:szCs w:val="22"/>
        </w:rPr>
        <w:t>O saldo de Adiantamentos para Futuro Aumento de Capital acumulado até 3</w:t>
      </w:r>
      <w:r w:rsidR="0026154E">
        <w:rPr>
          <w:rFonts w:ascii="Calibri" w:hAnsi="Calibri" w:cs="Calibri"/>
          <w:sz w:val="22"/>
          <w:szCs w:val="22"/>
        </w:rPr>
        <w:t>0</w:t>
      </w:r>
      <w:r w:rsidRPr="007701F3">
        <w:rPr>
          <w:rFonts w:ascii="Calibri" w:hAnsi="Calibri" w:cs="Calibri"/>
          <w:sz w:val="22"/>
          <w:szCs w:val="22"/>
        </w:rPr>
        <w:t xml:space="preserve"> de </w:t>
      </w:r>
      <w:r w:rsidR="00E50975">
        <w:rPr>
          <w:rFonts w:ascii="Calibri" w:hAnsi="Calibri" w:cs="Calibri"/>
          <w:sz w:val="22"/>
          <w:szCs w:val="22"/>
        </w:rPr>
        <w:t>setembr</w:t>
      </w:r>
      <w:r w:rsidRPr="007701F3">
        <w:rPr>
          <w:rFonts w:ascii="Calibri" w:hAnsi="Calibri" w:cs="Calibri"/>
          <w:sz w:val="22"/>
          <w:szCs w:val="22"/>
        </w:rPr>
        <w:t>o de</w:t>
      </w:r>
      <w:r>
        <w:rPr>
          <w:rFonts w:ascii="Calibri" w:hAnsi="Calibri" w:cs="Calibri"/>
          <w:sz w:val="22"/>
          <w:szCs w:val="22"/>
        </w:rPr>
        <w:t xml:space="preserve"> </w:t>
      </w:r>
      <w:r w:rsidRPr="007701F3">
        <w:rPr>
          <w:rFonts w:ascii="Calibri" w:hAnsi="Calibri" w:cs="Calibri"/>
          <w:sz w:val="22"/>
          <w:szCs w:val="22"/>
        </w:rPr>
        <w:t xml:space="preserve">2022 soma R$ </w:t>
      </w:r>
      <w:r w:rsidR="00E50975">
        <w:rPr>
          <w:rFonts w:ascii="Calibri" w:hAnsi="Calibri" w:cs="Calibri"/>
          <w:sz w:val="22"/>
          <w:szCs w:val="22"/>
        </w:rPr>
        <w:t>236,70</w:t>
      </w:r>
      <w:r w:rsidR="0026154E">
        <w:rPr>
          <w:rFonts w:ascii="Calibri" w:hAnsi="Calibri" w:cs="Calibri"/>
          <w:sz w:val="22"/>
          <w:szCs w:val="22"/>
        </w:rPr>
        <w:t xml:space="preserve"> m</w:t>
      </w:r>
      <w:r w:rsidR="000E57F2">
        <w:rPr>
          <w:rFonts w:ascii="Calibri" w:hAnsi="Calibri" w:cs="Calibri"/>
          <w:sz w:val="22"/>
          <w:szCs w:val="22"/>
        </w:rPr>
        <w:t>ilhões</w:t>
      </w:r>
      <w:r w:rsidRPr="007701F3">
        <w:rPr>
          <w:rFonts w:ascii="Calibri" w:hAnsi="Calibri" w:cs="Calibri"/>
          <w:sz w:val="22"/>
          <w:szCs w:val="22"/>
        </w:rPr>
        <w:t xml:space="preserve">. </w:t>
      </w:r>
    </w:p>
    <w:p w14:paraId="48882B9A" w14:textId="247B5D25" w:rsidR="00CB1154" w:rsidRPr="002901F5" w:rsidRDefault="00D2082F" w:rsidP="00A05C0D">
      <w:pPr>
        <w:numPr>
          <w:ilvl w:val="0"/>
          <w:numId w:val="7"/>
        </w:numPr>
        <w:spacing w:after="120"/>
        <w:ind w:left="284" w:right="-142" w:hanging="284"/>
        <w:rPr>
          <w:rFonts w:ascii="Calibri" w:hAnsi="Calibri" w:cs="Calibri"/>
          <w:b/>
          <w:sz w:val="22"/>
          <w:szCs w:val="22"/>
        </w:rPr>
      </w:pPr>
      <w:r w:rsidRPr="002901F5">
        <w:rPr>
          <w:rFonts w:ascii="Calibri" w:hAnsi="Calibri" w:cs="Calibri"/>
          <w:b/>
          <w:bCs/>
          <w:sz w:val="22"/>
          <w:szCs w:val="22"/>
        </w:rPr>
        <w:t>Prejuízos Ac</w:t>
      </w:r>
      <w:r w:rsidRPr="002901F5">
        <w:rPr>
          <w:rFonts w:ascii="Calibri" w:hAnsi="Calibri" w:cs="Calibri"/>
          <w:b/>
          <w:sz w:val="22"/>
          <w:szCs w:val="22"/>
        </w:rPr>
        <w:t>umulados</w:t>
      </w:r>
    </w:p>
    <w:p w14:paraId="0E74AFFB" w14:textId="235932BB" w:rsidR="00B87A63" w:rsidRDefault="00E458B9" w:rsidP="00937ED9">
      <w:pPr>
        <w:spacing w:after="120"/>
        <w:ind w:right="57"/>
        <w:jc w:val="both"/>
        <w:rPr>
          <w:rFonts w:ascii="Calibri" w:hAnsi="Calibri" w:cs="Calibri"/>
          <w:sz w:val="22"/>
          <w:szCs w:val="22"/>
        </w:rPr>
      </w:pPr>
      <w:r w:rsidRPr="00661570">
        <w:rPr>
          <w:rFonts w:ascii="Calibri" w:hAnsi="Calibri" w:cs="Calibri"/>
          <w:sz w:val="22"/>
          <w:szCs w:val="22"/>
        </w:rPr>
        <w:t xml:space="preserve">O Prejuízo Acumulado no valor </w:t>
      </w:r>
      <w:r w:rsidR="00824D67" w:rsidRPr="00661570">
        <w:rPr>
          <w:rFonts w:ascii="Calibri" w:hAnsi="Calibri" w:cs="Calibri"/>
          <w:sz w:val="22"/>
          <w:szCs w:val="22"/>
        </w:rPr>
        <w:t xml:space="preserve">de R$ </w:t>
      </w:r>
      <w:r w:rsidR="000D65C1" w:rsidRPr="00661570">
        <w:rPr>
          <w:rFonts w:ascii="Calibri" w:hAnsi="Calibri" w:cs="Calibri"/>
          <w:sz w:val="22"/>
          <w:szCs w:val="22"/>
        </w:rPr>
        <w:t>2</w:t>
      </w:r>
      <w:r w:rsidR="00661570">
        <w:rPr>
          <w:rFonts w:ascii="Calibri" w:hAnsi="Calibri" w:cs="Calibri"/>
          <w:sz w:val="22"/>
          <w:szCs w:val="22"/>
        </w:rPr>
        <w:t>1,4</w:t>
      </w:r>
      <w:r w:rsidR="00E50975">
        <w:rPr>
          <w:rFonts w:ascii="Calibri" w:hAnsi="Calibri" w:cs="Calibri"/>
          <w:sz w:val="22"/>
          <w:szCs w:val="22"/>
        </w:rPr>
        <w:t>7</w:t>
      </w:r>
      <w:r w:rsidR="006A236D" w:rsidRPr="00661570">
        <w:rPr>
          <w:rFonts w:ascii="Calibri" w:hAnsi="Calibri" w:cs="Calibri"/>
          <w:sz w:val="22"/>
          <w:szCs w:val="22"/>
        </w:rPr>
        <w:t xml:space="preserve"> </w:t>
      </w:r>
      <w:r w:rsidR="0035020D" w:rsidRPr="00661570">
        <w:rPr>
          <w:rFonts w:ascii="Calibri" w:hAnsi="Calibri" w:cs="Calibri"/>
          <w:sz w:val="22"/>
          <w:szCs w:val="22"/>
        </w:rPr>
        <w:t>b</w:t>
      </w:r>
      <w:r w:rsidR="006A236D" w:rsidRPr="00661570">
        <w:rPr>
          <w:rFonts w:ascii="Calibri" w:hAnsi="Calibri" w:cs="Calibri"/>
          <w:sz w:val="22"/>
          <w:szCs w:val="22"/>
        </w:rPr>
        <w:t>ilhões</w:t>
      </w:r>
      <w:r w:rsidRPr="00661570">
        <w:rPr>
          <w:rFonts w:ascii="Calibri" w:hAnsi="Calibri" w:cs="Calibri"/>
          <w:sz w:val="22"/>
          <w:szCs w:val="22"/>
        </w:rPr>
        <w:t xml:space="preserve"> decorre</w:t>
      </w:r>
      <w:r w:rsidR="00FB744A" w:rsidRPr="00661570">
        <w:rPr>
          <w:rFonts w:ascii="Calibri" w:hAnsi="Calibri" w:cs="Calibri"/>
          <w:sz w:val="22"/>
          <w:szCs w:val="22"/>
        </w:rPr>
        <w:t xml:space="preserve"> </w:t>
      </w:r>
      <w:r w:rsidR="00AA74D1" w:rsidRPr="00661570">
        <w:rPr>
          <w:rFonts w:ascii="Calibri" w:hAnsi="Calibri" w:cs="Calibri"/>
          <w:sz w:val="22"/>
          <w:szCs w:val="22"/>
        </w:rPr>
        <w:t xml:space="preserve">das depreciações dos bens patrimoniais e amortizações dos bens intangíveis; </w:t>
      </w:r>
      <w:r w:rsidRPr="00661570">
        <w:rPr>
          <w:rFonts w:ascii="Calibri" w:hAnsi="Calibri" w:cs="Calibri"/>
          <w:sz w:val="22"/>
          <w:szCs w:val="22"/>
        </w:rPr>
        <w:t>dos efeitos inflacionários da atualização monetária dos Adiantamentos para Futuro Aumento de Capital; da constituição de provisões e atualizações monetárias; do resultado negativo da equivalência patrimonial sobre o investimento n</w:t>
      </w:r>
      <w:r w:rsidR="001011FD" w:rsidRPr="00661570">
        <w:rPr>
          <w:rFonts w:ascii="Calibri" w:hAnsi="Calibri" w:cs="Calibri"/>
          <w:sz w:val="22"/>
          <w:szCs w:val="22"/>
        </w:rPr>
        <w:t>a Transnordestina Logística S/A;  da baixa de ativo</w:t>
      </w:r>
      <w:r w:rsidR="000C3C86" w:rsidRPr="00661570">
        <w:rPr>
          <w:rFonts w:ascii="Calibri" w:hAnsi="Calibri" w:cs="Calibri"/>
          <w:sz w:val="22"/>
          <w:szCs w:val="22"/>
        </w:rPr>
        <w:t>s</w:t>
      </w:r>
      <w:r w:rsidR="001011FD" w:rsidRPr="00661570">
        <w:rPr>
          <w:rFonts w:ascii="Calibri" w:hAnsi="Calibri" w:cs="Calibri"/>
          <w:sz w:val="22"/>
          <w:szCs w:val="22"/>
        </w:rPr>
        <w:t xml:space="preserve"> imobilizad</w:t>
      </w:r>
      <w:r w:rsidR="00604EFA" w:rsidRPr="00661570">
        <w:rPr>
          <w:rFonts w:ascii="Calibri" w:hAnsi="Calibri" w:cs="Calibri"/>
          <w:sz w:val="22"/>
          <w:szCs w:val="22"/>
        </w:rPr>
        <w:t>o</w:t>
      </w:r>
      <w:r w:rsidR="000C3C86" w:rsidRPr="00661570">
        <w:rPr>
          <w:rFonts w:ascii="Calibri" w:hAnsi="Calibri" w:cs="Calibri"/>
          <w:sz w:val="22"/>
          <w:szCs w:val="22"/>
        </w:rPr>
        <w:t>s</w:t>
      </w:r>
      <w:r w:rsidR="00604EFA" w:rsidRPr="00661570">
        <w:rPr>
          <w:rFonts w:ascii="Calibri" w:hAnsi="Calibri" w:cs="Calibri"/>
          <w:sz w:val="22"/>
          <w:szCs w:val="22"/>
        </w:rPr>
        <w:t xml:space="preserve"> em decorrência da conclusão de Tomadas de Contas Especiais do</w:t>
      </w:r>
      <w:r w:rsidR="001011FD" w:rsidRPr="00661570">
        <w:rPr>
          <w:rFonts w:ascii="Calibri" w:hAnsi="Calibri" w:cs="Calibri"/>
          <w:sz w:val="22"/>
          <w:szCs w:val="22"/>
        </w:rPr>
        <w:t xml:space="preserve"> TCU</w:t>
      </w:r>
      <w:r w:rsidR="00FB744A" w:rsidRPr="00661570">
        <w:rPr>
          <w:rFonts w:ascii="Calibri" w:hAnsi="Calibri" w:cs="Calibri"/>
          <w:sz w:val="22"/>
          <w:szCs w:val="22"/>
        </w:rPr>
        <w:t xml:space="preserve">; e principalmente, pela </w:t>
      </w:r>
      <w:r w:rsidR="0035020D" w:rsidRPr="00661570">
        <w:rPr>
          <w:rFonts w:ascii="Calibri" w:hAnsi="Calibri" w:cs="Calibri"/>
          <w:sz w:val="22"/>
          <w:szCs w:val="22"/>
        </w:rPr>
        <w:t>provisão de perda ao valor recuperável</w:t>
      </w:r>
      <w:r w:rsidR="00FB744A" w:rsidRPr="00661570">
        <w:rPr>
          <w:rFonts w:ascii="Calibri" w:hAnsi="Calibri" w:cs="Calibri"/>
          <w:sz w:val="22"/>
          <w:szCs w:val="22"/>
        </w:rPr>
        <w:t xml:space="preserve"> dos ativos da Ferrovia Norte Sul</w:t>
      </w:r>
      <w:r w:rsidR="00D518C0" w:rsidRPr="00661570">
        <w:rPr>
          <w:rFonts w:ascii="Calibri" w:hAnsi="Calibri" w:cs="Calibri"/>
          <w:sz w:val="22"/>
          <w:szCs w:val="22"/>
        </w:rPr>
        <w:t xml:space="preserve"> e da Ferrovia de Integração Oeste Leste</w:t>
      </w:r>
      <w:r w:rsidR="00586E18" w:rsidRPr="00661570">
        <w:rPr>
          <w:rFonts w:ascii="Calibri" w:hAnsi="Calibri" w:cs="Calibri"/>
          <w:sz w:val="22"/>
          <w:szCs w:val="22"/>
        </w:rPr>
        <w:t>.</w:t>
      </w:r>
    </w:p>
    <w:p w14:paraId="7F9B861A" w14:textId="132135DF" w:rsidR="00B87A63" w:rsidRPr="00CA4124" w:rsidRDefault="001A1797" w:rsidP="00937ED9">
      <w:pPr>
        <w:spacing w:after="120"/>
        <w:ind w:right="57"/>
        <w:jc w:val="both"/>
        <w:rPr>
          <w:rFonts w:ascii="Calibri" w:hAnsi="Calibri" w:cs="Calibri"/>
          <w:sz w:val="22"/>
          <w:szCs w:val="22"/>
        </w:rPr>
      </w:pPr>
      <w:r w:rsidRPr="00CA4124">
        <w:rPr>
          <w:rFonts w:ascii="Calibri" w:hAnsi="Calibri" w:cs="Calibri"/>
          <w:sz w:val="22"/>
          <w:szCs w:val="22"/>
        </w:rPr>
        <w:t>O valor total da provisão para perda ao valor recuperável de ativos – FNS é de R$ 11,</w:t>
      </w:r>
      <w:r w:rsidR="00F07F25" w:rsidRPr="00CA4124">
        <w:rPr>
          <w:rFonts w:ascii="Calibri" w:hAnsi="Calibri" w:cs="Calibri"/>
          <w:sz w:val="22"/>
          <w:szCs w:val="22"/>
        </w:rPr>
        <w:t>3</w:t>
      </w:r>
      <w:r w:rsidRPr="00CA4124">
        <w:rPr>
          <w:rFonts w:ascii="Calibri" w:hAnsi="Calibri" w:cs="Calibri"/>
          <w:sz w:val="22"/>
          <w:szCs w:val="22"/>
        </w:rPr>
        <w:t xml:space="preserve"> bilhões, sendo que R$ 2,3 bilhões foram provisionados em exercícios anteriores</w:t>
      </w:r>
      <w:r w:rsidR="00F07F25" w:rsidRPr="00CA4124">
        <w:rPr>
          <w:rFonts w:ascii="Calibri" w:hAnsi="Calibri" w:cs="Calibri"/>
          <w:sz w:val="22"/>
          <w:szCs w:val="22"/>
        </w:rPr>
        <w:t xml:space="preserve"> a 2019</w:t>
      </w:r>
      <w:r w:rsidRPr="00CA4124">
        <w:rPr>
          <w:rFonts w:ascii="Calibri" w:hAnsi="Calibri" w:cs="Calibri"/>
          <w:sz w:val="22"/>
          <w:szCs w:val="22"/>
        </w:rPr>
        <w:t>, por se tratar do Trecho da Ferrovia Norte-Sul subconcedido em 2007 para a empresa FNS S/A</w:t>
      </w:r>
      <w:r w:rsidR="00F07F25" w:rsidRPr="00CA4124">
        <w:rPr>
          <w:rFonts w:ascii="Calibri" w:hAnsi="Calibri" w:cs="Calibri"/>
          <w:sz w:val="22"/>
          <w:szCs w:val="22"/>
        </w:rPr>
        <w:t>,</w:t>
      </w:r>
      <w:r w:rsidRPr="00CA4124">
        <w:rPr>
          <w:rFonts w:ascii="Calibri" w:hAnsi="Calibri" w:cs="Calibri"/>
          <w:sz w:val="22"/>
          <w:szCs w:val="22"/>
        </w:rPr>
        <w:t xml:space="preserve"> R$ 8,9 bilhões foram provisionados no exercício de 2019, por ocasião da subconcessão à Rumo </w:t>
      </w:r>
      <w:r w:rsidR="00DB7529" w:rsidRPr="00CA4124">
        <w:rPr>
          <w:rFonts w:ascii="Calibri" w:hAnsi="Calibri" w:cs="Calibri"/>
          <w:sz w:val="22"/>
          <w:szCs w:val="22"/>
        </w:rPr>
        <w:t>M</w:t>
      </w:r>
      <w:r w:rsidRPr="00CA4124">
        <w:rPr>
          <w:rFonts w:ascii="Calibri" w:hAnsi="Calibri" w:cs="Calibri"/>
          <w:sz w:val="22"/>
          <w:szCs w:val="22"/>
        </w:rPr>
        <w:t xml:space="preserve">alha Central S/A ocorrida </w:t>
      </w:r>
      <w:r w:rsidR="007A6436" w:rsidRPr="00CA4124">
        <w:rPr>
          <w:rFonts w:ascii="Calibri" w:hAnsi="Calibri" w:cs="Calibri"/>
          <w:sz w:val="22"/>
          <w:szCs w:val="22"/>
        </w:rPr>
        <w:t xml:space="preserve">em </w:t>
      </w:r>
      <w:r w:rsidR="00216A83" w:rsidRPr="00CA4124">
        <w:rPr>
          <w:rFonts w:ascii="Calibri" w:hAnsi="Calibri" w:cs="Calibri"/>
          <w:sz w:val="22"/>
          <w:szCs w:val="22"/>
        </w:rPr>
        <w:t>j</w:t>
      </w:r>
      <w:r w:rsidR="007A6436" w:rsidRPr="00CA4124">
        <w:rPr>
          <w:rFonts w:ascii="Calibri" w:hAnsi="Calibri" w:cs="Calibri"/>
          <w:sz w:val="22"/>
          <w:szCs w:val="22"/>
        </w:rPr>
        <w:t>ulho de 2019</w:t>
      </w:r>
      <w:r w:rsidR="00427353" w:rsidRPr="00CA4124">
        <w:rPr>
          <w:rFonts w:ascii="Calibri" w:hAnsi="Calibri" w:cs="Calibri"/>
          <w:sz w:val="22"/>
          <w:szCs w:val="22"/>
        </w:rPr>
        <w:t>,</w:t>
      </w:r>
      <w:r w:rsidR="00F07F25" w:rsidRPr="00CA4124">
        <w:rPr>
          <w:rFonts w:ascii="Calibri" w:hAnsi="Calibri" w:cs="Calibri"/>
          <w:sz w:val="22"/>
          <w:szCs w:val="22"/>
        </w:rPr>
        <w:t xml:space="preserve"> R$ 42,4 milhões, referente a entrada de custos Ferrovia Norte Sul, foram provisionados no exercício de 2020</w:t>
      </w:r>
      <w:r w:rsidR="00427353" w:rsidRPr="00CA4124">
        <w:rPr>
          <w:rFonts w:ascii="Calibri" w:hAnsi="Calibri" w:cs="Calibri"/>
          <w:sz w:val="22"/>
          <w:szCs w:val="22"/>
        </w:rPr>
        <w:t xml:space="preserve"> e R$ 15,03 milhões</w:t>
      </w:r>
      <w:r w:rsidR="00C17EB4" w:rsidRPr="00CA4124">
        <w:rPr>
          <w:rFonts w:ascii="Calibri" w:hAnsi="Calibri" w:cs="Calibri"/>
          <w:sz w:val="22"/>
          <w:szCs w:val="22"/>
        </w:rPr>
        <w:t xml:space="preserve"> referente a entrada de custos Ferrovia Norte Sul, foram provisionados no exercício de 2021.</w:t>
      </w:r>
    </w:p>
    <w:p w14:paraId="1ADFDB0C" w14:textId="077B5255" w:rsidR="009203C8" w:rsidRDefault="000D65C1" w:rsidP="00937ED9">
      <w:pPr>
        <w:spacing w:after="120"/>
        <w:ind w:right="57"/>
        <w:jc w:val="both"/>
        <w:rPr>
          <w:rFonts w:ascii="Calibri" w:hAnsi="Calibri" w:cs="Calibri"/>
          <w:sz w:val="22"/>
          <w:szCs w:val="22"/>
        </w:rPr>
      </w:pPr>
      <w:r w:rsidRPr="00CA4124">
        <w:rPr>
          <w:rFonts w:ascii="Calibri" w:hAnsi="Calibri" w:cs="Calibri"/>
          <w:sz w:val="22"/>
          <w:szCs w:val="22"/>
        </w:rPr>
        <w:t>O valor total da provisão para perda ao valor recuperável de ativos – FIOL é de R$ 3,2</w:t>
      </w:r>
      <w:r w:rsidR="00C17EB4" w:rsidRPr="00CA4124">
        <w:rPr>
          <w:rFonts w:ascii="Calibri" w:hAnsi="Calibri" w:cs="Calibri"/>
          <w:sz w:val="22"/>
          <w:szCs w:val="22"/>
        </w:rPr>
        <w:t>1</w:t>
      </w:r>
      <w:r w:rsidR="002E504F" w:rsidRPr="00CA4124">
        <w:rPr>
          <w:rFonts w:ascii="Calibri" w:hAnsi="Calibri" w:cs="Calibri"/>
          <w:sz w:val="22"/>
          <w:szCs w:val="22"/>
        </w:rPr>
        <w:t xml:space="preserve"> bilhões, sendo provisionados R$ 3,19 bilhões em 2019 (reapresentado)</w:t>
      </w:r>
      <w:r w:rsidR="00C17EB4" w:rsidRPr="00CA4124">
        <w:rPr>
          <w:rFonts w:ascii="Calibri" w:hAnsi="Calibri" w:cs="Calibri"/>
          <w:sz w:val="22"/>
          <w:szCs w:val="22"/>
        </w:rPr>
        <w:t>,</w:t>
      </w:r>
      <w:r w:rsidR="002E504F" w:rsidRPr="00CA4124">
        <w:rPr>
          <w:rFonts w:ascii="Calibri" w:hAnsi="Calibri" w:cs="Calibri"/>
          <w:sz w:val="22"/>
          <w:szCs w:val="22"/>
        </w:rPr>
        <w:t xml:space="preserve"> R$ 54,8 milhões em 2020</w:t>
      </w:r>
      <w:r w:rsidR="00C17EB4" w:rsidRPr="00CA4124">
        <w:rPr>
          <w:rFonts w:ascii="Calibri" w:hAnsi="Calibri" w:cs="Calibri"/>
          <w:sz w:val="22"/>
          <w:szCs w:val="22"/>
        </w:rPr>
        <w:t xml:space="preserve"> e R$ 20,77 milhões revertidos em 2021.</w:t>
      </w:r>
    </w:p>
    <w:p w14:paraId="541BDDCE" w14:textId="269699C1" w:rsidR="00E50975" w:rsidRDefault="00E50975" w:rsidP="00E50975">
      <w:pPr>
        <w:spacing w:after="120"/>
        <w:ind w:right="57"/>
        <w:jc w:val="both"/>
        <w:rPr>
          <w:rFonts w:ascii="Calibri" w:hAnsi="Calibri" w:cs="Calibri"/>
          <w:sz w:val="22"/>
          <w:szCs w:val="22"/>
        </w:rPr>
      </w:pPr>
      <w:r>
        <w:rPr>
          <w:rFonts w:ascii="Calibri" w:hAnsi="Calibri" w:cs="Calibri"/>
          <w:sz w:val="22"/>
          <w:szCs w:val="22"/>
        </w:rPr>
        <w:t>Ressalta-se ainda que, no 3º trimestre, a referida conta foi afetada pelo resultado positivo das movimentações da EPL, qual seja</w:t>
      </w:r>
      <w:r w:rsidR="005B7086">
        <w:rPr>
          <w:rFonts w:ascii="Calibri" w:hAnsi="Calibri" w:cs="Calibri"/>
          <w:sz w:val="22"/>
          <w:szCs w:val="22"/>
        </w:rPr>
        <w:t>,</w:t>
      </w:r>
      <w:r>
        <w:rPr>
          <w:rFonts w:ascii="Calibri" w:hAnsi="Calibri" w:cs="Calibri"/>
          <w:sz w:val="22"/>
          <w:szCs w:val="22"/>
        </w:rPr>
        <w:t xml:space="preserve"> R$ 7,89 milhões, entre o período de 30 de junho de 2022, data do Protocolo e Justificação, a 30 setembro de 2022, data da efetiva incorporação.</w:t>
      </w:r>
    </w:p>
    <w:p w14:paraId="790F8650" w14:textId="69697BC5" w:rsidR="000C065B" w:rsidRPr="002E2B5B" w:rsidRDefault="009D6DA2" w:rsidP="00937ED9">
      <w:pPr>
        <w:spacing w:after="120"/>
        <w:ind w:right="-142"/>
        <w:jc w:val="both"/>
        <w:rPr>
          <w:rFonts w:ascii="Calibri" w:hAnsi="Calibri" w:cs="Calibri"/>
          <w:b/>
          <w:sz w:val="22"/>
          <w:szCs w:val="22"/>
        </w:rPr>
      </w:pPr>
      <w:r w:rsidRPr="005947BB">
        <w:rPr>
          <w:rFonts w:ascii="Calibri" w:hAnsi="Calibri" w:cs="Calibri"/>
          <w:b/>
          <w:sz w:val="22"/>
          <w:szCs w:val="22"/>
        </w:rPr>
        <w:t>N</w:t>
      </w:r>
      <w:r w:rsidR="00BE1376" w:rsidRPr="005947BB">
        <w:rPr>
          <w:rFonts w:ascii="Calibri" w:hAnsi="Calibri" w:cs="Calibri"/>
          <w:b/>
          <w:sz w:val="22"/>
          <w:szCs w:val="22"/>
        </w:rPr>
        <w:t>OTA 1</w:t>
      </w:r>
      <w:r w:rsidR="00E50975">
        <w:rPr>
          <w:rFonts w:ascii="Calibri" w:hAnsi="Calibri" w:cs="Calibri"/>
          <w:b/>
          <w:sz w:val="22"/>
          <w:szCs w:val="22"/>
        </w:rPr>
        <w:t>8</w:t>
      </w:r>
      <w:r w:rsidR="004E146F" w:rsidRPr="005947BB">
        <w:rPr>
          <w:rFonts w:ascii="Calibri" w:hAnsi="Calibri" w:cs="Calibri"/>
          <w:b/>
          <w:sz w:val="22"/>
          <w:szCs w:val="22"/>
        </w:rPr>
        <w:t xml:space="preserve"> </w:t>
      </w:r>
      <w:r w:rsidR="00BD043E" w:rsidRPr="005947BB">
        <w:rPr>
          <w:rFonts w:ascii="Calibri" w:hAnsi="Calibri" w:cs="Calibri"/>
          <w:b/>
          <w:sz w:val="22"/>
          <w:szCs w:val="22"/>
        </w:rPr>
        <w:t>–</w:t>
      </w:r>
      <w:r w:rsidR="004E146F" w:rsidRPr="005947BB">
        <w:rPr>
          <w:rFonts w:ascii="Calibri" w:hAnsi="Calibri" w:cs="Calibri"/>
          <w:b/>
          <w:sz w:val="22"/>
          <w:szCs w:val="22"/>
        </w:rPr>
        <w:t xml:space="preserve"> </w:t>
      </w:r>
      <w:r w:rsidR="00BD043E" w:rsidRPr="005947BB">
        <w:rPr>
          <w:rFonts w:ascii="Calibri" w:hAnsi="Calibri" w:cs="Calibri"/>
          <w:b/>
          <w:sz w:val="22"/>
          <w:szCs w:val="22"/>
        </w:rPr>
        <w:t xml:space="preserve">RECEITAS </w:t>
      </w:r>
      <w:r w:rsidR="00F0179E" w:rsidRPr="005947BB">
        <w:rPr>
          <w:rFonts w:ascii="Calibri" w:hAnsi="Calibri" w:cs="Calibri"/>
          <w:b/>
          <w:sz w:val="22"/>
          <w:szCs w:val="22"/>
        </w:rPr>
        <w:t>LÍ</w:t>
      </w:r>
      <w:r w:rsidR="00472E99" w:rsidRPr="005947BB">
        <w:rPr>
          <w:rFonts w:ascii="Calibri" w:hAnsi="Calibri" w:cs="Calibri"/>
          <w:b/>
          <w:sz w:val="22"/>
          <w:szCs w:val="22"/>
        </w:rPr>
        <w:t>QUIDAS</w:t>
      </w:r>
    </w:p>
    <w:p w14:paraId="532A392B" w14:textId="432DB1BE" w:rsidR="00317CCE" w:rsidRDefault="00440A58" w:rsidP="00937ED9">
      <w:pPr>
        <w:spacing w:after="120"/>
        <w:ind w:right="57"/>
        <w:jc w:val="both"/>
        <w:rPr>
          <w:rFonts w:ascii="Calibri" w:hAnsi="Calibri" w:cs="Calibri"/>
          <w:sz w:val="22"/>
          <w:szCs w:val="22"/>
        </w:rPr>
      </w:pPr>
      <w:r w:rsidRPr="002E2B5B">
        <w:rPr>
          <w:rFonts w:ascii="Calibri" w:hAnsi="Calibri" w:cs="Calibri"/>
          <w:sz w:val="22"/>
          <w:szCs w:val="22"/>
        </w:rPr>
        <w:t>A</w:t>
      </w:r>
      <w:r w:rsidR="009F15D2" w:rsidRPr="002E2B5B">
        <w:rPr>
          <w:rFonts w:ascii="Calibri" w:hAnsi="Calibri" w:cs="Calibri"/>
          <w:sz w:val="22"/>
          <w:szCs w:val="22"/>
        </w:rPr>
        <w:t>s</w:t>
      </w:r>
      <w:r w:rsidRPr="002E2B5B">
        <w:rPr>
          <w:rFonts w:ascii="Calibri" w:hAnsi="Calibri" w:cs="Calibri"/>
          <w:sz w:val="22"/>
          <w:szCs w:val="22"/>
        </w:rPr>
        <w:t xml:space="preserve"> receita</w:t>
      </w:r>
      <w:r w:rsidR="009F15D2" w:rsidRPr="002E2B5B">
        <w:rPr>
          <w:rFonts w:ascii="Calibri" w:hAnsi="Calibri" w:cs="Calibri"/>
          <w:sz w:val="22"/>
          <w:szCs w:val="22"/>
        </w:rPr>
        <w:t xml:space="preserve">s operacionais da </w:t>
      </w:r>
      <w:r w:rsidR="00E11BEF">
        <w:rPr>
          <w:rFonts w:ascii="Calibri" w:hAnsi="Calibri" w:cs="Calibri"/>
          <w:sz w:val="22"/>
          <w:szCs w:val="22"/>
        </w:rPr>
        <w:t>Infra</w:t>
      </w:r>
      <w:r w:rsidR="00E50975">
        <w:rPr>
          <w:rFonts w:ascii="Calibri" w:hAnsi="Calibri" w:cs="Calibri"/>
          <w:sz w:val="22"/>
          <w:szCs w:val="22"/>
        </w:rPr>
        <w:t xml:space="preserve"> S.A.</w:t>
      </w:r>
      <w:r w:rsidR="009F15D2" w:rsidRPr="002E2B5B">
        <w:rPr>
          <w:rFonts w:ascii="Calibri" w:hAnsi="Calibri" w:cs="Calibri"/>
          <w:sz w:val="22"/>
          <w:szCs w:val="22"/>
        </w:rPr>
        <w:t xml:space="preserve"> compreendem as receitas</w:t>
      </w:r>
      <w:r w:rsidRPr="002E2B5B">
        <w:rPr>
          <w:rFonts w:ascii="Calibri" w:hAnsi="Calibri" w:cs="Calibri"/>
          <w:sz w:val="22"/>
          <w:szCs w:val="22"/>
        </w:rPr>
        <w:t xml:space="preserve"> de ex</w:t>
      </w:r>
      <w:r w:rsidR="00733B35" w:rsidRPr="002E2B5B">
        <w:rPr>
          <w:rFonts w:ascii="Calibri" w:hAnsi="Calibri" w:cs="Calibri"/>
          <w:sz w:val="22"/>
          <w:szCs w:val="22"/>
        </w:rPr>
        <w:t>ploração da ferrovia</w:t>
      </w:r>
      <w:r w:rsidR="000E00FF">
        <w:rPr>
          <w:rFonts w:ascii="Calibri" w:hAnsi="Calibri" w:cs="Calibri"/>
          <w:sz w:val="22"/>
          <w:szCs w:val="22"/>
        </w:rPr>
        <w:t>, receita de Subconcessão bem como</w:t>
      </w:r>
      <w:r w:rsidR="009F15D2" w:rsidRPr="002E2B5B">
        <w:rPr>
          <w:rFonts w:ascii="Calibri" w:hAnsi="Calibri" w:cs="Calibri"/>
          <w:sz w:val="22"/>
          <w:szCs w:val="22"/>
        </w:rPr>
        <w:t xml:space="preserve"> as receitas de permissões de uso de pátios. A receita </w:t>
      </w:r>
      <w:r w:rsidR="00472E99" w:rsidRPr="002E2B5B">
        <w:rPr>
          <w:rFonts w:ascii="Calibri" w:hAnsi="Calibri" w:cs="Calibri"/>
          <w:sz w:val="22"/>
          <w:szCs w:val="22"/>
        </w:rPr>
        <w:t>l</w:t>
      </w:r>
      <w:r w:rsidR="006478A2" w:rsidRPr="002E2B5B">
        <w:rPr>
          <w:rFonts w:ascii="Calibri" w:hAnsi="Calibri" w:cs="Calibri"/>
          <w:sz w:val="22"/>
          <w:szCs w:val="22"/>
        </w:rPr>
        <w:t>í</w:t>
      </w:r>
      <w:r w:rsidR="00472E99" w:rsidRPr="002E2B5B">
        <w:rPr>
          <w:rFonts w:ascii="Calibri" w:hAnsi="Calibri" w:cs="Calibri"/>
          <w:sz w:val="22"/>
          <w:szCs w:val="22"/>
        </w:rPr>
        <w:t xml:space="preserve">quida </w:t>
      </w:r>
      <w:r w:rsidR="009F15D2" w:rsidRPr="002E2B5B">
        <w:rPr>
          <w:rFonts w:ascii="Calibri" w:hAnsi="Calibri" w:cs="Calibri"/>
          <w:sz w:val="22"/>
          <w:szCs w:val="22"/>
        </w:rPr>
        <w:t>realizada</w:t>
      </w:r>
      <w:r w:rsidR="00B85D27">
        <w:rPr>
          <w:rFonts w:ascii="Calibri" w:hAnsi="Calibri" w:cs="Calibri"/>
          <w:sz w:val="22"/>
          <w:szCs w:val="22"/>
        </w:rPr>
        <w:t>,</w:t>
      </w:r>
      <w:r w:rsidR="006D335E">
        <w:rPr>
          <w:rFonts w:ascii="Calibri" w:hAnsi="Calibri" w:cs="Calibri"/>
          <w:sz w:val="22"/>
          <w:szCs w:val="22"/>
        </w:rPr>
        <w:t xml:space="preserve"> </w:t>
      </w:r>
      <w:r w:rsidR="00DA6A13">
        <w:rPr>
          <w:rFonts w:ascii="Calibri" w:hAnsi="Calibri" w:cs="Calibri"/>
          <w:sz w:val="22"/>
          <w:szCs w:val="22"/>
        </w:rPr>
        <w:t xml:space="preserve">até </w:t>
      </w:r>
      <w:r w:rsidR="00C17EB4">
        <w:rPr>
          <w:rFonts w:ascii="Calibri" w:hAnsi="Calibri" w:cs="Calibri"/>
          <w:sz w:val="22"/>
          <w:szCs w:val="22"/>
        </w:rPr>
        <w:t xml:space="preserve">o </w:t>
      </w:r>
      <w:r w:rsidR="005B7086">
        <w:rPr>
          <w:rFonts w:ascii="Calibri" w:hAnsi="Calibri" w:cs="Calibri"/>
          <w:sz w:val="22"/>
          <w:szCs w:val="22"/>
        </w:rPr>
        <w:t>3</w:t>
      </w:r>
      <w:r w:rsidR="00B85D27">
        <w:rPr>
          <w:rFonts w:ascii="Calibri" w:hAnsi="Calibri" w:cs="Calibri"/>
          <w:sz w:val="22"/>
          <w:szCs w:val="22"/>
        </w:rPr>
        <w:t xml:space="preserve">º trimestre de 2022, </w:t>
      </w:r>
      <w:r w:rsidR="009F15D2" w:rsidRPr="002E2B5B">
        <w:rPr>
          <w:rFonts w:ascii="Calibri" w:hAnsi="Calibri" w:cs="Calibri"/>
          <w:sz w:val="22"/>
          <w:szCs w:val="22"/>
        </w:rPr>
        <w:t xml:space="preserve">foi de R$ </w:t>
      </w:r>
      <w:r w:rsidR="005B7086">
        <w:rPr>
          <w:rFonts w:ascii="Calibri" w:hAnsi="Calibri" w:cs="Calibri"/>
          <w:sz w:val="22"/>
          <w:szCs w:val="22"/>
        </w:rPr>
        <w:t>4,66</w:t>
      </w:r>
      <w:r w:rsidR="00890FF1">
        <w:rPr>
          <w:rFonts w:ascii="Calibri" w:hAnsi="Calibri" w:cs="Calibri"/>
          <w:sz w:val="22"/>
          <w:szCs w:val="22"/>
        </w:rPr>
        <w:t xml:space="preserve"> </w:t>
      </w:r>
      <w:r w:rsidR="00317CCE">
        <w:rPr>
          <w:rFonts w:ascii="Calibri" w:hAnsi="Calibri" w:cs="Calibri"/>
          <w:sz w:val="22"/>
          <w:szCs w:val="22"/>
        </w:rPr>
        <w:t>milh</w:t>
      </w:r>
      <w:r w:rsidR="00C27A76">
        <w:rPr>
          <w:rFonts w:ascii="Calibri" w:hAnsi="Calibri" w:cs="Calibri"/>
          <w:sz w:val="22"/>
          <w:szCs w:val="22"/>
        </w:rPr>
        <w:t>ões</w:t>
      </w:r>
      <w:r w:rsidR="00216A83">
        <w:rPr>
          <w:rFonts w:ascii="Calibri" w:hAnsi="Calibri" w:cs="Calibri"/>
          <w:sz w:val="22"/>
          <w:szCs w:val="22"/>
        </w:rPr>
        <w:t>.</w:t>
      </w:r>
    </w:p>
    <w:p w14:paraId="4B08ABB3" w14:textId="77777777" w:rsidR="009E0535" w:rsidRDefault="009E0535" w:rsidP="00937ED9">
      <w:pPr>
        <w:spacing w:after="120"/>
        <w:ind w:right="57"/>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3074"/>
        <w:gridCol w:w="417"/>
        <w:gridCol w:w="1744"/>
        <w:gridCol w:w="1744"/>
        <w:gridCol w:w="1744"/>
        <w:gridCol w:w="1744"/>
      </w:tblGrid>
      <w:tr w:rsidR="00317CCE" w:rsidRPr="00B13DBD" w14:paraId="3CD04DCC" w14:textId="77777777" w:rsidTr="00683B08">
        <w:trPr>
          <w:trHeight w:val="227"/>
        </w:trPr>
        <w:tc>
          <w:tcPr>
            <w:tcW w:w="1668" w:type="pct"/>
            <w:gridSpan w:val="2"/>
            <w:tcBorders>
              <w:top w:val="nil"/>
              <w:left w:val="nil"/>
              <w:bottom w:val="single" w:sz="8" w:space="0" w:color="auto"/>
              <w:right w:val="nil"/>
            </w:tcBorders>
            <w:shd w:val="clear" w:color="auto" w:fill="auto"/>
            <w:noWrap/>
            <w:vAlign w:val="center"/>
            <w:hideMark/>
          </w:tcPr>
          <w:p w14:paraId="0E5F2E68" w14:textId="77777777" w:rsidR="00317CCE" w:rsidRDefault="00317CCE" w:rsidP="00937ED9">
            <w:pPr>
              <w:spacing w:after="120"/>
              <w:rPr>
                <w:rFonts w:ascii="Calibri" w:hAnsi="Calibri" w:cs="Calibri"/>
                <w:b/>
                <w:bCs/>
                <w:color w:val="000000"/>
                <w:sz w:val="16"/>
                <w:szCs w:val="16"/>
              </w:rPr>
            </w:pPr>
            <w:r>
              <w:rPr>
                <w:rFonts w:ascii="Calibri" w:hAnsi="Calibri" w:cs="Calibri"/>
                <w:b/>
                <w:bCs/>
                <w:color w:val="000000"/>
                <w:sz w:val="16"/>
                <w:szCs w:val="16"/>
              </w:rPr>
              <w:t>RECEITAS LÍQUIDAS</w:t>
            </w:r>
          </w:p>
        </w:tc>
        <w:tc>
          <w:tcPr>
            <w:tcW w:w="833" w:type="pct"/>
            <w:tcBorders>
              <w:top w:val="nil"/>
              <w:left w:val="nil"/>
              <w:bottom w:val="single" w:sz="8" w:space="0" w:color="auto"/>
              <w:right w:val="nil"/>
            </w:tcBorders>
            <w:shd w:val="clear" w:color="auto" w:fill="auto"/>
            <w:noWrap/>
            <w:vAlign w:val="center"/>
            <w:hideMark/>
          </w:tcPr>
          <w:p w14:paraId="7483FFB4" w14:textId="77777777" w:rsidR="00317CCE" w:rsidRDefault="00317CCE" w:rsidP="00937ED9">
            <w:pPr>
              <w:spacing w:after="120"/>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nil"/>
              <w:left w:val="nil"/>
              <w:bottom w:val="single" w:sz="8" w:space="0" w:color="auto"/>
              <w:right w:val="nil"/>
            </w:tcBorders>
            <w:shd w:val="clear" w:color="auto" w:fill="auto"/>
            <w:noWrap/>
            <w:vAlign w:val="center"/>
            <w:hideMark/>
          </w:tcPr>
          <w:p w14:paraId="06F597E0" w14:textId="77777777" w:rsidR="00317CCE" w:rsidRDefault="00317C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nil"/>
              <w:left w:val="nil"/>
              <w:bottom w:val="single" w:sz="8" w:space="0" w:color="auto"/>
              <w:right w:val="nil"/>
            </w:tcBorders>
            <w:shd w:val="clear" w:color="auto" w:fill="auto"/>
            <w:noWrap/>
            <w:vAlign w:val="center"/>
            <w:hideMark/>
          </w:tcPr>
          <w:p w14:paraId="16D02D0A" w14:textId="47B5CAC7" w:rsidR="00317CCE" w:rsidRDefault="00317C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DA6A13">
              <w:rPr>
                <w:rFonts w:ascii="Calibri" w:hAnsi="Calibri" w:cs="Calibri"/>
                <w:b/>
                <w:bCs/>
                <w:color w:val="000000"/>
                <w:sz w:val="16"/>
                <w:szCs w:val="16"/>
              </w:rPr>
              <w:t>0</w:t>
            </w:r>
            <w:r>
              <w:rPr>
                <w:rFonts w:ascii="Calibri" w:hAnsi="Calibri" w:cs="Calibri"/>
                <w:b/>
                <w:bCs/>
                <w:color w:val="000000"/>
                <w:sz w:val="16"/>
                <w:szCs w:val="16"/>
              </w:rPr>
              <w:t>/</w:t>
            </w:r>
            <w:r w:rsidR="00B85D27">
              <w:rPr>
                <w:rFonts w:ascii="Calibri" w:hAnsi="Calibri" w:cs="Calibri"/>
                <w:b/>
                <w:bCs/>
                <w:color w:val="000000"/>
                <w:sz w:val="16"/>
                <w:szCs w:val="16"/>
              </w:rPr>
              <w:t>0</w:t>
            </w:r>
            <w:r w:rsidR="005B7086">
              <w:rPr>
                <w:rFonts w:ascii="Calibri" w:hAnsi="Calibri" w:cs="Calibri"/>
                <w:b/>
                <w:bCs/>
                <w:color w:val="000000"/>
                <w:sz w:val="16"/>
                <w:szCs w:val="16"/>
              </w:rPr>
              <w:t>9</w:t>
            </w:r>
            <w:r>
              <w:rPr>
                <w:rFonts w:ascii="Calibri" w:hAnsi="Calibri" w:cs="Calibri"/>
                <w:b/>
                <w:bCs/>
                <w:color w:val="000000"/>
                <w:sz w:val="16"/>
                <w:szCs w:val="16"/>
              </w:rPr>
              <w:t>/202</w:t>
            </w:r>
            <w:r w:rsidR="00B85D27">
              <w:rPr>
                <w:rFonts w:ascii="Calibri" w:hAnsi="Calibri" w:cs="Calibri"/>
                <w:b/>
                <w:bCs/>
                <w:color w:val="000000"/>
                <w:sz w:val="16"/>
                <w:szCs w:val="16"/>
              </w:rPr>
              <w:t>2</w:t>
            </w:r>
          </w:p>
        </w:tc>
        <w:tc>
          <w:tcPr>
            <w:tcW w:w="833" w:type="pct"/>
            <w:tcBorders>
              <w:top w:val="nil"/>
              <w:left w:val="nil"/>
              <w:bottom w:val="single" w:sz="8" w:space="0" w:color="auto"/>
              <w:right w:val="nil"/>
            </w:tcBorders>
            <w:shd w:val="clear" w:color="auto" w:fill="auto"/>
            <w:noWrap/>
            <w:vAlign w:val="center"/>
            <w:hideMark/>
          </w:tcPr>
          <w:p w14:paraId="4B5CA91B" w14:textId="1C4B0EF7" w:rsidR="00317CCE" w:rsidRPr="00B13DBD" w:rsidRDefault="00317CCE" w:rsidP="00937ED9">
            <w:pPr>
              <w:spacing w:after="120"/>
              <w:jc w:val="right"/>
              <w:rPr>
                <w:rFonts w:ascii="Calibri" w:hAnsi="Calibri" w:cs="Calibri"/>
                <w:b/>
                <w:bCs/>
                <w:color w:val="000000"/>
                <w:sz w:val="16"/>
                <w:szCs w:val="16"/>
              </w:rPr>
            </w:pPr>
            <w:r w:rsidRPr="00B13DBD">
              <w:rPr>
                <w:rFonts w:ascii="Calibri" w:hAnsi="Calibri" w:cs="Calibri"/>
                <w:b/>
                <w:bCs/>
                <w:color w:val="000000"/>
                <w:sz w:val="16"/>
                <w:szCs w:val="16"/>
              </w:rPr>
              <w:t>3</w:t>
            </w:r>
            <w:r w:rsidR="00DA6A13">
              <w:rPr>
                <w:rFonts w:ascii="Calibri" w:hAnsi="Calibri" w:cs="Calibri"/>
                <w:b/>
                <w:bCs/>
                <w:color w:val="000000"/>
                <w:sz w:val="16"/>
                <w:szCs w:val="16"/>
              </w:rPr>
              <w:t>0</w:t>
            </w:r>
            <w:r w:rsidRPr="00B13DBD">
              <w:rPr>
                <w:rFonts w:ascii="Calibri" w:hAnsi="Calibri" w:cs="Calibri"/>
                <w:b/>
                <w:bCs/>
                <w:color w:val="000000"/>
                <w:sz w:val="16"/>
                <w:szCs w:val="16"/>
              </w:rPr>
              <w:t>/</w:t>
            </w:r>
            <w:r w:rsidR="00B85D27">
              <w:rPr>
                <w:rFonts w:ascii="Calibri" w:hAnsi="Calibri" w:cs="Calibri"/>
                <w:b/>
                <w:bCs/>
                <w:color w:val="000000"/>
                <w:sz w:val="16"/>
                <w:szCs w:val="16"/>
              </w:rPr>
              <w:t>0</w:t>
            </w:r>
            <w:r w:rsidR="005B7086">
              <w:rPr>
                <w:rFonts w:ascii="Calibri" w:hAnsi="Calibri" w:cs="Calibri"/>
                <w:b/>
                <w:bCs/>
                <w:color w:val="000000"/>
                <w:sz w:val="16"/>
                <w:szCs w:val="16"/>
              </w:rPr>
              <w:t>9</w:t>
            </w:r>
            <w:r w:rsidRPr="00B13DBD">
              <w:rPr>
                <w:rFonts w:ascii="Calibri" w:hAnsi="Calibri" w:cs="Calibri"/>
                <w:b/>
                <w:bCs/>
                <w:color w:val="000000"/>
                <w:sz w:val="16"/>
                <w:szCs w:val="16"/>
              </w:rPr>
              <w:t>/202</w:t>
            </w:r>
            <w:r w:rsidR="00B85D27">
              <w:rPr>
                <w:rFonts w:ascii="Calibri" w:hAnsi="Calibri" w:cs="Calibri"/>
                <w:b/>
                <w:bCs/>
                <w:color w:val="000000"/>
                <w:sz w:val="16"/>
                <w:szCs w:val="16"/>
              </w:rPr>
              <w:t>1</w:t>
            </w:r>
          </w:p>
        </w:tc>
      </w:tr>
      <w:tr w:rsidR="00317CCE" w:rsidRPr="00B13DBD" w14:paraId="1A76B8F2" w14:textId="77777777" w:rsidTr="00683B08">
        <w:trPr>
          <w:trHeight w:val="227"/>
        </w:trPr>
        <w:tc>
          <w:tcPr>
            <w:tcW w:w="1668" w:type="pct"/>
            <w:gridSpan w:val="2"/>
            <w:tcBorders>
              <w:top w:val="single" w:sz="8" w:space="0" w:color="auto"/>
              <w:left w:val="nil"/>
              <w:bottom w:val="nil"/>
              <w:right w:val="nil"/>
            </w:tcBorders>
            <w:shd w:val="clear" w:color="auto" w:fill="auto"/>
            <w:noWrap/>
            <w:vAlign w:val="center"/>
            <w:hideMark/>
          </w:tcPr>
          <w:p w14:paraId="1E454E8C" w14:textId="77777777" w:rsidR="00317CCE" w:rsidRDefault="00317CCE" w:rsidP="00937ED9">
            <w:pPr>
              <w:spacing w:after="120"/>
              <w:rPr>
                <w:rFonts w:ascii="Calibri" w:hAnsi="Calibri" w:cs="Calibri"/>
                <w:color w:val="000000"/>
                <w:sz w:val="16"/>
                <w:szCs w:val="16"/>
              </w:rPr>
            </w:pPr>
            <w:r>
              <w:rPr>
                <w:rFonts w:ascii="Calibri" w:hAnsi="Calibri" w:cs="Calibri"/>
                <w:color w:val="000000"/>
                <w:sz w:val="16"/>
                <w:szCs w:val="16"/>
              </w:rPr>
              <w:t>Exploração de ferrovia</w:t>
            </w:r>
          </w:p>
        </w:tc>
        <w:tc>
          <w:tcPr>
            <w:tcW w:w="833" w:type="pct"/>
            <w:tcBorders>
              <w:top w:val="nil"/>
              <w:left w:val="nil"/>
              <w:bottom w:val="nil"/>
              <w:right w:val="nil"/>
            </w:tcBorders>
            <w:shd w:val="clear" w:color="auto" w:fill="auto"/>
            <w:noWrap/>
            <w:vAlign w:val="center"/>
            <w:hideMark/>
          </w:tcPr>
          <w:p w14:paraId="63E3169E" w14:textId="77777777" w:rsidR="00317CCE" w:rsidRDefault="00317CCE" w:rsidP="00937ED9">
            <w:pPr>
              <w:spacing w:after="120"/>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19E7895C" w14:textId="77777777" w:rsidR="00317CCE" w:rsidRDefault="00317CCE" w:rsidP="00937ED9">
            <w:pPr>
              <w:spacing w:after="120"/>
              <w:rPr>
                <w:sz w:val="20"/>
                <w:szCs w:val="20"/>
              </w:rPr>
            </w:pPr>
          </w:p>
        </w:tc>
        <w:tc>
          <w:tcPr>
            <w:tcW w:w="833" w:type="pct"/>
            <w:tcBorders>
              <w:top w:val="nil"/>
              <w:left w:val="nil"/>
              <w:bottom w:val="nil"/>
              <w:right w:val="nil"/>
            </w:tcBorders>
            <w:shd w:val="clear" w:color="auto" w:fill="auto"/>
            <w:noWrap/>
            <w:vAlign w:val="center"/>
            <w:hideMark/>
          </w:tcPr>
          <w:p w14:paraId="628D5FB8" w14:textId="3FBB074D" w:rsidR="00317CCE" w:rsidRDefault="005B7086" w:rsidP="00937ED9">
            <w:pPr>
              <w:spacing w:after="120"/>
              <w:jc w:val="right"/>
              <w:rPr>
                <w:rFonts w:ascii="Calibri" w:hAnsi="Calibri" w:cs="Calibri"/>
                <w:color w:val="000000"/>
                <w:sz w:val="16"/>
                <w:szCs w:val="16"/>
              </w:rPr>
            </w:pPr>
            <w:r>
              <w:rPr>
                <w:rFonts w:ascii="Calibri" w:hAnsi="Calibri" w:cs="Calibri"/>
                <w:color w:val="000000"/>
                <w:sz w:val="16"/>
                <w:szCs w:val="16"/>
              </w:rPr>
              <w:t>22.855</w:t>
            </w:r>
          </w:p>
        </w:tc>
        <w:tc>
          <w:tcPr>
            <w:tcW w:w="833" w:type="pct"/>
            <w:tcBorders>
              <w:top w:val="nil"/>
              <w:left w:val="nil"/>
              <w:bottom w:val="nil"/>
              <w:right w:val="nil"/>
            </w:tcBorders>
            <w:shd w:val="clear" w:color="auto" w:fill="auto"/>
            <w:noWrap/>
            <w:vAlign w:val="center"/>
            <w:hideMark/>
          </w:tcPr>
          <w:p w14:paraId="649DF2C1" w14:textId="3A43AF0B" w:rsidR="00317CCE" w:rsidRPr="00B13DBD" w:rsidRDefault="00F94B23" w:rsidP="00937ED9">
            <w:pPr>
              <w:spacing w:after="120"/>
              <w:jc w:val="right"/>
              <w:rPr>
                <w:rFonts w:ascii="Calibri" w:hAnsi="Calibri" w:cs="Calibri"/>
                <w:color w:val="000000"/>
                <w:sz w:val="16"/>
                <w:szCs w:val="16"/>
              </w:rPr>
            </w:pPr>
            <w:r>
              <w:rPr>
                <w:rFonts w:ascii="Calibri" w:hAnsi="Calibri" w:cs="Calibri"/>
                <w:color w:val="000000"/>
                <w:sz w:val="16"/>
                <w:szCs w:val="16"/>
              </w:rPr>
              <w:t>110.877</w:t>
            </w:r>
          </w:p>
        </w:tc>
      </w:tr>
      <w:tr w:rsidR="00317CCE" w:rsidRPr="00B13DBD" w14:paraId="023B66AC" w14:textId="77777777" w:rsidTr="00683B08">
        <w:trPr>
          <w:trHeight w:val="227"/>
        </w:trPr>
        <w:tc>
          <w:tcPr>
            <w:tcW w:w="2501" w:type="pct"/>
            <w:gridSpan w:val="3"/>
            <w:tcBorders>
              <w:top w:val="nil"/>
              <w:left w:val="nil"/>
              <w:bottom w:val="nil"/>
              <w:right w:val="nil"/>
            </w:tcBorders>
            <w:shd w:val="clear" w:color="auto" w:fill="auto"/>
            <w:noWrap/>
            <w:vAlign w:val="center"/>
            <w:hideMark/>
          </w:tcPr>
          <w:p w14:paraId="57A1E5CB" w14:textId="64275D30" w:rsidR="00317CCE" w:rsidRDefault="00C17EB4" w:rsidP="00937ED9">
            <w:pPr>
              <w:spacing w:after="120"/>
              <w:rPr>
                <w:rFonts w:ascii="Calibri" w:hAnsi="Calibri" w:cs="Calibri"/>
                <w:color w:val="000000"/>
                <w:sz w:val="16"/>
                <w:szCs w:val="16"/>
              </w:rPr>
            </w:pPr>
            <w:r w:rsidRPr="00C17EB4">
              <w:rPr>
                <w:rFonts w:ascii="Calibri" w:hAnsi="Calibri" w:cs="Calibri"/>
                <w:color w:val="000000"/>
                <w:sz w:val="16"/>
                <w:szCs w:val="16"/>
              </w:rPr>
              <w:t>Receita com Subconcessão FIOL</w:t>
            </w:r>
          </w:p>
        </w:tc>
        <w:tc>
          <w:tcPr>
            <w:tcW w:w="833" w:type="pct"/>
            <w:tcBorders>
              <w:top w:val="nil"/>
              <w:left w:val="nil"/>
              <w:bottom w:val="nil"/>
              <w:right w:val="nil"/>
            </w:tcBorders>
            <w:shd w:val="clear" w:color="auto" w:fill="auto"/>
            <w:noWrap/>
            <w:vAlign w:val="center"/>
            <w:hideMark/>
          </w:tcPr>
          <w:p w14:paraId="78F97A54" w14:textId="77777777" w:rsidR="00317CCE" w:rsidRDefault="00317CCE" w:rsidP="00937ED9">
            <w:pPr>
              <w:spacing w:after="120"/>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hideMark/>
          </w:tcPr>
          <w:p w14:paraId="15D6E3B3" w14:textId="618AAB72" w:rsidR="00317CCE" w:rsidRDefault="005B7086" w:rsidP="00937ED9">
            <w:pPr>
              <w:spacing w:after="120"/>
              <w:jc w:val="right"/>
              <w:rPr>
                <w:rFonts w:ascii="Calibri" w:hAnsi="Calibri" w:cs="Calibri"/>
                <w:color w:val="000000"/>
                <w:sz w:val="16"/>
                <w:szCs w:val="16"/>
              </w:rPr>
            </w:pPr>
            <w:r>
              <w:rPr>
                <w:rFonts w:ascii="Calibri" w:hAnsi="Calibri" w:cs="Calibri"/>
                <w:color w:val="000000"/>
                <w:sz w:val="16"/>
                <w:szCs w:val="16"/>
              </w:rPr>
              <w:t>1.636.500</w:t>
            </w:r>
          </w:p>
        </w:tc>
        <w:tc>
          <w:tcPr>
            <w:tcW w:w="833" w:type="pct"/>
            <w:tcBorders>
              <w:top w:val="nil"/>
              <w:left w:val="nil"/>
              <w:bottom w:val="nil"/>
              <w:right w:val="nil"/>
            </w:tcBorders>
            <w:shd w:val="clear" w:color="auto" w:fill="auto"/>
            <w:noWrap/>
            <w:vAlign w:val="center"/>
            <w:hideMark/>
          </w:tcPr>
          <w:p w14:paraId="6FEA152E" w14:textId="324DA607" w:rsidR="00317CCE" w:rsidRPr="00B13DBD" w:rsidRDefault="00B85D27"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C17EB4" w:rsidRPr="00B13DBD" w14:paraId="02B48726" w14:textId="77777777" w:rsidTr="00683B08">
        <w:trPr>
          <w:trHeight w:val="227"/>
        </w:trPr>
        <w:tc>
          <w:tcPr>
            <w:tcW w:w="2501" w:type="pct"/>
            <w:gridSpan w:val="3"/>
            <w:tcBorders>
              <w:top w:val="nil"/>
              <w:left w:val="nil"/>
              <w:bottom w:val="nil"/>
              <w:right w:val="nil"/>
            </w:tcBorders>
            <w:shd w:val="clear" w:color="auto" w:fill="auto"/>
            <w:noWrap/>
            <w:vAlign w:val="center"/>
          </w:tcPr>
          <w:p w14:paraId="0A39BE5D" w14:textId="0CA37151" w:rsidR="00C17EB4" w:rsidRDefault="00C17EB4" w:rsidP="00937ED9">
            <w:pPr>
              <w:spacing w:after="120"/>
              <w:rPr>
                <w:rFonts w:ascii="Calibri" w:hAnsi="Calibri" w:cs="Calibri"/>
                <w:color w:val="000000"/>
                <w:sz w:val="16"/>
                <w:szCs w:val="16"/>
              </w:rPr>
            </w:pPr>
            <w:r>
              <w:rPr>
                <w:rFonts w:ascii="Calibri" w:hAnsi="Calibri" w:cs="Calibri"/>
                <w:color w:val="000000"/>
                <w:sz w:val="16"/>
                <w:szCs w:val="16"/>
              </w:rPr>
              <w:t>Permissão de uso de pátios</w:t>
            </w:r>
          </w:p>
        </w:tc>
        <w:tc>
          <w:tcPr>
            <w:tcW w:w="833" w:type="pct"/>
            <w:tcBorders>
              <w:top w:val="nil"/>
              <w:left w:val="nil"/>
              <w:bottom w:val="nil"/>
              <w:right w:val="nil"/>
            </w:tcBorders>
            <w:shd w:val="clear" w:color="auto" w:fill="auto"/>
            <w:noWrap/>
            <w:vAlign w:val="center"/>
          </w:tcPr>
          <w:p w14:paraId="64489F5E" w14:textId="77777777" w:rsidR="00C17EB4" w:rsidRDefault="00C17EB4" w:rsidP="00937ED9">
            <w:pPr>
              <w:spacing w:after="120"/>
              <w:rPr>
                <w:rFonts w:ascii="Calibri" w:hAnsi="Calibri" w:cs="Calibri"/>
                <w:color w:val="000000"/>
                <w:sz w:val="16"/>
                <w:szCs w:val="16"/>
              </w:rPr>
            </w:pPr>
          </w:p>
        </w:tc>
        <w:tc>
          <w:tcPr>
            <w:tcW w:w="833" w:type="pct"/>
            <w:tcBorders>
              <w:top w:val="nil"/>
              <w:left w:val="nil"/>
              <w:bottom w:val="nil"/>
              <w:right w:val="nil"/>
            </w:tcBorders>
            <w:shd w:val="clear" w:color="auto" w:fill="auto"/>
            <w:noWrap/>
            <w:vAlign w:val="center"/>
          </w:tcPr>
          <w:p w14:paraId="5116D215" w14:textId="0677E493" w:rsidR="00C17EB4" w:rsidRDefault="005B7086" w:rsidP="00937ED9">
            <w:pPr>
              <w:spacing w:after="120"/>
              <w:jc w:val="right"/>
              <w:rPr>
                <w:rFonts w:ascii="Calibri" w:hAnsi="Calibri" w:cs="Calibri"/>
                <w:color w:val="000000"/>
                <w:sz w:val="16"/>
                <w:szCs w:val="16"/>
              </w:rPr>
            </w:pPr>
            <w:r>
              <w:rPr>
                <w:rFonts w:ascii="Calibri" w:hAnsi="Calibri" w:cs="Calibri"/>
                <w:color w:val="000000"/>
                <w:sz w:val="16"/>
                <w:szCs w:val="16"/>
              </w:rPr>
              <w:t>3.250.711</w:t>
            </w:r>
          </w:p>
        </w:tc>
        <w:tc>
          <w:tcPr>
            <w:tcW w:w="833" w:type="pct"/>
            <w:tcBorders>
              <w:top w:val="nil"/>
              <w:left w:val="nil"/>
              <w:bottom w:val="nil"/>
              <w:right w:val="nil"/>
            </w:tcBorders>
            <w:shd w:val="clear" w:color="auto" w:fill="auto"/>
            <w:noWrap/>
            <w:vAlign w:val="center"/>
          </w:tcPr>
          <w:p w14:paraId="73864FE9" w14:textId="3820672E" w:rsidR="00C17EB4" w:rsidRDefault="00C27A76" w:rsidP="00937ED9">
            <w:pPr>
              <w:spacing w:after="120"/>
              <w:jc w:val="right"/>
              <w:rPr>
                <w:rFonts w:ascii="Calibri" w:hAnsi="Calibri" w:cs="Calibri"/>
                <w:color w:val="000000"/>
                <w:sz w:val="16"/>
                <w:szCs w:val="16"/>
              </w:rPr>
            </w:pPr>
            <w:r>
              <w:rPr>
                <w:rFonts w:ascii="Calibri" w:hAnsi="Calibri" w:cs="Calibri"/>
                <w:color w:val="000000"/>
                <w:sz w:val="16"/>
                <w:szCs w:val="16"/>
              </w:rPr>
              <w:t>1.</w:t>
            </w:r>
            <w:r w:rsidR="00F94B23">
              <w:rPr>
                <w:rFonts w:ascii="Calibri" w:hAnsi="Calibri" w:cs="Calibri"/>
                <w:color w:val="000000"/>
                <w:sz w:val="16"/>
                <w:szCs w:val="16"/>
              </w:rPr>
              <w:t>905.712</w:t>
            </w:r>
          </w:p>
        </w:tc>
      </w:tr>
      <w:tr w:rsidR="00317CCE" w:rsidRPr="005947BB" w14:paraId="5386EFC0" w14:textId="77777777" w:rsidTr="00683B08">
        <w:trPr>
          <w:trHeight w:val="227"/>
        </w:trPr>
        <w:tc>
          <w:tcPr>
            <w:tcW w:w="1668" w:type="pct"/>
            <w:gridSpan w:val="2"/>
            <w:tcBorders>
              <w:top w:val="nil"/>
              <w:left w:val="nil"/>
              <w:bottom w:val="single" w:sz="8" w:space="0" w:color="auto"/>
              <w:right w:val="nil"/>
            </w:tcBorders>
            <w:shd w:val="clear" w:color="auto" w:fill="auto"/>
            <w:noWrap/>
            <w:vAlign w:val="center"/>
            <w:hideMark/>
          </w:tcPr>
          <w:p w14:paraId="3BDE89C2" w14:textId="64E5F9A6" w:rsidR="00317CCE" w:rsidRPr="00B85D27" w:rsidRDefault="00317CCE" w:rsidP="00937ED9">
            <w:pPr>
              <w:spacing w:after="120"/>
              <w:rPr>
                <w:rFonts w:ascii="Calibri" w:hAnsi="Calibri" w:cs="Calibri"/>
                <w:color w:val="000000"/>
                <w:sz w:val="16"/>
                <w:szCs w:val="16"/>
                <w:highlight w:val="yellow"/>
              </w:rPr>
            </w:pPr>
            <w:r w:rsidRPr="005947BB">
              <w:rPr>
                <w:rFonts w:ascii="Calibri" w:hAnsi="Calibri" w:cs="Calibri"/>
                <w:color w:val="000000"/>
                <w:sz w:val="16"/>
                <w:szCs w:val="16"/>
              </w:rPr>
              <w:lastRenderedPageBreak/>
              <w:t>Dedução de receita (-)</w:t>
            </w:r>
          </w:p>
        </w:tc>
        <w:tc>
          <w:tcPr>
            <w:tcW w:w="833" w:type="pct"/>
            <w:tcBorders>
              <w:top w:val="nil"/>
              <w:left w:val="nil"/>
              <w:bottom w:val="nil"/>
              <w:right w:val="nil"/>
            </w:tcBorders>
            <w:shd w:val="clear" w:color="auto" w:fill="auto"/>
            <w:noWrap/>
            <w:vAlign w:val="center"/>
            <w:hideMark/>
          </w:tcPr>
          <w:p w14:paraId="6357B6F0" w14:textId="77777777" w:rsidR="00317CCE" w:rsidRPr="00B85D27" w:rsidRDefault="00317CCE" w:rsidP="00937ED9">
            <w:pPr>
              <w:spacing w:after="120"/>
              <w:rPr>
                <w:rFonts w:ascii="Calibri" w:hAnsi="Calibri" w:cs="Calibri"/>
                <w:color w:val="000000"/>
                <w:sz w:val="16"/>
                <w:szCs w:val="16"/>
                <w:highlight w:val="yellow"/>
              </w:rPr>
            </w:pPr>
          </w:p>
        </w:tc>
        <w:tc>
          <w:tcPr>
            <w:tcW w:w="833" w:type="pct"/>
            <w:tcBorders>
              <w:top w:val="nil"/>
              <w:left w:val="nil"/>
              <w:bottom w:val="nil"/>
              <w:right w:val="nil"/>
            </w:tcBorders>
            <w:shd w:val="clear" w:color="auto" w:fill="auto"/>
            <w:noWrap/>
            <w:vAlign w:val="center"/>
            <w:hideMark/>
          </w:tcPr>
          <w:p w14:paraId="3711EF67" w14:textId="77777777" w:rsidR="00317CCE" w:rsidRPr="00B85D27" w:rsidRDefault="00317CCE" w:rsidP="00937ED9">
            <w:pPr>
              <w:spacing w:after="120"/>
              <w:rPr>
                <w:sz w:val="20"/>
                <w:szCs w:val="20"/>
                <w:highlight w:val="yellow"/>
              </w:rPr>
            </w:pPr>
          </w:p>
        </w:tc>
        <w:tc>
          <w:tcPr>
            <w:tcW w:w="833" w:type="pct"/>
            <w:tcBorders>
              <w:top w:val="nil"/>
              <w:left w:val="nil"/>
              <w:bottom w:val="nil"/>
              <w:right w:val="nil"/>
            </w:tcBorders>
            <w:shd w:val="clear" w:color="auto" w:fill="auto"/>
            <w:noWrap/>
            <w:vAlign w:val="center"/>
            <w:hideMark/>
          </w:tcPr>
          <w:p w14:paraId="461A1091" w14:textId="263E1FF2" w:rsidR="00317CCE" w:rsidRPr="00B85D27" w:rsidRDefault="005947BB" w:rsidP="00937ED9">
            <w:pPr>
              <w:spacing w:after="120"/>
              <w:jc w:val="right"/>
              <w:rPr>
                <w:rFonts w:ascii="Calibri" w:hAnsi="Calibri" w:cs="Calibri"/>
                <w:color w:val="000000"/>
                <w:sz w:val="16"/>
                <w:szCs w:val="16"/>
                <w:highlight w:val="yellow"/>
              </w:rPr>
            </w:pPr>
            <w:r>
              <w:rPr>
                <w:rFonts w:ascii="Calibri" w:hAnsi="Calibri" w:cs="Calibri"/>
                <w:color w:val="000000"/>
                <w:sz w:val="16"/>
                <w:szCs w:val="16"/>
              </w:rPr>
              <w:t>(</w:t>
            </w:r>
            <w:r w:rsidR="005B7086">
              <w:rPr>
                <w:rFonts w:ascii="Calibri" w:hAnsi="Calibri" w:cs="Calibri"/>
                <w:color w:val="000000"/>
                <w:sz w:val="16"/>
                <w:szCs w:val="16"/>
              </w:rPr>
              <w:t>246.697</w:t>
            </w:r>
            <w:r>
              <w:rPr>
                <w:rFonts w:ascii="Calibri" w:hAnsi="Calibri" w:cs="Calibri"/>
                <w:color w:val="000000"/>
                <w:sz w:val="16"/>
                <w:szCs w:val="16"/>
              </w:rPr>
              <w:t>)</w:t>
            </w:r>
          </w:p>
        </w:tc>
        <w:tc>
          <w:tcPr>
            <w:tcW w:w="833" w:type="pct"/>
            <w:tcBorders>
              <w:top w:val="nil"/>
              <w:left w:val="nil"/>
              <w:bottom w:val="nil"/>
              <w:right w:val="nil"/>
            </w:tcBorders>
            <w:shd w:val="clear" w:color="auto" w:fill="auto"/>
            <w:noWrap/>
            <w:vAlign w:val="center"/>
            <w:hideMark/>
          </w:tcPr>
          <w:p w14:paraId="70FA75D2" w14:textId="1F53DE87" w:rsidR="00317CCE" w:rsidRPr="005947BB" w:rsidRDefault="00B85D27" w:rsidP="00937ED9">
            <w:pPr>
              <w:spacing w:after="120"/>
              <w:jc w:val="right"/>
              <w:rPr>
                <w:rFonts w:ascii="Calibri" w:hAnsi="Calibri" w:cs="Calibri"/>
                <w:color w:val="000000"/>
                <w:sz w:val="16"/>
                <w:szCs w:val="16"/>
              </w:rPr>
            </w:pPr>
            <w:r w:rsidRPr="005947BB">
              <w:rPr>
                <w:rFonts w:ascii="Calibri" w:hAnsi="Calibri" w:cs="Calibri"/>
                <w:color w:val="000000"/>
                <w:sz w:val="16"/>
                <w:szCs w:val="16"/>
              </w:rPr>
              <w:t>(</w:t>
            </w:r>
            <w:r w:rsidR="00F94B23">
              <w:rPr>
                <w:rFonts w:ascii="Calibri" w:hAnsi="Calibri" w:cs="Calibri"/>
                <w:color w:val="000000"/>
                <w:sz w:val="16"/>
                <w:szCs w:val="16"/>
              </w:rPr>
              <w:t>163.240</w:t>
            </w:r>
            <w:r w:rsidRPr="005947BB">
              <w:rPr>
                <w:rFonts w:ascii="Calibri" w:hAnsi="Calibri" w:cs="Calibri"/>
                <w:color w:val="000000"/>
                <w:sz w:val="16"/>
                <w:szCs w:val="16"/>
              </w:rPr>
              <w:t>)</w:t>
            </w:r>
          </w:p>
        </w:tc>
      </w:tr>
      <w:tr w:rsidR="00317CCE" w:rsidRPr="00B13DBD" w14:paraId="251F76E5" w14:textId="77777777" w:rsidTr="00683B08">
        <w:trPr>
          <w:trHeight w:val="227"/>
        </w:trPr>
        <w:tc>
          <w:tcPr>
            <w:tcW w:w="1469" w:type="pct"/>
            <w:tcBorders>
              <w:top w:val="nil"/>
              <w:left w:val="nil"/>
              <w:bottom w:val="single" w:sz="8" w:space="0" w:color="auto"/>
              <w:right w:val="nil"/>
            </w:tcBorders>
            <w:shd w:val="clear" w:color="auto" w:fill="auto"/>
            <w:noWrap/>
            <w:vAlign w:val="center"/>
            <w:hideMark/>
          </w:tcPr>
          <w:p w14:paraId="7AA87954" w14:textId="77777777" w:rsidR="00317CCE" w:rsidRDefault="00317CCE"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 TOTAL </w:t>
            </w:r>
          </w:p>
        </w:tc>
        <w:tc>
          <w:tcPr>
            <w:tcW w:w="198" w:type="pct"/>
            <w:tcBorders>
              <w:top w:val="nil"/>
              <w:left w:val="nil"/>
              <w:bottom w:val="single" w:sz="8" w:space="0" w:color="auto"/>
              <w:right w:val="nil"/>
            </w:tcBorders>
            <w:shd w:val="clear" w:color="auto" w:fill="auto"/>
            <w:noWrap/>
            <w:vAlign w:val="center"/>
            <w:hideMark/>
          </w:tcPr>
          <w:p w14:paraId="2C4390E4" w14:textId="77777777" w:rsidR="00317CCE" w:rsidRDefault="00317CCE" w:rsidP="00937ED9">
            <w:pPr>
              <w:spacing w:after="120"/>
              <w:rPr>
                <w:rFonts w:ascii="Calibri" w:hAnsi="Calibri" w:cs="Calibri"/>
                <w:color w:val="000000"/>
                <w:sz w:val="16"/>
                <w:szCs w:val="16"/>
              </w:rPr>
            </w:pPr>
            <w:r>
              <w:rPr>
                <w:rFonts w:ascii="Calibri" w:hAnsi="Calibri" w:cs="Calibri"/>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371A3A98" w14:textId="77777777" w:rsidR="00317CCE" w:rsidRDefault="00317CCE" w:rsidP="00937ED9">
            <w:pPr>
              <w:spacing w:after="120"/>
              <w:rPr>
                <w:rFonts w:ascii="Calibri" w:hAnsi="Calibri" w:cs="Calibri"/>
                <w:color w:val="000000"/>
                <w:sz w:val="16"/>
                <w:szCs w:val="16"/>
              </w:rPr>
            </w:pPr>
            <w:r>
              <w:rPr>
                <w:rFonts w:ascii="Calibri" w:hAnsi="Calibri" w:cs="Calibri"/>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0446A2CD" w14:textId="77777777" w:rsidR="00317CCE" w:rsidRDefault="00317CCE"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833" w:type="pct"/>
            <w:tcBorders>
              <w:top w:val="single" w:sz="8" w:space="0" w:color="auto"/>
              <w:left w:val="nil"/>
              <w:bottom w:val="single" w:sz="8" w:space="0" w:color="auto"/>
              <w:right w:val="nil"/>
            </w:tcBorders>
            <w:shd w:val="clear" w:color="auto" w:fill="auto"/>
            <w:noWrap/>
            <w:vAlign w:val="center"/>
            <w:hideMark/>
          </w:tcPr>
          <w:p w14:paraId="24E05430" w14:textId="41427E18" w:rsidR="00317CCE" w:rsidRDefault="005B7086" w:rsidP="00937ED9">
            <w:pPr>
              <w:spacing w:after="120"/>
              <w:jc w:val="right"/>
              <w:rPr>
                <w:rFonts w:ascii="Calibri" w:hAnsi="Calibri" w:cs="Calibri"/>
                <w:b/>
                <w:bCs/>
                <w:color w:val="000000"/>
                <w:sz w:val="16"/>
                <w:szCs w:val="16"/>
              </w:rPr>
            </w:pPr>
            <w:r>
              <w:rPr>
                <w:rFonts w:ascii="Calibri" w:hAnsi="Calibri" w:cs="Calibri"/>
                <w:b/>
                <w:bCs/>
                <w:color w:val="000000"/>
                <w:sz w:val="16"/>
                <w:szCs w:val="16"/>
              </w:rPr>
              <w:t>4.663.369</w:t>
            </w:r>
          </w:p>
        </w:tc>
        <w:tc>
          <w:tcPr>
            <w:tcW w:w="833" w:type="pct"/>
            <w:tcBorders>
              <w:top w:val="single" w:sz="8" w:space="0" w:color="auto"/>
              <w:left w:val="nil"/>
              <w:bottom w:val="single" w:sz="8" w:space="0" w:color="auto"/>
              <w:right w:val="nil"/>
            </w:tcBorders>
            <w:shd w:val="clear" w:color="auto" w:fill="auto"/>
            <w:noWrap/>
            <w:vAlign w:val="center"/>
            <w:hideMark/>
          </w:tcPr>
          <w:p w14:paraId="4D0A7460" w14:textId="632B87D9" w:rsidR="00317CCE" w:rsidRPr="00B13DBD" w:rsidRDefault="00C27A76" w:rsidP="00937ED9">
            <w:pPr>
              <w:spacing w:after="120"/>
              <w:jc w:val="right"/>
              <w:rPr>
                <w:rFonts w:ascii="Calibri" w:hAnsi="Calibri" w:cs="Calibri"/>
                <w:b/>
                <w:bCs/>
                <w:color w:val="000000"/>
                <w:sz w:val="16"/>
                <w:szCs w:val="16"/>
              </w:rPr>
            </w:pPr>
            <w:r>
              <w:rPr>
                <w:rFonts w:ascii="Calibri" w:hAnsi="Calibri" w:cs="Calibri"/>
                <w:b/>
                <w:bCs/>
                <w:color w:val="000000"/>
                <w:sz w:val="16"/>
                <w:szCs w:val="16"/>
              </w:rPr>
              <w:t>1</w:t>
            </w:r>
            <w:r w:rsidR="00F94B23">
              <w:rPr>
                <w:rFonts w:ascii="Calibri" w:hAnsi="Calibri" w:cs="Calibri"/>
                <w:b/>
                <w:bCs/>
                <w:color w:val="000000"/>
                <w:sz w:val="16"/>
                <w:szCs w:val="16"/>
              </w:rPr>
              <w:t>.853.349</w:t>
            </w:r>
          </w:p>
        </w:tc>
      </w:tr>
    </w:tbl>
    <w:p w14:paraId="5D6FE213" w14:textId="267AB1F3" w:rsidR="006255B0" w:rsidRDefault="006255B0" w:rsidP="000B3A75">
      <w:pPr>
        <w:spacing w:before="120" w:after="120"/>
        <w:ind w:right="-142"/>
        <w:rPr>
          <w:rFonts w:ascii="Calibri" w:hAnsi="Calibri" w:cs="Calibri"/>
          <w:sz w:val="22"/>
          <w:szCs w:val="22"/>
        </w:rPr>
      </w:pPr>
      <w:r w:rsidRPr="006255B0">
        <w:rPr>
          <w:rFonts w:ascii="Calibri" w:hAnsi="Calibri" w:cs="Calibri"/>
          <w:sz w:val="22"/>
          <w:szCs w:val="22"/>
        </w:rPr>
        <w:t>As</w:t>
      </w:r>
      <w:r>
        <w:rPr>
          <w:rFonts w:ascii="Calibri" w:hAnsi="Calibri" w:cs="Calibri"/>
          <w:sz w:val="22"/>
          <w:szCs w:val="22"/>
        </w:rPr>
        <w:t xml:space="preserve"> receitas de exploração de ferrovia correspondem às receitas alternativas advinda</w:t>
      </w:r>
      <w:r w:rsidR="00220FFA">
        <w:rPr>
          <w:rFonts w:ascii="Calibri" w:hAnsi="Calibri" w:cs="Calibri"/>
          <w:sz w:val="22"/>
          <w:szCs w:val="22"/>
        </w:rPr>
        <w:t>s</w:t>
      </w:r>
      <w:r>
        <w:rPr>
          <w:rFonts w:ascii="Calibri" w:hAnsi="Calibri" w:cs="Calibri"/>
          <w:sz w:val="22"/>
          <w:szCs w:val="22"/>
        </w:rPr>
        <w:t xml:space="preserve"> dos royalties das ferrovias.</w:t>
      </w:r>
    </w:p>
    <w:p w14:paraId="49C1030C" w14:textId="5660A815" w:rsidR="006255B0" w:rsidRPr="00572476" w:rsidRDefault="006255B0" w:rsidP="00220FFA">
      <w:pPr>
        <w:spacing w:after="120"/>
        <w:jc w:val="both"/>
        <w:rPr>
          <w:rFonts w:ascii="Calibri" w:hAnsi="Calibri" w:cs="Calibri"/>
          <w:sz w:val="22"/>
          <w:szCs w:val="22"/>
        </w:rPr>
      </w:pPr>
      <w:r>
        <w:rPr>
          <w:rFonts w:ascii="Calibri" w:hAnsi="Calibri" w:cs="Calibri"/>
          <w:sz w:val="22"/>
          <w:szCs w:val="22"/>
        </w:rPr>
        <w:t>A receita com Subconcessão FIOL corresponde aos valores apropriados mensalmente relativos</w:t>
      </w:r>
      <w:r w:rsidR="00220FFA">
        <w:rPr>
          <w:rFonts w:ascii="Calibri" w:hAnsi="Calibri" w:cs="Calibri"/>
          <w:sz w:val="22"/>
          <w:szCs w:val="22"/>
        </w:rPr>
        <w:t xml:space="preserve"> ao diferimento da receita contratual de subconcessão do trecho FIOL I, </w:t>
      </w:r>
      <w:r w:rsidR="00220FFA" w:rsidRPr="00572476">
        <w:rPr>
          <w:rFonts w:ascii="Calibri" w:hAnsi="Calibri" w:cs="Calibri"/>
          <w:sz w:val="22"/>
          <w:szCs w:val="22"/>
        </w:rPr>
        <w:t>conforme Nota 1</w:t>
      </w:r>
      <w:r w:rsidR="00572476">
        <w:rPr>
          <w:rFonts w:ascii="Calibri" w:hAnsi="Calibri" w:cs="Calibri"/>
          <w:sz w:val="22"/>
          <w:szCs w:val="22"/>
        </w:rPr>
        <w:t>4</w:t>
      </w:r>
      <w:r w:rsidR="00220FFA" w:rsidRPr="00572476">
        <w:rPr>
          <w:rFonts w:ascii="Calibri" w:hAnsi="Calibri" w:cs="Calibri"/>
          <w:sz w:val="22"/>
          <w:szCs w:val="22"/>
        </w:rPr>
        <w:t>b.</w:t>
      </w:r>
      <w:r w:rsidRPr="00572476">
        <w:rPr>
          <w:rFonts w:ascii="Calibri" w:hAnsi="Calibri" w:cs="Calibri"/>
          <w:sz w:val="22"/>
          <w:szCs w:val="22"/>
        </w:rPr>
        <w:t xml:space="preserve"> </w:t>
      </w:r>
    </w:p>
    <w:p w14:paraId="25194D9D" w14:textId="412DE373" w:rsidR="00220FFA" w:rsidRDefault="00220FFA" w:rsidP="00220FFA">
      <w:pPr>
        <w:spacing w:after="120"/>
        <w:jc w:val="both"/>
        <w:rPr>
          <w:rFonts w:ascii="Calibri" w:hAnsi="Calibri" w:cs="Calibri"/>
          <w:sz w:val="22"/>
          <w:szCs w:val="22"/>
        </w:rPr>
      </w:pPr>
      <w:r w:rsidRPr="00572476">
        <w:rPr>
          <w:rFonts w:ascii="Calibri" w:hAnsi="Calibri" w:cs="Calibri"/>
          <w:sz w:val="22"/>
          <w:szCs w:val="22"/>
        </w:rPr>
        <w:t xml:space="preserve">As receitas de Permissão de uso de pátios referem-se aos valores apropriados mensalmente relativos ao diferimento da receita dos contratos de Permissão para Uso dos Pátios e Terminais da </w:t>
      </w:r>
      <w:r w:rsidR="00D60F6A">
        <w:rPr>
          <w:rFonts w:ascii="Calibri" w:hAnsi="Calibri" w:cs="Calibri"/>
          <w:sz w:val="22"/>
          <w:szCs w:val="22"/>
        </w:rPr>
        <w:t>Infra</w:t>
      </w:r>
      <w:r w:rsidR="00B406C5">
        <w:rPr>
          <w:rFonts w:ascii="Calibri" w:hAnsi="Calibri" w:cs="Calibri"/>
          <w:sz w:val="22"/>
          <w:szCs w:val="22"/>
        </w:rPr>
        <w:t xml:space="preserve"> S.A.</w:t>
      </w:r>
      <w:r w:rsidRPr="00572476">
        <w:rPr>
          <w:rFonts w:ascii="Calibri" w:hAnsi="Calibri" w:cs="Calibri"/>
          <w:sz w:val="22"/>
          <w:szCs w:val="22"/>
        </w:rPr>
        <w:t>, conforme Nota 1</w:t>
      </w:r>
      <w:r w:rsidR="00572476">
        <w:rPr>
          <w:rFonts w:ascii="Calibri" w:hAnsi="Calibri" w:cs="Calibri"/>
          <w:sz w:val="22"/>
          <w:szCs w:val="22"/>
        </w:rPr>
        <w:t>4</w:t>
      </w:r>
      <w:r w:rsidR="00F72886" w:rsidRPr="00572476">
        <w:rPr>
          <w:rFonts w:ascii="Calibri" w:hAnsi="Calibri" w:cs="Calibri"/>
          <w:sz w:val="22"/>
          <w:szCs w:val="22"/>
        </w:rPr>
        <w:t>a</w:t>
      </w:r>
      <w:r w:rsidRPr="00572476">
        <w:rPr>
          <w:rFonts w:ascii="Calibri" w:hAnsi="Calibri" w:cs="Calibri"/>
          <w:sz w:val="22"/>
          <w:szCs w:val="22"/>
        </w:rPr>
        <w:t>.</w:t>
      </w:r>
      <w:r w:rsidR="00F72886">
        <w:rPr>
          <w:rFonts w:ascii="Calibri" w:hAnsi="Calibri" w:cs="Calibri"/>
          <w:sz w:val="22"/>
          <w:szCs w:val="22"/>
        </w:rPr>
        <w:t xml:space="preserve"> Estas receitas abrangem também as receitas variáveis dos referidos contratos.</w:t>
      </w:r>
    </w:p>
    <w:p w14:paraId="3FF0F695" w14:textId="286709F1" w:rsidR="00F72886" w:rsidRPr="006255B0" w:rsidRDefault="00F72886" w:rsidP="00220FFA">
      <w:pPr>
        <w:spacing w:after="120"/>
        <w:jc w:val="both"/>
        <w:rPr>
          <w:rFonts w:ascii="Calibri" w:hAnsi="Calibri" w:cs="Calibri"/>
          <w:sz w:val="22"/>
          <w:szCs w:val="22"/>
        </w:rPr>
      </w:pPr>
      <w:r>
        <w:rPr>
          <w:rFonts w:ascii="Calibri" w:hAnsi="Calibri" w:cs="Calibri"/>
          <w:sz w:val="22"/>
          <w:szCs w:val="22"/>
        </w:rPr>
        <w:t xml:space="preserve">As deduções das receitas são resultantes da apuração do PIS e CONFINS sobre o </w:t>
      </w:r>
      <w:r w:rsidRPr="00F72886">
        <w:rPr>
          <w:rFonts w:ascii="Calibri" w:hAnsi="Calibri" w:cs="Calibri"/>
          <w:sz w:val="22"/>
          <w:szCs w:val="22"/>
        </w:rPr>
        <w:t>total das receitas auferidas no mês</w:t>
      </w:r>
      <w:r>
        <w:rPr>
          <w:rFonts w:ascii="Calibri" w:hAnsi="Calibri" w:cs="Calibri"/>
          <w:sz w:val="22"/>
          <w:szCs w:val="22"/>
        </w:rPr>
        <w:t xml:space="preserve">, </w:t>
      </w:r>
      <w:r w:rsidRPr="00572476">
        <w:rPr>
          <w:rFonts w:ascii="Calibri" w:hAnsi="Calibri" w:cs="Calibri"/>
          <w:sz w:val="22"/>
          <w:szCs w:val="22"/>
        </w:rPr>
        <w:t>conforme Nota 4b.1.  Ressalta-se que</w:t>
      </w:r>
      <w:r>
        <w:rPr>
          <w:rFonts w:ascii="Calibri" w:hAnsi="Calibri" w:cs="Calibri"/>
          <w:sz w:val="22"/>
          <w:szCs w:val="22"/>
        </w:rPr>
        <w:t xml:space="preserve"> é utilizado o regime de caixa para tal apuração.</w:t>
      </w:r>
    </w:p>
    <w:p w14:paraId="58553EBF" w14:textId="668A0C95" w:rsidR="004E146F" w:rsidRPr="002E2B5B" w:rsidRDefault="00434FB3" w:rsidP="000B3A75">
      <w:pPr>
        <w:spacing w:before="120" w:after="120"/>
        <w:ind w:right="-142"/>
        <w:rPr>
          <w:rFonts w:ascii="Calibri" w:hAnsi="Calibri" w:cs="Calibri"/>
          <w:b/>
          <w:color w:val="000000"/>
          <w:sz w:val="22"/>
          <w:szCs w:val="22"/>
        </w:rPr>
      </w:pPr>
      <w:r w:rsidRPr="002E2B5B">
        <w:rPr>
          <w:rFonts w:ascii="Calibri" w:hAnsi="Calibri" w:cs="Calibri"/>
          <w:b/>
          <w:color w:val="000000"/>
          <w:sz w:val="22"/>
          <w:szCs w:val="22"/>
        </w:rPr>
        <w:t>NOTA 1</w:t>
      </w:r>
      <w:r w:rsidR="005B7086">
        <w:rPr>
          <w:rFonts w:ascii="Calibri" w:hAnsi="Calibri" w:cs="Calibri"/>
          <w:b/>
          <w:color w:val="000000"/>
          <w:sz w:val="22"/>
          <w:szCs w:val="22"/>
        </w:rPr>
        <w:t>9</w:t>
      </w:r>
      <w:r w:rsidRPr="002E2B5B">
        <w:rPr>
          <w:rFonts w:ascii="Calibri" w:hAnsi="Calibri" w:cs="Calibri"/>
          <w:b/>
          <w:color w:val="000000"/>
          <w:sz w:val="22"/>
          <w:szCs w:val="22"/>
        </w:rPr>
        <w:t xml:space="preserve"> - </w:t>
      </w:r>
      <w:r w:rsidR="004E146F" w:rsidRPr="002E2B5B">
        <w:rPr>
          <w:rFonts w:ascii="Calibri" w:hAnsi="Calibri" w:cs="Calibri"/>
          <w:b/>
          <w:color w:val="000000"/>
          <w:sz w:val="22"/>
          <w:szCs w:val="22"/>
        </w:rPr>
        <w:t>DESPESAS OPERACIONAIS</w:t>
      </w:r>
    </w:p>
    <w:p w14:paraId="5954F75B" w14:textId="3435E9A0" w:rsidR="001C75AC" w:rsidRPr="00B92F90" w:rsidRDefault="00235CD9" w:rsidP="00937ED9">
      <w:pPr>
        <w:numPr>
          <w:ilvl w:val="0"/>
          <w:numId w:val="1"/>
        </w:numPr>
        <w:spacing w:after="120"/>
        <w:ind w:left="284" w:right="-142" w:hanging="284"/>
        <w:rPr>
          <w:rFonts w:ascii="Calibri" w:hAnsi="Calibri" w:cs="Calibri"/>
          <w:b/>
          <w:sz w:val="22"/>
          <w:szCs w:val="22"/>
        </w:rPr>
      </w:pPr>
      <w:r w:rsidRPr="002E2B5B">
        <w:rPr>
          <w:rFonts w:ascii="Calibri" w:hAnsi="Calibri" w:cs="Calibri"/>
          <w:b/>
          <w:color w:val="000000"/>
          <w:sz w:val="22"/>
          <w:szCs w:val="22"/>
        </w:rPr>
        <w:t>Despesas com Pessoal</w:t>
      </w:r>
    </w:p>
    <w:p w14:paraId="2975842F" w14:textId="658F1B6E" w:rsidR="00216A83" w:rsidRDefault="00216A83" w:rsidP="00937ED9">
      <w:pPr>
        <w:spacing w:after="120"/>
        <w:jc w:val="both"/>
        <w:rPr>
          <w:rFonts w:ascii="Calibri" w:hAnsi="Calibri" w:cs="Calibri"/>
          <w:color w:val="000000"/>
          <w:sz w:val="22"/>
          <w:szCs w:val="22"/>
        </w:rPr>
      </w:pPr>
      <w:r w:rsidRPr="00216A83">
        <w:rPr>
          <w:rFonts w:ascii="Calibri" w:hAnsi="Calibri" w:cs="Calibri"/>
          <w:color w:val="000000"/>
          <w:sz w:val="22"/>
          <w:szCs w:val="22"/>
        </w:rPr>
        <w:t>As despesas com pessoal, incluindo remuneração, encargos e benefícios totalizaram</w:t>
      </w:r>
      <w:r w:rsidR="00B85D27">
        <w:rPr>
          <w:rFonts w:ascii="Calibri" w:hAnsi="Calibri" w:cs="Calibri"/>
          <w:color w:val="000000"/>
          <w:sz w:val="22"/>
          <w:szCs w:val="22"/>
        </w:rPr>
        <w:t>,</w:t>
      </w:r>
      <w:r w:rsidRPr="00216A83">
        <w:rPr>
          <w:rFonts w:ascii="Calibri" w:hAnsi="Calibri" w:cs="Calibri"/>
          <w:color w:val="000000"/>
          <w:sz w:val="22"/>
          <w:szCs w:val="22"/>
        </w:rPr>
        <w:t xml:space="preserve"> </w:t>
      </w:r>
      <w:r w:rsidR="00C27A76">
        <w:rPr>
          <w:rFonts w:ascii="Calibri" w:hAnsi="Calibri" w:cs="Calibri"/>
          <w:color w:val="000000"/>
          <w:sz w:val="22"/>
          <w:szCs w:val="22"/>
        </w:rPr>
        <w:t xml:space="preserve">até </w:t>
      </w:r>
      <w:r w:rsidR="00B85D27">
        <w:rPr>
          <w:rFonts w:ascii="Calibri" w:hAnsi="Calibri" w:cs="Calibri"/>
          <w:sz w:val="22"/>
          <w:szCs w:val="22"/>
        </w:rPr>
        <w:t xml:space="preserve">o </w:t>
      </w:r>
      <w:r w:rsidR="005B7086">
        <w:rPr>
          <w:rFonts w:ascii="Calibri" w:hAnsi="Calibri" w:cs="Calibri"/>
          <w:sz w:val="22"/>
          <w:szCs w:val="22"/>
        </w:rPr>
        <w:t>3</w:t>
      </w:r>
      <w:r w:rsidR="00B85D27">
        <w:rPr>
          <w:rFonts w:ascii="Calibri" w:hAnsi="Calibri" w:cs="Calibri"/>
          <w:sz w:val="22"/>
          <w:szCs w:val="22"/>
        </w:rPr>
        <w:t xml:space="preserve">º trimestre de 2022, </w:t>
      </w:r>
      <w:r w:rsidRPr="00216A83">
        <w:rPr>
          <w:rFonts w:ascii="Calibri" w:hAnsi="Calibri" w:cs="Calibri"/>
          <w:color w:val="000000"/>
          <w:sz w:val="22"/>
          <w:szCs w:val="22"/>
        </w:rPr>
        <w:t xml:space="preserve">R$ </w:t>
      </w:r>
      <w:r w:rsidR="00F94B23">
        <w:rPr>
          <w:rFonts w:ascii="Calibri" w:hAnsi="Calibri" w:cs="Calibri"/>
          <w:color w:val="000000"/>
          <w:sz w:val="22"/>
          <w:szCs w:val="22"/>
        </w:rPr>
        <w:t>92</w:t>
      </w:r>
      <w:r w:rsidR="00C46708">
        <w:rPr>
          <w:rFonts w:ascii="Calibri" w:hAnsi="Calibri" w:cs="Calibri"/>
          <w:color w:val="000000"/>
          <w:sz w:val="22"/>
          <w:szCs w:val="22"/>
        </w:rPr>
        <w:t>,8</w:t>
      </w:r>
      <w:r w:rsidR="00F94B23">
        <w:rPr>
          <w:rFonts w:ascii="Calibri" w:hAnsi="Calibri" w:cs="Calibri"/>
          <w:color w:val="000000"/>
          <w:sz w:val="22"/>
          <w:szCs w:val="22"/>
        </w:rPr>
        <w:t>3</w:t>
      </w:r>
      <w:r w:rsidR="00C17EB4">
        <w:rPr>
          <w:rFonts w:ascii="Calibri" w:hAnsi="Calibri" w:cs="Calibri"/>
          <w:color w:val="000000"/>
          <w:sz w:val="22"/>
          <w:szCs w:val="22"/>
        </w:rPr>
        <w:t xml:space="preserve"> </w:t>
      </w:r>
      <w:r w:rsidRPr="00216A83">
        <w:rPr>
          <w:rFonts w:ascii="Calibri" w:hAnsi="Calibri" w:cs="Calibri"/>
          <w:color w:val="000000"/>
          <w:sz w:val="22"/>
          <w:szCs w:val="22"/>
        </w:rPr>
        <w:t>milhões</w:t>
      </w:r>
      <w:r>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6037"/>
        <w:gridCol w:w="2215"/>
        <w:gridCol w:w="2215"/>
      </w:tblGrid>
      <w:tr w:rsidR="0033029E" w14:paraId="025E5247" w14:textId="77777777" w:rsidTr="000B3A75">
        <w:trPr>
          <w:trHeight w:hRule="exact" w:val="227"/>
        </w:trPr>
        <w:tc>
          <w:tcPr>
            <w:tcW w:w="2884" w:type="pct"/>
            <w:tcBorders>
              <w:top w:val="single" w:sz="8" w:space="0" w:color="auto"/>
              <w:left w:val="nil"/>
              <w:bottom w:val="single" w:sz="8" w:space="0" w:color="auto"/>
              <w:right w:val="nil"/>
            </w:tcBorders>
            <w:shd w:val="clear" w:color="auto" w:fill="auto"/>
            <w:noWrap/>
            <w:vAlign w:val="center"/>
            <w:hideMark/>
          </w:tcPr>
          <w:p w14:paraId="51CC3D46" w14:textId="77777777" w:rsidR="0033029E" w:rsidRDefault="0033029E" w:rsidP="00937ED9">
            <w:pPr>
              <w:spacing w:after="120"/>
              <w:rPr>
                <w:rFonts w:ascii="Calibri" w:hAnsi="Calibri" w:cs="Calibri"/>
                <w:b/>
                <w:bCs/>
                <w:color w:val="000000"/>
                <w:sz w:val="16"/>
                <w:szCs w:val="16"/>
              </w:rPr>
            </w:pPr>
            <w:r>
              <w:rPr>
                <w:rFonts w:ascii="Calibri" w:hAnsi="Calibri" w:cs="Calibri"/>
                <w:b/>
                <w:bCs/>
                <w:color w:val="000000"/>
                <w:sz w:val="16"/>
                <w:szCs w:val="16"/>
              </w:rPr>
              <w:t>DESPESAS COM PESSOAL</w:t>
            </w:r>
          </w:p>
        </w:tc>
        <w:tc>
          <w:tcPr>
            <w:tcW w:w="1058" w:type="pct"/>
            <w:tcBorders>
              <w:top w:val="single" w:sz="8" w:space="0" w:color="auto"/>
              <w:left w:val="nil"/>
              <w:bottom w:val="single" w:sz="8" w:space="0" w:color="auto"/>
              <w:right w:val="nil"/>
            </w:tcBorders>
            <w:shd w:val="clear" w:color="auto" w:fill="auto"/>
            <w:vAlign w:val="center"/>
            <w:hideMark/>
          </w:tcPr>
          <w:p w14:paraId="235789B6" w14:textId="72EE94CE" w:rsidR="0033029E" w:rsidRDefault="0033029E"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27A76">
              <w:rPr>
                <w:rFonts w:ascii="Calibri" w:hAnsi="Calibri" w:cs="Calibri"/>
                <w:b/>
                <w:bCs/>
                <w:color w:val="000000"/>
                <w:sz w:val="16"/>
                <w:szCs w:val="16"/>
              </w:rPr>
              <w:t>0</w:t>
            </w:r>
            <w:r>
              <w:rPr>
                <w:rFonts w:ascii="Calibri" w:hAnsi="Calibri" w:cs="Calibri"/>
                <w:b/>
                <w:bCs/>
                <w:color w:val="000000"/>
                <w:sz w:val="16"/>
                <w:szCs w:val="16"/>
              </w:rPr>
              <w:t>/</w:t>
            </w:r>
            <w:r w:rsidR="00B85D27">
              <w:rPr>
                <w:rFonts w:ascii="Calibri" w:hAnsi="Calibri" w:cs="Calibri"/>
                <w:b/>
                <w:bCs/>
                <w:color w:val="000000"/>
                <w:sz w:val="16"/>
                <w:szCs w:val="16"/>
              </w:rPr>
              <w:t>0</w:t>
            </w:r>
            <w:r w:rsidR="00F94B23">
              <w:rPr>
                <w:rFonts w:ascii="Calibri" w:hAnsi="Calibri" w:cs="Calibri"/>
                <w:b/>
                <w:bCs/>
                <w:color w:val="000000"/>
                <w:sz w:val="16"/>
                <w:szCs w:val="16"/>
              </w:rPr>
              <w:t>9</w:t>
            </w:r>
            <w:r>
              <w:rPr>
                <w:rFonts w:ascii="Calibri" w:hAnsi="Calibri" w:cs="Calibri"/>
                <w:b/>
                <w:bCs/>
                <w:color w:val="000000"/>
                <w:sz w:val="16"/>
                <w:szCs w:val="16"/>
              </w:rPr>
              <w:t>/202</w:t>
            </w:r>
            <w:r w:rsidR="00B85D27">
              <w:rPr>
                <w:rFonts w:ascii="Calibri" w:hAnsi="Calibri" w:cs="Calibri"/>
                <w:b/>
                <w:bCs/>
                <w:color w:val="000000"/>
                <w:sz w:val="16"/>
                <w:szCs w:val="16"/>
              </w:rPr>
              <w:t>2</w:t>
            </w:r>
          </w:p>
        </w:tc>
        <w:tc>
          <w:tcPr>
            <w:tcW w:w="1058" w:type="pct"/>
            <w:tcBorders>
              <w:top w:val="single" w:sz="8" w:space="0" w:color="auto"/>
              <w:left w:val="nil"/>
              <w:bottom w:val="single" w:sz="8" w:space="0" w:color="auto"/>
              <w:right w:val="nil"/>
            </w:tcBorders>
            <w:shd w:val="clear" w:color="auto" w:fill="auto"/>
            <w:vAlign w:val="center"/>
            <w:hideMark/>
          </w:tcPr>
          <w:p w14:paraId="704AD871" w14:textId="46A66B4C" w:rsidR="0033029E" w:rsidRPr="00B13DBD" w:rsidRDefault="0033029E" w:rsidP="00937ED9">
            <w:pPr>
              <w:spacing w:after="120"/>
              <w:jc w:val="right"/>
              <w:rPr>
                <w:rFonts w:ascii="Calibri" w:hAnsi="Calibri" w:cs="Calibri"/>
                <w:b/>
                <w:bCs/>
                <w:color w:val="000000"/>
                <w:sz w:val="16"/>
                <w:szCs w:val="16"/>
              </w:rPr>
            </w:pPr>
            <w:r w:rsidRPr="00B13DBD">
              <w:rPr>
                <w:rFonts w:ascii="Calibri" w:hAnsi="Calibri" w:cs="Calibri"/>
                <w:b/>
                <w:bCs/>
                <w:color w:val="000000"/>
                <w:sz w:val="16"/>
                <w:szCs w:val="16"/>
              </w:rPr>
              <w:t>3</w:t>
            </w:r>
            <w:r w:rsidR="00C27A76">
              <w:rPr>
                <w:rFonts w:ascii="Calibri" w:hAnsi="Calibri" w:cs="Calibri"/>
                <w:b/>
                <w:bCs/>
                <w:color w:val="000000"/>
                <w:sz w:val="16"/>
                <w:szCs w:val="16"/>
              </w:rPr>
              <w:t>0</w:t>
            </w:r>
            <w:r w:rsidRPr="00B13DBD">
              <w:rPr>
                <w:rFonts w:ascii="Calibri" w:hAnsi="Calibri" w:cs="Calibri"/>
                <w:b/>
                <w:bCs/>
                <w:color w:val="000000"/>
                <w:sz w:val="16"/>
                <w:szCs w:val="16"/>
              </w:rPr>
              <w:t>/</w:t>
            </w:r>
            <w:r w:rsidR="00B85D27">
              <w:rPr>
                <w:rFonts w:ascii="Calibri" w:hAnsi="Calibri" w:cs="Calibri"/>
                <w:b/>
                <w:bCs/>
                <w:color w:val="000000"/>
                <w:sz w:val="16"/>
                <w:szCs w:val="16"/>
              </w:rPr>
              <w:t>0</w:t>
            </w:r>
            <w:r w:rsidR="00F94B23">
              <w:rPr>
                <w:rFonts w:ascii="Calibri" w:hAnsi="Calibri" w:cs="Calibri"/>
                <w:b/>
                <w:bCs/>
                <w:color w:val="000000"/>
                <w:sz w:val="16"/>
                <w:szCs w:val="16"/>
              </w:rPr>
              <w:t>9</w:t>
            </w:r>
            <w:r w:rsidRPr="00B13DBD">
              <w:rPr>
                <w:rFonts w:ascii="Calibri" w:hAnsi="Calibri" w:cs="Calibri"/>
                <w:b/>
                <w:bCs/>
                <w:color w:val="000000"/>
                <w:sz w:val="16"/>
                <w:szCs w:val="16"/>
              </w:rPr>
              <w:t>/202</w:t>
            </w:r>
            <w:r w:rsidR="00B85D27">
              <w:rPr>
                <w:rFonts w:ascii="Calibri" w:hAnsi="Calibri" w:cs="Calibri"/>
                <w:b/>
                <w:bCs/>
                <w:color w:val="000000"/>
                <w:sz w:val="16"/>
                <w:szCs w:val="16"/>
              </w:rPr>
              <w:t>1</w:t>
            </w:r>
          </w:p>
        </w:tc>
      </w:tr>
      <w:tr w:rsidR="001E6CBB" w14:paraId="7267DAD0" w14:textId="77777777" w:rsidTr="007D40EC">
        <w:trPr>
          <w:trHeight w:hRule="exact" w:val="227"/>
        </w:trPr>
        <w:tc>
          <w:tcPr>
            <w:tcW w:w="2884" w:type="pct"/>
            <w:tcBorders>
              <w:top w:val="nil"/>
              <w:left w:val="nil"/>
              <w:bottom w:val="nil"/>
              <w:right w:val="nil"/>
            </w:tcBorders>
            <w:shd w:val="clear" w:color="auto" w:fill="auto"/>
            <w:noWrap/>
            <w:vAlign w:val="center"/>
            <w:hideMark/>
          </w:tcPr>
          <w:p w14:paraId="77871E91" w14:textId="77777777" w:rsidR="001E6CBB" w:rsidRDefault="001E6CBB" w:rsidP="001E6CBB">
            <w:pPr>
              <w:spacing w:after="120"/>
              <w:rPr>
                <w:rFonts w:ascii="Calibri" w:hAnsi="Calibri" w:cs="Calibri"/>
                <w:color w:val="000000"/>
                <w:sz w:val="16"/>
                <w:szCs w:val="16"/>
              </w:rPr>
            </w:pPr>
            <w:r>
              <w:rPr>
                <w:rFonts w:ascii="Calibri" w:hAnsi="Calibri" w:cs="Calibri"/>
                <w:color w:val="000000"/>
                <w:sz w:val="16"/>
                <w:szCs w:val="16"/>
              </w:rPr>
              <w:t>Remuneração (Salários, gratificações, 13º salário e férias)</w:t>
            </w:r>
          </w:p>
        </w:tc>
        <w:tc>
          <w:tcPr>
            <w:tcW w:w="1058" w:type="pct"/>
            <w:tcBorders>
              <w:top w:val="nil"/>
              <w:left w:val="nil"/>
              <w:bottom w:val="nil"/>
              <w:right w:val="nil"/>
            </w:tcBorders>
            <w:shd w:val="clear" w:color="auto" w:fill="auto"/>
            <w:vAlign w:val="center"/>
            <w:hideMark/>
          </w:tcPr>
          <w:p w14:paraId="15ACAA66" w14:textId="425E6258" w:rsidR="001E6CBB" w:rsidRDefault="001E6CBB" w:rsidP="001E6CBB">
            <w:pPr>
              <w:spacing w:after="120"/>
              <w:jc w:val="right"/>
              <w:rPr>
                <w:rFonts w:ascii="Calibri" w:hAnsi="Calibri" w:cs="Calibri"/>
                <w:color w:val="000000"/>
                <w:sz w:val="16"/>
                <w:szCs w:val="16"/>
              </w:rPr>
            </w:pPr>
            <w:r>
              <w:rPr>
                <w:rFonts w:ascii="Calibri" w:hAnsi="Calibri" w:cs="Calibri"/>
                <w:color w:val="000000"/>
                <w:sz w:val="16"/>
                <w:szCs w:val="16"/>
              </w:rPr>
              <w:t>(62.697.966)</w:t>
            </w:r>
          </w:p>
        </w:tc>
        <w:tc>
          <w:tcPr>
            <w:tcW w:w="1058" w:type="pct"/>
            <w:tcBorders>
              <w:top w:val="nil"/>
              <w:left w:val="nil"/>
              <w:bottom w:val="nil"/>
              <w:right w:val="nil"/>
            </w:tcBorders>
            <w:shd w:val="clear" w:color="auto" w:fill="auto"/>
            <w:hideMark/>
          </w:tcPr>
          <w:p w14:paraId="1C11D011" w14:textId="189F32EC" w:rsidR="001E6CBB" w:rsidRPr="00B13DBD" w:rsidRDefault="001E6CBB" w:rsidP="001E6CBB">
            <w:pPr>
              <w:spacing w:after="120"/>
              <w:jc w:val="right"/>
              <w:rPr>
                <w:rFonts w:ascii="Calibri" w:hAnsi="Calibri" w:cs="Calibri"/>
                <w:color w:val="000000"/>
                <w:sz w:val="16"/>
                <w:szCs w:val="16"/>
              </w:rPr>
            </w:pPr>
            <w:r w:rsidRPr="001E6CBB">
              <w:rPr>
                <w:rFonts w:ascii="Calibri" w:hAnsi="Calibri" w:cs="Calibri"/>
                <w:color w:val="000000"/>
                <w:sz w:val="16"/>
                <w:szCs w:val="16"/>
              </w:rPr>
              <w:t>(55.892.515)</w:t>
            </w:r>
          </w:p>
        </w:tc>
      </w:tr>
      <w:tr w:rsidR="001E6CBB" w14:paraId="05E4CAEA" w14:textId="77777777" w:rsidTr="007D40EC">
        <w:trPr>
          <w:trHeight w:hRule="exact" w:val="227"/>
        </w:trPr>
        <w:tc>
          <w:tcPr>
            <w:tcW w:w="2884" w:type="pct"/>
            <w:tcBorders>
              <w:top w:val="nil"/>
              <w:left w:val="nil"/>
              <w:bottom w:val="nil"/>
              <w:right w:val="nil"/>
            </w:tcBorders>
            <w:shd w:val="clear" w:color="auto" w:fill="auto"/>
            <w:noWrap/>
            <w:vAlign w:val="center"/>
            <w:hideMark/>
          </w:tcPr>
          <w:p w14:paraId="15425813" w14:textId="77777777" w:rsidR="001E6CBB" w:rsidRDefault="001E6CBB" w:rsidP="001E6CBB">
            <w:pPr>
              <w:spacing w:after="120"/>
              <w:rPr>
                <w:rFonts w:ascii="Calibri" w:hAnsi="Calibri" w:cs="Calibri"/>
                <w:color w:val="000000"/>
                <w:sz w:val="16"/>
                <w:szCs w:val="16"/>
              </w:rPr>
            </w:pPr>
            <w:r>
              <w:rPr>
                <w:rFonts w:ascii="Calibri" w:hAnsi="Calibri" w:cs="Calibri"/>
                <w:color w:val="000000"/>
                <w:sz w:val="16"/>
                <w:szCs w:val="16"/>
              </w:rPr>
              <w:t>Encargos Sociais (INSS, FGTS e Prev. Complementar)</w:t>
            </w:r>
          </w:p>
        </w:tc>
        <w:tc>
          <w:tcPr>
            <w:tcW w:w="1058" w:type="pct"/>
            <w:tcBorders>
              <w:top w:val="nil"/>
              <w:left w:val="nil"/>
              <w:bottom w:val="nil"/>
              <w:right w:val="nil"/>
            </w:tcBorders>
            <w:shd w:val="clear" w:color="auto" w:fill="auto"/>
            <w:vAlign w:val="center"/>
            <w:hideMark/>
          </w:tcPr>
          <w:p w14:paraId="2D3983C8" w14:textId="40FFDE6A" w:rsidR="001E6CBB" w:rsidRDefault="001E6CBB" w:rsidP="001E6CBB">
            <w:pPr>
              <w:spacing w:after="120"/>
              <w:jc w:val="right"/>
              <w:rPr>
                <w:rFonts w:ascii="Calibri" w:hAnsi="Calibri" w:cs="Calibri"/>
                <w:color w:val="000000"/>
                <w:sz w:val="16"/>
                <w:szCs w:val="16"/>
              </w:rPr>
            </w:pPr>
            <w:r>
              <w:rPr>
                <w:rFonts w:ascii="Calibri" w:hAnsi="Calibri" w:cs="Calibri"/>
                <w:color w:val="000000"/>
                <w:sz w:val="16"/>
                <w:szCs w:val="16"/>
              </w:rPr>
              <w:t>(21.484.223)</w:t>
            </w:r>
          </w:p>
        </w:tc>
        <w:tc>
          <w:tcPr>
            <w:tcW w:w="1058" w:type="pct"/>
            <w:tcBorders>
              <w:top w:val="nil"/>
              <w:left w:val="nil"/>
              <w:bottom w:val="nil"/>
              <w:right w:val="nil"/>
            </w:tcBorders>
            <w:shd w:val="clear" w:color="auto" w:fill="auto"/>
            <w:hideMark/>
          </w:tcPr>
          <w:p w14:paraId="12814FF3" w14:textId="48F9584A" w:rsidR="001E6CBB" w:rsidRPr="00B13DBD" w:rsidRDefault="001E6CBB" w:rsidP="001E6CBB">
            <w:pPr>
              <w:spacing w:after="120"/>
              <w:jc w:val="right"/>
              <w:rPr>
                <w:rFonts w:ascii="Calibri" w:hAnsi="Calibri" w:cs="Calibri"/>
                <w:color w:val="000000"/>
                <w:sz w:val="16"/>
                <w:szCs w:val="16"/>
              </w:rPr>
            </w:pPr>
            <w:r w:rsidRPr="001E6CBB">
              <w:rPr>
                <w:rFonts w:ascii="Calibri" w:hAnsi="Calibri" w:cs="Calibri"/>
                <w:color w:val="000000"/>
                <w:sz w:val="16"/>
                <w:szCs w:val="16"/>
              </w:rPr>
              <w:t>(21.844.006)</w:t>
            </w:r>
          </w:p>
        </w:tc>
      </w:tr>
      <w:tr w:rsidR="001E6CBB" w14:paraId="0BBEC47C" w14:textId="77777777" w:rsidTr="007D40EC">
        <w:trPr>
          <w:trHeight w:hRule="exact" w:val="227"/>
        </w:trPr>
        <w:tc>
          <w:tcPr>
            <w:tcW w:w="2884" w:type="pct"/>
            <w:tcBorders>
              <w:top w:val="nil"/>
              <w:left w:val="nil"/>
              <w:bottom w:val="single" w:sz="8" w:space="0" w:color="auto"/>
              <w:right w:val="nil"/>
            </w:tcBorders>
            <w:shd w:val="clear" w:color="auto" w:fill="auto"/>
            <w:noWrap/>
            <w:vAlign w:val="center"/>
            <w:hideMark/>
          </w:tcPr>
          <w:p w14:paraId="354917E0" w14:textId="77777777" w:rsidR="001E6CBB" w:rsidRDefault="001E6CBB" w:rsidP="001E6CBB">
            <w:pPr>
              <w:spacing w:after="120"/>
              <w:rPr>
                <w:rFonts w:ascii="Calibri" w:hAnsi="Calibri" w:cs="Calibri"/>
                <w:color w:val="000000"/>
                <w:sz w:val="16"/>
                <w:szCs w:val="16"/>
              </w:rPr>
            </w:pPr>
            <w:r>
              <w:rPr>
                <w:rFonts w:ascii="Calibri" w:hAnsi="Calibri" w:cs="Calibri"/>
                <w:color w:val="000000"/>
                <w:sz w:val="16"/>
                <w:szCs w:val="16"/>
              </w:rPr>
              <w:t>Benefícios (transporte, creche, saúde e alimentação)</w:t>
            </w:r>
          </w:p>
        </w:tc>
        <w:tc>
          <w:tcPr>
            <w:tcW w:w="1058" w:type="pct"/>
            <w:tcBorders>
              <w:top w:val="nil"/>
              <w:left w:val="nil"/>
              <w:bottom w:val="single" w:sz="8" w:space="0" w:color="auto"/>
              <w:right w:val="nil"/>
            </w:tcBorders>
            <w:shd w:val="clear" w:color="auto" w:fill="auto"/>
            <w:vAlign w:val="center"/>
            <w:hideMark/>
          </w:tcPr>
          <w:p w14:paraId="5025ADF0" w14:textId="4AF53DC6" w:rsidR="001E6CBB" w:rsidRDefault="001E6CBB" w:rsidP="001E6CBB">
            <w:pPr>
              <w:spacing w:after="120"/>
              <w:jc w:val="right"/>
              <w:rPr>
                <w:rFonts w:ascii="Calibri" w:hAnsi="Calibri" w:cs="Calibri"/>
                <w:color w:val="000000"/>
                <w:sz w:val="16"/>
                <w:szCs w:val="16"/>
              </w:rPr>
            </w:pPr>
            <w:r>
              <w:rPr>
                <w:rFonts w:ascii="Calibri" w:hAnsi="Calibri" w:cs="Calibri"/>
                <w:color w:val="000000"/>
                <w:sz w:val="16"/>
                <w:szCs w:val="16"/>
              </w:rPr>
              <w:t>(8.647.887)</w:t>
            </w:r>
          </w:p>
        </w:tc>
        <w:tc>
          <w:tcPr>
            <w:tcW w:w="1058" w:type="pct"/>
            <w:tcBorders>
              <w:top w:val="nil"/>
              <w:left w:val="nil"/>
              <w:bottom w:val="single" w:sz="8" w:space="0" w:color="auto"/>
              <w:right w:val="nil"/>
            </w:tcBorders>
            <w:shd w:val="clear" w:color="auto" w:fill="auto"/>
            <w:hideMark/>
          </w:tcPr>
          <w:p w14:paraId="508EA78E" w14:textId="0A2793A9" w:rsidR="001E6CBB" w:rsidRPr="00B13DBD" w:rsidRDefault="001E6CBB" w:rsidP="001E6CBB">
            <w:pPr>
              <w:spacing w:after="120"/>
              <w:jc w:val="right"/>
              <w:rPr>
                <w:rFonts w:ascii="Calibri" w:hAnsi="Calibri" w:cs="Calibri"/>
                <w:color w:val="000000"/>
                <w:sz w:val="16"/>
                <w:szCs w:val="16"/>
              </w:rPr>
            </w:pPr>
            <w:r w:rsidRPr="001E6CBB">
              <w:rPr>
                <w:rFonts w:ascii="Calibri" w:hAnsi="Calibri" w:cs="Calibri"/>
                <w:color w:val="000000"/>
                <w:sz w:val="16"/>
                <w:szCs w:val="16"/>
              </w:rPr>
              <w:t>(7.653.236)</w:t>
            </w:r>
          </w:p>
        </w:tc>
      </w:tr>
      <w:tr w:rsidR="0033029E" w14:paraId="38DFE193" w14:textId="77777777" w:rsidTr="000B3A75">
        <w:trPr>
          <w:trHeight w:hRule="exact" w:val="227"/>
        </w:trPr>
        <w:tc>
          <w:tcPr>
            <w:tcW w:w="2884" w:type="pct"/>
            <w:tcBorders>
              <w:top w:val="nil"/>
              <w:left w:val="nil"/>
              <w:bottom w:val="single" w:sz="8" w:space="0" w:color="auto"/>
              <w:right w:val="nil"/>
            </w:tcBorders>
            <w:shd w:val="clear" w:color="auto" w:fill="auto"/>
            <w:noWrap/>
            <w:vAlign w:val="center"/>
            <w:hideMark/>
          </w:tcPr>
          <w:p w14:paraId="308490FB" w14:textId="77777777" w:rsidR="0033029E" w:rsidRDefault="0033029E" w:rsidP="00937ED9">
            <w:pPr>
              <w:spacing w:after="120"/>
              <w:rPr>
                <w:rFonts w:ascii="Calibri" w:hAnsi="Calibri" w:cs="Calibri"/>
                <w:b/>
                <w:bCs/>
                <w:color w:val="000000"/>
                <w:sz w:val="16"/>
                <w:szCs w:val="16"/>
              </w:rPr>
            </w:pPr>
            <w:r>
              <w:rPr>
                <w:rFonts w:ascii="Calibri" w:hAnsi="Calibri" w:cs="Calibri"/>
                <w:b/>
                <w:bCs/>
                <w:color w:val="000000"/>
                <w:sz w:val="16"/>
                <w:szCs w:val="16"/>
              </w:rPr>
              <w:t>Total das Despesas com Pessoal</w:t>
            </w:r>
          </w:p>
        </w:tc>
        <w:tc>
          <w:tcPr>
            <w:tcW w:w="1058" w:type="pct"/>
            <w:tcBorders>
              <w:top w:val="nil"/>
              <w:left w:val="nil"/>
              <w:bottom w:val="single" w:sz="8" w:space="0" w:color="auto"/>
              <w:right w:val="nil"/>
            </w:tcBorders>
            <w:shd w:val="clear" w:color="auto" w:fill="auto"/>
            <w:vAlign w:val="center"/>
            <w:hideMark/>
          </w:tcPr>
          <w:p w14:paraId="68BAAF0B" w14:textId="0530B971" w:rsidR="0033029E" w:rsidRDefault="0033029E" w:rsidP="00937ED9">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531AFD">
              <w:rPr>
                <w:rFonts w:ascii="Calibri" w:hAnsi="Calibri" w:cs="Calibri"/>
                <w:b/>
                <w:bCs/>
                <w:color w:val="000000"/>
                <w:sz w:val="16"/>
                <w:szCs w:val="16"/>
              </w:rPr>
              <w:t>92.830.076</w:t>
            </w:r>
            <w:r>
              <w:rPr>
                <w:rFonts w:ascii="Calibri" w:hAnsi="Calibri" w:cs="Calibri"/>
                <w:b/>
                <w:bCs/>
                <w:color w:val="000000"/>
                <w:sz w:val="16"/>
                <w:szCs w:val="16"/>
              </w:rPr>
              <w:t>)</w:t>
            </w:r>
          </w:p>
        </w:tc>
        <w:tc>
          <w:tcPr>
            <w:tcW w:w="1058" w:type="pct"/>
            <w:tcBorders>
              <w:top w:val="nil"/>
              <w:left w:val="nil"/>
              <w:bottom w:val="single" w:sz="8" w:space="0" w:color="auto"/>
              <w:right w:val="nil"/>
            </w:tcBorders>
            <w:shd w:val="clear" w:color="auto" w:fill="auto"/>
            <w:vAlign w:val="center"/>
            <w:hideMark/>
          </w:tcPr>
          <w:p w14:paraId="5CDA2C3C" w14:textId="058758FE" w:rsidR="0033029E" w:rsidRPr="00B13DBD" w:rsidRDefault="001E6CBB" w:rsidP="00937ED9">
            <w:pPr>
              <w:spacing w:after="120"/>
              <w:jc w:val="right"/>
              <w:rPr>
                <w:rFonts w:ascii="Calibri" w:hAnsi="Calibri" w:cs="Calibri"/>
                <w:b/>
                <w:bCs/>
                <w:color w:val="000000"/>
                <w:sz w:val="16"/>
                <w:szCs w:val="16"/>
              </w:rPr>
            </w:pPr>
            <w:r w:rsidRPr="001E6CBB">
              <w:rPr>
                <w:rFonts w:ascii="Calibri" w:hAnsi="Calibri" w:cs="Calibri"/>
                <w:b/>
                <w:bCs/>
                <w:color w:val="000000"/>
                <w:sz w:val="16"/>
                <w:szCs w:val="16"/>
              </w:rPr>
              <w:t>(85.389.757)</w:t>
            </w:r>
          </w:p>
        </w:tc>
      </w:tr>
      <w:tr w:rsidR="0033029E" w14:paraId="7BF60659" w14:textId="77777777" w:rsidTr="000B3A75">
        <w:trPr>
          <w:trHeight w:hRule="exact" w:val="227"/>
        </w:trPr>
        <w:tc>
          <w:tcPr>
            <w:tcW w:w="2884" w:type="pct"/>
            <w:tcBorders>
              <w:top w:val="nil"/>
              <w:left w:val="nil"/>
              <w:bottom w:val="single" w:sz="8" w:space="0" w:color="auto"/>
              <w:right w:val="nil"/>
            </w:tcBorders>
            <w:shd w:val="clear" w:color="auto" w:fill="auto"/>
            <w:noWrap/>
            <w:vAlign w:val="center"/>
            <w:hideMark/>
          </w:tcPr>
          <w:p w14:paraId="7FDD8DD4" w14:textId="77777777" w:rsidR="0033029E" w:rsidRDefault="0033029E" w:rsidP="00937ED9">
            <w:pPr>
              <w:spacing w:after="120"/>
              <w:rPr>
                <w:rFonts w:ascii="Calibri" w:hAnsi="Calibri" w:cs="Calibri"/>
                <w:color w:val="000000"/>
                <w:sz w:val="16"/>
                <w:szCs w:val="16"/>
              </w:rPr>
            </w:pPr>
            <w:r>
              <w:rPr>
                <w:rFonts w:ascii="Calibri" w:hAnsi="Calibri" w:cs="Calibri"/>
                <w:color w:val="000000"/>
                <w:sz w:val="16"/>
                <w:szCs w:val="16"/>
              </w:rPr>
              <w:t xml:space="preserve">Quantidade de Funcionários </w:t>
            </w:r>
          </w:p>
        </w:tc>
        <w:tc>
          <w:tcPr>
            <w:tcW w:w="1058" w:type="pct"/>
            <w:tcBorders>
              <w:top w:val="nil"/>
              <w:left w:val="nil"/>
              <w:bottom w:val="single" w:sz="8" w:space="0" w:color="auto"/>
              <w:right w:val="nil"/>
            </w:tcBorders>
            <w:shd w:val="clear" w:color="auto" w:fill="auto"/>
            <w:vAlign w:val="center"/>
            <w:hideMark/>
          </w:tcPr>
          <w:p w14:paraId="7196FE84" w14:textId="32AF987D" w:rsidR="0033029E" w:rsidRDefault="00CF0501" w:rsidP="00937ED9">
            <w:pPr>
              <w:spacing w:after="120"/>
              <w:jc w:val="right"/>
              <w:rPr>
                <w:rFonts w:ascii="Calibri" w:hAnsi="Calibri" w:cs="Calibri"/>
                <w:color w:val="000000"/>
                <w:sz w:val="16"/>
                <w:szCs w:val="16"/>
              </w:rPr>
            </w:pPr>
            <w:r>
              <w:rPr>
                <w:rFonts w:ascii="Calibri" w:hAnsi="Calibri" w:cs="Calibri"/>
                <w:color w:val="000000"/>
                <w:sz w:val="16"/>
                <w:szCs w:val="16"/>
              </w:rPr>
              <w:t>761</w:t>
            </w:r>
          </w:p>
        </w:tc>
        <w:tc>
          <w:tcPr>
            <w:tcW w:w="1058" w:type="pct"/>
            <w:tcBorders>
              <w:top w:val="nil"/>
              <w:left w:val="nil"/>
              <w:bottom w:val="single" w:sz="8" w:space="0" w:color="auto"/>
              <w:right w:val="nil"/>
            </w:tcBorders>
            <w:shd w:val="clear" w:color="auto" w:fill="auto"/>
            <w:vAlign w:val="center"/>
            <w:hideMark/>
          </w:tcPr>
          <w:p w14:paraId="48AEFB93" w14:textId="2F61F0EC" w:rsidR="0033029E" w:rsidRPr="00B13DBD" w:rsidRDefault="0033029E" w:rsidP="00937ED9">
            <w:pPr>
              <w:spacing w:after="120"/>
              <w:jc w:val="right"/>
              <w:rPr>
                <w:rFonts w:ascii="Calibri" w:hAnsi="Calibri" w:cs="Calibri"/>
                <w:color w:val="000000"/>
                <w:sz w:val="16"/>
                <w:szCs w:val="16"/>
              </w:rPr>
            </w:pPr>
            <w:r w:rsidRPr="00B13DBD">
              <w:rPr>
                <w:rFonts w:ascii="Calibri" w:hAnsi="Calibri" w:cs="Calibri"/>
                <w:color w:val="000000"/>
                <w:sz w:val="16"/>
                <w:szCs w:val="16"/>
              </w:rPr>
              <w:t>66</w:t>
            </w:r>
            <w:r w:rsidR="00B85D27">
              <w:rPr>
                <w:rFonts w:ascii="Calibri" w:hAnsi="Calibri" w:cs="Calibri"/>
                <w:color w:val="000000"/>
                <w:sz w:val="16"/>
                <w:szCs w:val="16"/>
              </w:rPr>
              <w:t>4</w:t>
            </w:r>
          </w:p>
        </w:tc>
      </w:tr>
    </w:tbl>
    <w:p w14:paraId="5533F6AC" w14:textId="110C8F9B" w:rsidR="00651F44" w:rsidRDefault="007F4918" w:rsidP="00155537">
      <w:pPr>
        <w:numPr>
          <w:ilvl w:val="0"/>
          <w:numId w:val="1"/>
        </w:numPr>
        <w:spacing w:before="120" w:after="120"/>
        <w:ind w:left="284" w:right="-142" w:hanging="284"/>
        <w:rPr>
          <w:rFonts w:ascii="Calibri" w:hAnsi="Calibri" w:cs="Calibri"/>
          <w:b/>
          <w:color w:val="000000"/>
          <w:sz w:val="22"/>
          <w:szCs w:val="22"/>
        </w:rPr>
      </w:pPr>
      <w:r w:rsidRPr="002E2B5B">
        <w:rPr>
          <w:rFonts w:ascii="Calibri" w:hAnsi="Calibri" w:cs="Calibri"/>
          <w:b/>
          <w:color w:val="000000"/>
          <w:sz w:val="22"/>
          <w:szCs w:val="22"/>
        </w:rPr>
        <w:t>Gerais e</w:t>
      </w:r>
      <w:r w:rsidR="00C3606D" w:rsidRPr="002E2B5B">
        <w:rPr>
          <w:rFonts w:ascii="Calibri" w:hAnsi="Calibri" w:cs="Calibri"/>
          <w:b/>
          <w:color w:val="000000"/>
          <w:sz w:val="22"/>
          <w:szCs w:val="22"/>
        </w:rPr>
        <w:t xml:space="preserve"> Administrativas</w:t>
      </w:r>
    </w:p>
    <w:p w14:paraId="458B11E1" w14:textId="0C2720C9" w:rsidR="00651F44" w:rsidRDefault="000C106E" w:rsidP="00937ED9">
      <w:pPr>
        <w:spacing w:before="120" w:after="120"/>
        <w:jc w:val="both"/>
        <w:rPr>
          <w:rFonts w:ascii="Calibri" w:hAnsi="Calibri" w:cs="Calibri"/>
          <w:color w:val="000000"/>
          <w:sz w:val="22"/>
          <w:szCs w:val="22"/>
        </w:rPr>
      </w:pPr>
      <w:r w:rsidRPr="002E2B5B">
        <w:rPr>
          <w:rFonts w:ascii="Calibri" w:hAnsi="Calibri" w:cs="Calibri"/>
          <w:color w:val="000000"/>
          <w:sz w:val="22"/>
          <w:szCs w:val="22"/>
        </w:rPr>
        <w:t>As Despesas G</w:t>
      </w:r>
      <w:r w:rsidR="00651F44" w:rsidRPr="002E2B5B">
        <w:rPr>
          <w:rFonts w:ascii="Calibri" w:hAnsi="Calibri" w:cs="Calibri"/>
          <w:color w:val="000000"/>
          <w:sz w:val="22"/>
          <w:szCs w:val="22"/>
        </w:rPr>
        <w:t>erais e Administrativas totalizaram</w:t>
      </w:r>
      <w:r w:rsidR="00C22DC1" w:rsidRPr="002E2B5B">
        <w:rPr>
          <w:rFonts w:ascii="Calibri" w:hAnsi="Calibri" w:cs="Calibri"/>
          <w:color w:val="000000"/>
          <w:sz w:val="22"/>
          <w:szCs w:val="22"/>
        </w:rPr>
        <w:t xml:space="preserve"> o valor de </w:t>
      </w:r>
      <w:r w:rsidR="00651F44" w:rsidRPr="002E2B5B">
        <w:rPr>
          <w:rFonts w:ascii="Calibri" w:hAnsi="Calibri" w:cs="Calibri"/>
          <w:color w:val="000000"/>
          <w:sz w:val="22"/>
          <w:szCs w:val="22"/>
        </w:rPr>
        <w:t>R$</w:t>
      </w:r>
      <w:r w:rsidR="00346FAD" w:rsidRPr="002E2B5B">
        <w:rPr>
          <w:rFonts w:ascii="Calibri" w:hAnsi="Calibri" w:cs="Calibri"/>
          <w:color w:val="000000"/>
          <w:sz w:val="22"/>
          <w:szCs w:val="22"/>
        </w:rPr>
        <w:t xml:space="preserve"> </w:t>
      </w:r>
      <w:r w:rsidR="00155537">
        <w:rPr>
          <w:rFonts w:ascii="Calibri" w:hAnsi="Calibri" w:cs="Calibri"/>
          <w:color w:val="000000"/>
          <w:sz w:val="22"/>
          <w:szCs w:val="22"/>
        </w:rPr>
        <w:t>1</w:t>
      </w:r>
      <w:r w:rsidR="001E6CBB">
        <w:rPr>
          <w:rFonts w:ascii="Calibri" w:hAnsi="Calibri" w:cs="Calibri"/>
          <w:color w:val="000000"/>
          <w:sz w:val="22"/>
          <w:szCs w:val="22"/>
        </w:rPr>
        <w:t>7</w:t>
      </w:r>
      <w:r w:rsidR="00155537">
        <w:rPr>
          <w:rFonts w:ascii="Calibri" w:hAnsi="Calibri" w:cs="Calibri"/>
          <w:color w:val="000000"/>
          <w:sz w:val="22"/>
          <w:szCs w:val="22"/>
        </w:rPr>
        <w:t>,</w:t>
      </w:r>
      <w:r w:rsidR="001E6CBB">
        <w:rPr>
          <w:rFonts w:ascii="Calibri" w:hAnsi="Calibri" w:cs="Calibri"/>
          <w:color w:val="000000"/>
          <w:sz w:val="22"/>
          <w:szCs w:val="22"/>
        </w:rPr>
        <w:t>45</w:t>
      </w:r>
      <w:r w:rsidR="008E63AE" w:rsidRPr="002E2B5B">
        <w:rPr>
          <w:rFonts w:ascii="Calibri" w:hAnsi="Calibri" w:cs="Calibri"/>
          <w:color w:val="000000"/>
          <w:sz w:val="22"/>
          <w:szCs w:val="22"/>
        </w:rPr>
        <w:t xml:space="preserve"> milhões</w:t>
      </w:r>
      <w:r w:rsidR="00216A83">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5543"/>
        <w:gridCol w:w="804"/>
        <w:gridCol w:w="2060"/>
        <w:gridCol w:w="2060"/>
      </w:tblGrid>
      <w:tr w:rsidR="00A2342A" w14:paraId="250C1101" w14:textId="77777777" w:rsidTr="00A45D37">
        <w:trPr>
          <w:trHeight w:hRule="exact" w:val="227"/>
        </w:trPr>
        <w:tc>
          <w:tcPr>
            <w:tcW w:w="3032" w:type="pct"/>
            <w:gridSpan w:val="2"/>
            <w:tcBorders>
              <w:top w:val="single" w:sz="8" w:space="0" w:color="auto"/>
              <w:left w:val="nil"/>
              <w:bottom w:val="single" w:sz="8" w:space="0" w:color="auto"/>
              <w:right w:val="nil"/>
            </w:tcBorders>
            <w:shd w:val="clear" w:color="auto" w:fill="auto"/>
            <w:noWrap/>
            <w:vAlign w:val="center"/>
            <w:hideMark/>
          </w:tcPr>
          <w:p w14:paraId="401452DD" w14:textId="77777777" w:rsidR="00A2342A" w:rsidRDefault="00A2342A" w:rsidP="00937ED9">
            <w:pPr>
              <w:spacing w:after="120"/>
              <w:rPr>
                <w:rFonts w:ascii="Calibri" w:hAnsi="Calibri" w:cs="Calibri"/>
                <w:b/>
                <w:bCs/>
                <w:color w:val="000000"/>
                <w:sz w:val="16"/>
                <w:szCs w:val="16"/>
              </w:rPr>
            </w:pPr>
            <w:r>
              <w:rPr>
                <w:rFonts w:ascii="Calibri" w:hAnsi="Calibri" w:cs="Calibri"/>
                <w:b/>
                <w:bCs/>
                <w:color w:val="000000"/>
                <w:sz w:val="16"/>
                <w:szCs w:val="16"/>
              </w:rPr>
              <w:t>DESPESAS GERAIS E ADMINISTRATIVAS</w:t>
            </w:r>
          </w:p>
        </w:tc>
        <w:tc>
          <w:tcPr>
            <w:tcW w:w="984" w:type="pct"/>
            <w:tcBorders>
              <w:top w:val="single" w:sz="8" w:space="0" w:color="auto"/>
              <w:left w:val="nil"/>
              <w:bottom w:val="single" w:sz="8" w:space="0" w:color="auto"/>
              <w:right w:val="nil"/>
            </w:tcBorders>
            <w:shd w:val="clear" w:color="auto" w:fill="auto"/>
            <w:vAlign w:val="center"/>
            <w:hideMark/>
          </w:tcPr>
          <w:p w14:paraId="66BBC6EB" w14:textId="71977D1C" w:rsidR="00A2342A" w:rsidRDefault="00A2342A"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155537">
              <w:rPr>
                <w:rFonts w:ascii="Calibri" w:hAnsi="Calibri" w:cs="Calibri"/>
                <w:b/>
                <w:bCs/>
                <w:color w:val="000000"/>
                <w:sz w:val="16"/>
                <w:szCs w:val="16"/>
              </w:rPr>
              <w:t>0</w:t>
            </w:r>
            <w:r>
              <w:rPr>
                <w:rFonts w:ascii="Calibri" w:hAnsi="Calibri" w:cs="Calibri"/>
                <w:b/>
                <w:bCs/>
                <w:color w:val="000000"/>
                <w:sz w:val="16"/>
                <w:szCs w:val="16"/>
              </w:rPr>
              <w:t>/</w:t>
            </w:r>
            <w:r w:rsidR="00C46708">
              <w:rPr>
                <w:rFonts w:ascii="Calibri" w:hAnsi="Calibri" w:cs="Calibri"/>
                <w:b/>
                <w:bCs/>
                <w:color w:val="000000"/>
                <w:sz w:val="16"/>
                <w:szCs w:val="16"/>
              </w:rPr>
              <w:t>0</w:t>
            </w:r>
            <w:r w:rsidR="001E6CBB">
              <w:rPr>
                <w:rFonts w:ascii="Calibri" w:hAnsi="Calibri" w:cs="Calibri"/>
                <w:b/>
                <w:bCs/>
                <w:color w:val="000000"/>
                <w:sz w:val="16"/>
                <w:szCs w:val="16"/>
              </w:rPr>
              <w:t>9</w:t>
            </w:r>
            <w:r>
              <w:rPr>
                <w:rFonts w:ascii="Calibri" w:hAnsi="Calibri" w:cs="Calibri"/>
                <w:b/>
                <w:bCs/>
                <w:color w:val="000000"/>
                <w:sz w:val="16"/>
                <w:szCs w:val="16"/>
              </w:rPr>
              <w:t>/202</w:t>
            </w:r>
            <w:r w:rsidR="00C46708">
              <w:rPr>
                <w:rFonts w:ascii="Calibri" w:hAnsi="Calibri" w:cs="Calibri"/>
                <w:b/>
                <w:bCs/>
                <w:color w:val="000000"/>
                <w:sz w:val="16"/>
                <w:szCs w:val="16"/>
              </w:rPr>
              <w:t>2</w:t>
            </w:r>
          </w:p>
        </w:tc>
        <w:tc>
          <w:tcPr>
            <w:tcW w:w="984" w:type="pct"/>
            <w:tcBorders>
              <w:top w:val="single" w:sz="8" w:space="0" w:color="auto"/>
              <w:left w:val="nil"/>
              <w:bottom w:val="single" w:sz="8" w:space="0" w:color="auto"/>
              <w:right w:val="nil"/>
            </w:tcBorders>
            <w:shd w:val="clear" w:color="auto" w:fill="auto"/>
            <w:vAlign w:val="center"/>
            <w:hideMark/>
          </w:tcPr>
          <w:p w14:paraId="4CCB0F05" w14:textId="43B67506" w:rsidR="00A2342A" w:rsidRPr="00E92C8D" w:rsidRDefault="00A2342A" w:rsidP="00937ED9">
            <w:pPr>
              <w:spacing w:after="120"/>
              <w:jc w:val="right"/>
              <w:rPr>
                <w:rFonts w:ascii="Calibri" w:hAnsi="Calibri" w:cs="Calibri"/>
                <w:b/>
                <w:bCs/>
                <w:color w:val="000000"/>
                <w:sz w:val="16"/>
                <w:szCs w:val="16"/>
              </w:rPr>
            </w:pPr>
            <w:r w:rsidRPr="00E92C8D">
              <w:rPr>
                <w:rFonts w:ascii="Calibri" w:hAnsi="Calibri" w:cs="Calibri"/>
                <w:b/>
                <w:bCs/>
                <w:color w:val="000000"/>
                <w:sz w:val="16"/>
                <w:szCs w:val="16"/>
              </w:rPr>
              <w:t>3</w:t>
            </w:r>
            <w:r w:rsidR="00155537">
              <w:rPr>
                <w:rFonts w:ascii="Calibri" w:hAnsi="Calibri" w:cs="Calibri"/>
                <w:b/>
                <w:bCs/>
                <w:color w:val="000000"/>
                <w:sz w:val="16"/>
                <w:szCs w:val="16"/>
              </w:rPr>
              <w:t>0</w:t>
            </w:r>
            <w:r w:rsidRPr="00E92C8D">
              <w:rPr>
                <w:rFonts w:ascii="Calibri" w:hAnsi="Calibri" w:cs="Calibri"/>
                <w:b/>
                <w:bCs/>
                <w:color w:val="000000"/>
                <w:sz w:val="16"/>
                <w:szCs w:val="16"/>
              </w:rPr>
              <w:t>/</w:t>
            </w:r>
            <w:r w:rsidR="00C46708">
              <w:rPr>
                <w:rFonts w:ascii="Calibri" w:hAnsi="Calibri" w:cs="Calibri"/>
                <w:b/>
                <w:bCs/>
                <w:color w:val="000000"/>
                <w:sz w:val="16"/>
                <w:szCs w:val="16"/>
              </w:rPr>
              <w:t>0</w:t>
            </w:r>
            <w:r w:rsidR="001E6CBB">
              <w:rPr>
                <w:rFonts w:ascii="Calibri" w:hAnsi="Calibri" w:cs="Calibri"/>
                <w:b/>
                <w:bCs/>
                <w:color w:val="000000"/>
                <w:sz w:val="16"/>
                <w:szCs w:val="16"/>
              </w:rPr>
              <w:t>9</w:t>
            </w:r>
            <w:r w:rsidRPr="00E92C8D">
              <w:rPr>
                <w:rFonts w:ascii="Calibri" w:hAnsi="Calibri" w:cs="Calibri"/>
                <w:b/>
                <w:bCs/>
                <w:color w:val="000000"/>
                <w:sz w:val="16"/>
                <w:szCs w:val="16"/>
              </w:rPr>
              <w:t>/202</w:t>
            </w:r>
            <w:r w:rsidR="00C46708">
              <w:rPr>
                <w:rFonts w:ascii="Calibri" w:hAnsi="Calibri" w:cs="Calibri"/>
                <w:b/>
                <w:bCs/>
                <w:color w:val="000000"/>
                <w:sz w:val="16"/>
                <w:szCs w:val="16"/>
              </w:rPr>
              <w:t>1</w:t>
            </w:r>
          </w:p>
        </w:tc>
      </w:tr>
      <w:tr w:rsidR="001E6CBB" w14:paraId="61B30741" w14:textId="77777777" w:rsidTr="007D40EC">
        <w:trPr>
          <w:trHeight w:hRule="exact" w:val="227"/>
        </w:trPr>
        <w:tc>
          <w:tcPr>
            <w:tcW w:w="3032" w:type="pct"/>
            <w:gridSpan w:val="2"/>
            <w:tcBorders>
              <w:top w:val="nil"/>
              <w:left w:val="nil"/>
              <w:bottom w:val="nil"/>
              <w:right w:val="nil"/>
            </w:tcBorders>
            <w:shd w:val="clear" w:color="auto" w:fill="auto"/>
            <w:noWrap/>
            <w:vAlign w:val="center"/>
            <w:hideMark/>
          </w:tcPr>
          <w:p w14:paraId="5AF51333" w14:textId="19491ABB" w:rsidR="001E6CBB" w:rsidRDefault="001E6CBB" w:rsidP="001E6CBB">
            <w:pPr>
              <w:spacing w:after="120"/>
              <w:rPr>
                <w:rFonts w:ascii="Calibri" w:hAnsi="Calibri" w:cs="Calibri"/>
                <w:color w:val="000000"/>
                <w:sz w:val="16"/>
                <w:szCs w:val="16"/>
              </w:rPr>
            </w:pPr>
            <w:r>
              <w:rPr>
                <w:rFonts w:ascii="Calibri" w:hAnsi="Calibri" w:cs="Calibri"/>
                <w:color w:val="000000"/>
                <w:sz w:val="16"/>
                <w:szCs w:val="16"/>
              </w:rPr>
              <w:t>Custa judiciais</w:t>
            </w:r>
          </w:p>
        </w:tc>
        <w:tc>
          <w:tcPr>
            <w:tcW w:w="984" w:type="pct"/>
            <w:tcBorders>
              <w:top w:val="nil"/>
              <w:left w:val="nil"/>
              <w:bottom w:val="nil"/>
              <w:right w:val="nil"/>
            </w:tcBorders>
            <w:shd w:val="clear" w:color="auto" w:fill="auto"/>
            <w:vAlign w:val="center"/>
            <w:hideMark/>
          </w:tcPr>
          <w:p w14:paraId="06EE8271" w14:textId="7374BBEF" w:rsidR="001E6CBB" w:rsidRDefault="001E6CBB" w:rsidP="001E6CBB">
            <w:pPr>
              <w:spacing w:after="120"/>
              <w:jc w:val="right"/>
              <w:rPr>
                <w:rFonts w:ascii="Calibri" w:hAnsi="Calibri" w:cs="Calibri"/>
                <w:color w:val="000000"/>
                <w:sz w:val="16"/>
                <w:szCs w:val="16"/>
              </w:rPr>
            </w:pPr>
            <w:r>
              <w:rPr>
                <w:rFonts w:ascii="Calibri" w:hAnsi="Calibri" w:cs="Calibri"/>
                <w:color w:val="000000"/>
                <w:sz w:val="16"/>
                <w:szCs w:val="16"/>
              </w:rPr>
              <w:t>(425.608)</w:t>
            </w:r>
          </w:p>
        </w:tc>
        <w:tc>
          <w:tcPr>
            <w:tcW w:w="984" w:type="pct"/>
            <w:tcBorders>
              <w:top w:val="nil"/>
              <w:left w:val="nil"/>
              <w:bottom w:val="nil"/>
              <w:right w:val="nil"/>
            </w:tcBorders>
            <w:shd w:val="clear" w:color="auto" w:fill="auto"/>
            <w:hideMark/>
          </w:tcPr>
          <w:p w14:paraId="070EE6A5" w14:textId="66FEA7C0" w:rsidR="001E6CBB" w:rsidRPr="00E92C8D" w:rsidRDefault="001E6CBB" w:rsidP="001E6CBB">
            <w:pPr>
              <w:spacing w:after="120"/>
              <w:jc w:val="right"/>
              <w:rPr>
                <w:rFonts w:ascii="Calibri" w:hAnsi="Calibri" w:cs="Calibri"/>
                <w:color w:val="000000"/>
                <w:sz w:val="16"/>
                <w:szCs w:val="16"/>
              </w:rPr>
            </w:pPr>
            <w:r w:rsidRPr="001E6CBB">
              <w:rPr>
                <w:rFonts w:ascii="Calibri" w:hAnsi="Calibri" w:cs="Calibri"/>
                <w:color w:val="000000"/>
                <w:sz w:val="16"/>
                <w:szCs w:val="16"/>
              </w:rPr>
              <w:t>(5.115.298)</w:t>
            </w:r>
          </w:p>
        </w:tc>
      </w:tr>
      <w:tr w:rsidR="001E6CBB" w14:paraId="28C08A5B" w14:textId="77777777" w:rsidTr="007D40EC">
        <w:trPr>
          <w:trHeight w:hRule="exact" w:val="227"/>
        </w:trPr>
        <w:tc>
          <w:tcPr>
            <w:tcW w:w="3032" w:type="pct"/>
            <w:gridSpan w:val="2"/>
            <w:tcBorders>
              <w:top w:val="nil"/>
              <w:left w:val="nil"/>
              <w:bottom w:val="nil"/>
              <w:right w:val="nil"/>
            </w:tcBorders>
            <w:shd w:val="clear" w:color="auto" w:fill="auto"/>
            <w:noWrap/>
            <w:vAlign w:val="center"/>
            <w:hideMark/>
          </w:tcPr>
          <w:p w14:paraId="2C2A351C" w14:textId="77777777" w:rsidR="001E6CBB" w:rsidRDefault="001E6CBB" w:rsidP="001E6CBB">
            <w:pPr>
              <w:spacing w:after="120"/>
              <w:rPr>
                <w:rFonts w:ascii="Calibri" w:hAnsi="Calibri" w:cs="Calibri"/>
                <w:color w:val="000000"/>
                <w:sz w:val="16"/>
                <w:szCs w:val="16"/>
              </w:rPr>
            </w:pPr>
            <w:r>
              <w:rPr>
                <w:rFonts w:ascii="Calibri" w:hAnsi="Calibri" w:cs="Calibri"/>
                <w:color w:val="000000"/>
                <w:sz w:val="16"/>
                <w:szCs w:val="16"/>
              </w:rPr>
              <w:t>Material de Expediente e Combustíveis</w:t>
            </w:r>
          </w:p>
        </w:tc>
        <w:tc>
          <w:tcPr>
            <w:tcW w:w="984" w:type="pct"/>
            <w:tcBorders>
              <w:top w:val="nil"/>
              <w:left w:val="nil"/>
              <w:bottom w:val="nil"/>
              <w:right w:val="nil"/>
            </w:tcBorders>
            <w:shd w:val="clear" w:color="auto" w:fill="auto"/>
            <w:noWrap/>
            <w:vAlign w:val="center"/>
            <w:hideMark/>
          </w:tcPr>
          <w:p w14:paraId="6A444D9C" w14:textId="4CBD0574" w:rsidR="001E6CBB" w:rsidRDefault="001E6CBB" w:rsidP="001E6CBB">
            <w:pPr>
              <w:spacing w:after="120"/>
              <w:jc w:val="right"/>
              <w:rPr>
                <w:rFonts w:ascii="Calibri" w:hAnsi="Calibri" w:cs="Calibri"/>
                <w:color w:val="000000"/>
                <w:sz w:val="16"/>
                <w:szCs w:val="16"/>
              </w:rPr>
            </w:pPr>
            <w:r>
              <w:rPr>
                <w:rFonts w:ascii="Calibri" w:hAnsi="Calibri" w:cs="Calibri"/>
                <w:color w:val="000000"/>
                <w:sz w:val="16"/>
                <w:szCs w:val="16"/>
              </w:rPr>
              <w:t>(188.130)</w:t>
            </w:r>
          </w:p>
        </w:tc>
        <w:tc>
          <w:tcPr>
            <w:tcW w:w="984" w:type="pct"/>
            <w:tcBorders>
              <w:top w:val="nil"/>
              <w:left w:val="nil"/>
              <w:bottom w:val="nil"/>
              <w:right w:val="nil"/>
            </w:tcBorders>
            <w:shd w:val="clear" w:color="auto" w:fill="auto"/>
            <w:hideMark/>
          </w:tcPr>
          <w:p w14:paraId="59623CBA" w14:textId="239BE08A" w:rsidR="001E6CBB" w:rsidRPr="00E92C8D" w:rsidRDefault="001E6CBB" w:rsidP="001E6CBB">
            <w:pPr>
              <w:spacing w:after="120"/>
              <w:jc w:val="right"/>
              <w:rPr>
                <w:rFonts w:ascii="Calibri" w:hAnsi="Calibri" w:cs="Calibri"/>
                <w:color w:val="000000"/>
                <w:sz w:val="16"/>
                <w:szCs w:val="16"/>
              </w:rPr>
            </w:pPr>
            <w:r w:rsidRPr="001E6CBB">
              <w:rPr>
                <w:rFonts w:ascii="Calibri" w:hAnsi="Calibri" w:cs="Calibri"/>
                <w:color w:val="000000"/>
                <w:sz w:val="16"/>
                <w:szCs w:val="16"/>
              </w:rPr>
              <w:t>(185.810)</w:t>
            </w:r>
          </w:p>
        </w:tc>
      </w:tr>
      <w:tr w:rsidR="001E6CBB" w14:paraId="4A48DEB8" w14:textId="77777777" w:rsidTr="007D40EC">
        <w:trPr>
          <w:trHeight w:hRule="exact" w:val="227"/>
        </w:trPr>
        <w:tc>
          <w:tcPr>
            <w:tcW w:w="3032" w:type="pct"/>
            <w:gridSpan w:val="2"/>
            <w:tcBorders>
              <w:top w:val="nil"/>
              <w:left w:val="nil"/>
              <w:bottom w:val="nil"/>
              <w:right w:val="nil"/>
            </w:tcBorders>
            <w:shd w:val="clear" w:color="auto" w:fill="auto"/>
            <w:noWrap/>
            <w:vAlign w:val="center"/>
            <w:hideMark/>
          </w:tcPr>
          <w:p w14:paraId="7D889647" w14:textId="77777777" w:rsidR="001E6CBB" w:rsidRDefault="001E6CBB" w:rsidP="001E6CBB">
            <w:pPr>
              <w:spacing w:after="120"/>
              <w:rPr>
                <w:rFonts w:ascii="Calibri" w:hAnsi="Calibri" w:cs="Calibri"/>
                <w:color w:val="000000"/>
                <w:sz w:val="16"/>
                <w:szCs w:val="16"/>
              </w:rPr>
            </w:pPr>
            <w:r>
              <w:rPr>
                <w:rFonts w:ascii="Calibri" w:hAnsi="Calibri" w:cs="Calibri"/>
                <w:color w:val="000000"/>
                <w:sz w:val="16"/>
                <w:szCs w:val="16"/>
              </w:rPr>
              <w:t>Assessoria, Consultoria, Locação de mão-de-obra, limpeza e vigilância</w:t>
            </w:r>
          </w:p>
        </w:tc>
        <w:tc>
          <w:tcPr>
            <w:tcW w:w="984" w:type="pct"/>
            <w:tcBorders>
              <w:top w:val="nil"/>
              <w:left w:val="nil"/>
              <w:bottom w:val="nil"/>
              <w:right w:val="nil"/>
            </w:tcBorders>
            <w:shd w:val="clear" w:color="auto" w:fill="auto"/>
            <w:noWrap/>
            <w:vAlign w:val="center"/>
            <w:hideMark/>
          </w:tcPr>
          <w:p w14:paraId="7BFA1E18" w14:textId="4B7A7E5C" w:rsidR="001E6CBB" w:rsidRDefault="001E6CBB" w:rsidP="001E6CBB">
            <w:pPr>
              <w:spacing w:after="120"/>
              <w:jc w:val="right"/>
              <w:rPr>
                <w:rFonts w:ascii="Calibri" w:hAnsi="Calibri" w:cs="Calibri"/>
                <w:color w:val="000000"/>
                <w:sz w:val="16"/>
                <w:szCs w:val="16"/>
              </w:rPr>
            </w:pPr>
            <w:r>
              <w:rPr>
                <w:rFonts w:ascii="Calibri" w:hAnsi="Calibri" w:cs="Calibri"/>
                <w:color w:val="000000"/>
                <w:sz w:val="16"/>
                <w:szCs w:val="16"/>
              </w:rPr>
              <w:t>(13.455.127)</w:t>
            </w:r>
          </w:p>
        </w:tc>
        <w:tc>
          <w:tcPr>
            <w:tcW w:w="984" w:type="pct"/>
            <w:tcBorders>
              <w:top w:val="nil"/>
              <w:left w:val="nil"/>
              <w:bottom w:val="nil"/>
              <w:right w:val="nil"/>
            </w:tcBorders>
            <w:shd w:val="clear" w:color="auto" w:fill="auto"/>
            <w:hideMark/>
          </w:tcPr>
          <w:p w14:paraId="45618C1C" w14:textId="190D9A10" w:rsidR="001E6CBB" w:rsidRPr="00E92C8D" w:rsidRDefault="001E6CBB" w:rsidP="001E6CBB">
            <w:pPr>
              <w:spacing w:after="120"/>
              <w:jc w:val="right"/>
              <w:rPr>
                <w:rFonts w:ascii="Calibri" w:hAnsi="Calibri" w:cs="Calibri"/>
                <w:color w:val="000000"/>
                <w:sz w:val="16"/>
                <w:szCs w:val="16"/>
              </w:rPr>
            </w:pPr>
            <w:r w:rsidRPr="001E6CBB">
              <w:rPr>
                <w:rFonts w:ascii="Calibri" w:hAnsi="Calibri" w:cs="Calibri"/>
                <w:color w:val="000000"/>
                <w:sz w:val="16"/>
                <w:szCs w:val="16"/>
              </w:rPr>
              <w:t>(15.808.089)</w:t>
            </w:r>
          </w:p>
        </w:tc>
      </w:tr>
      <w:tr w:rsidR="001E6CBB" w14:paraId="2F2A9C65" w14:textId="77777777" w:rsidTr="007D40EC">
        <w:trPr>
          <w:trHeight w:hRule="exact" w:val="227"/>
        </w:trPr>
        <w:tc>
          <w:tcPr>
            <w:tcW w:w="3032" w:type="pct"/>
            <w:gridSpan w:val="2"/>
            <w:tcBorders>
              <w:top w:val="nil"/>
              <w:left w:val="nil"/>
              <w:bottom w:val="nil"/>
              <w:right w:val="nil"/>
            </w:tcBorders>
            <w:shd w:val="clear" w:color="auto" w:fill="auto"/>
            <w:noWrap/>
            <w:vAlign w:val="center"/>
            <w:hideMark/>
          </w:tcPr>
          <w:p w14:paraId="68951CCC" w14:textId="77777777" w:rsidR="001E6CBB" w:rsidRDefault="001E6CBB" w:rsidP="001E6CBB">
            <w:pPr>
              <w:spacing w:after="120"/>
              <w:rPr>
                <w:rFonts w:ascii="Calibri" w:hAnsi="Calibri" w:cs="Calibri"/>
                <w:color w:val="000000"/>
                <w:sz w:val="16"/>
                <w:szCs w:val="16"/>
              </w:rPr>
            </w:pPr>
            <w:r>
              <w:rPr>
                <w:rFonts w:ascii="Calibri" w:hAnsi="Calibri" w:cs="Calibri"/>
                <w:color w:val="000000"/>
                <w:sz w:val="16"/>
                <w:szCs w:val="16"/>
              </w:rPr>
              <w:t>Locação de Imóveis e Equipamentos</w:t>
            </w:r>
          </w:p>
        </w:tc>
        <w:tc>
          <w:tcPr>
            <w:tcW w:w="984" w:type="pct"/>
            <w:tcBorders>
              <w:top w:val="nil"/>
              <w:left w:val="nil"/>
              <w:bottom w:val="nil"/>
              <w:right w:val="nil"/>
            </w:tcBorders>
            <w:shd w:val="clear" w:color="auto" w:fill="auto"/>
            <w:noWrap/>
            <w:vAlign w:val="center"/>
            <w:hideMark/>
          </w:tcPr>
          <w:p w14:paraId="3B7EA3CA" w14:textId="408D4F6B" w:rsidR="001E6CBB" w:rsidRDefault="001E6CBB" w:rsidP="001E6CBB">
            <w:pPr>
              <w:spacing w:after="120"/>
              <w:jc w:val="right"/>
              <w:rPr>
                <w:rFonts w:ascii="Calibri" w:hAnsi="Calibri" w:cs="Calibri"/>
                <w:color w:val="000000"/>
                <w:sz w:val="16"/>
                <w:szCs w:val="16"/>
              </w:rPr>
            </w:pPr>
            <w:r>
              <w:rPr>
                <w:rFonts w:ascii="Calibri" w:hAnsi="Calibri" w:cs="Calibri"/>
                <w:color w:val="000000"/>
                <w:sz w:val="16"/>
                <w:szCs w:val="16"/>
              </w:rPr>
              <w:t>(3.172.576)</w:t>
            </w:r>
          </w:p>
        </w:tc>
        <w:tc>
          <w:tcPr>
            <w:tcW w:w="984" w:type="pct"/>
            <w:tcBorders>
              <w:top w:val="nil"/>
              <w:left w:val="nil"/>
              <w:bottom w:val="nil"/>
              <w:right w:val="nil"/>
            </w:tcBorders>
            <w:shd w:val="clear" w:color="auto" w:fill="auto"/>
            <w:hideMark/>
          </w:tcPr>
          <w:p w14:paraId="045E4285" w14:textId="39DC2750" w:rsidR="001E6CBB" w:rsidRPr="00E92C8D" w:rsidRDefault="001E6CBB" w:rsidP="001E6CBB">
            <w:pPr>
              <w:spacing w:after="120"/>
              <w:jc w:val="right"/>
              <w:rPr>
                <w:rFonts w:ascii="Calibri" w:hAnsi="Calibri" w:cs="Calibri"/>
                <w:color w:val="000000"/>
                <w:sz w:val="16"/>
                <w:szCs w:val="16"/>
              </w:rPr>
            </w:pPr>
            <w:r w:rsidRPr="001E6CBB">
              <w:rPr>
                <w:rFonts w:ascii="Calibri" w:hAnsi="Calibri" w:cs="Calibri"/>
                <w:color w:val="000000"/>
                <w:sz w:val="16"/>
                <w:szCs w:val="16"/>
              </w:rPr>
              <w:t>(190.157)</w:t>
            </w:r>
          </w:p>
        </w:tc>
      </w:tr>
      <w:tr w:rsidR="001E6CBB" w14:paraId="62B2E761" w14:textId="77777777" w:rsidTr="007D40EC">
        <w:trPr>
          <w:trHeight w:hRule="exact" w:val="227"/>
        </w:trPr>
        <w:tc>
          <w:tcPr>
            <w:tcW w:w="3032" w:type="pct"/>
            <w:gridSpan w:val="2"/>
            <w:tcBorders>
              <w:top w:val="nil"/>
              <w:left w:val="nil"/>
              <w:bottom w:val="nil"/>
              <w:right w:val="nil"/>
            </w:tcBorders>
            <w:shd w:val="clear" w:color="auto" w:fill="auto"/>
            <w:noWrap/>
            <w:vAlign w:val="center"/>
            <w:hideMark/>
          </w:tcPr>
          <w:p w14:paraId="10BE8B63" w14:textId="77777777" w:rsidR="001E6CBB" w:rsidRDefault="001E6CBB" w:rsidP="001E6CBB">
            <w:pPr>
              <w:spacing w:after="120"/>
              <w:rPr>
                <w:rFonts w:ascii="Calibri" w:hAnsi="Calibri" w:cs="Calibri"/>
                <w:color w:val="000000"/>
                <w:sz w:val="16"/>
                <w:szCs w:val="16"/>
              </w:rPr>
            </w:pPr>
            <w:r>
              <w:rPr>
                <w:rFonts w:ascii="Calibri" w:hAnsi="Calibri" w:cs="Calibri"/>
                <w:color w:val="000000"/>
                <w:sz w:val="16"/>
                <w:szCs w:val="16"/>
              </w:rPr>
              <w:t>Energia, Água e Telecomunicações</w:t>
            </w:r>
          </w:p>
        </w:tc>
        <w:tc>
          <w:tcPr>
            <w:tcW w:w="984" w:type="pct"/>
            <w:tcBorders>
              <w:top w:val="nil"/>
              <w:left w:val="nil"/>
              <w:bottom w:val="nil"/>
              <w:right w:val="nil"/>
            </w:tcBorders>
            <w:shd w:val="clear" w:color="auto" w:fill="auto"/>
            <w:noWrap/>
            <w:vAlign w:val="center"/>
            <w:hideMark/>
          </w:tcPr>
          <w:p w14:paraId="78F60D62" w14:textId="5F85FB42" w:rsidR="001E6CBB" w:rsidRDefault="001E6CBB" w:rsidP="001E6CBB">
            <w:pPr>
              <w:spacing w:after="120"/>
              <w:jc w:val="right"/>
              <w:rPr>
                <w:rFonts w:ascii="Calibri" w:hAnsi="Calibri" w:cs="Calibri"/>
                <w:color w:val="000000"/>
                <w:sz w:val="16"/>
                <w:szCs w:val="16"/>
              </w:rPr>
            </w:pPr>
            <w:r>
              <w:rPr>
                <w:rFonts w:ascii="Calibri" w:hAnsi="Calibri" w:cs="Calibri"/>
                <w:color w:val="000000"/>
                <w:sz w:val="16"/>
                <w:szCs w:val="16"/>
              </w:rPr>
              <w:t>(177.215)</w:t>
            </w:r>
          </w:p>
        </w:tc>
        <w:tc>
          <w:tcPr>
            <w:tcW w:w="984" w:type="pct"/>
            <w:tcBorders>
              <w:top w:val="nil"/>
              <w:left w:val="nil"/>
              <w:bottom w:val="nil"/>
              <w:right w:val="nil"/>
            </w:tcBorders>
            <w:shd w:val="clear" w:color="auto" w:fill="auto"/>
            <w:hideMark/>
          </w:tcPr>
          <w:p w14:paraId="126C6031" w14:textId="3103BF16" w:rsidR="001E6CBB" w:rsidRPr="00E92C8D" w:rsidRDefault="001E6CBB" w:rsidP="001E6CBB">
            <w:pPr>
              <w:spacing w:after="120"/>
              <w:jc w:val="right"/>
              <w:rPr>
                <w:rFonts w:ascii="Calibri" w:hAnsi="Calibri" w:cs="Calibri"/>
                <w:color w:val="000000"/>
                <w:sz w:val="16"/>
                <w:szCs w:val="16"/>
              </w:rPr>
            </w:pPr>
            <w:r w:rsidRPr="001E6CBB">
              <w:rPr>
                <w:rFonts w:ascii="Calibri" w:hAnsi="Calibri" w:cs="Calibri"/>
                <w:color w:val="000000"/>
                <w:sz w:val="16"/>
                <w:szCs w:val="16"/>
              </w:rPr>
              <w:t>(210.209)</w:t>
            </w:r>
          </w:p>
        </w:tc>
      </w:tr>
      <w:tr w:rsidR="001E6CBB" w14:paraId="0CC4357A" w14:textId="77777777" w:rsidTr="007D40EC">
        <w:trPr>
          <w:trHeight w:hRule="exact" w:val="227"/>
        </w:trPr>
        <w:tc>
          <w:tcPr>
            <w:tcW w:w="3032" w:type="pct"/>
            <w:gridSpan w:val="2"/>
            <w:tcBorders>
              <w:top w:val="nil"/>
              <w:left w:val="nil"/>
              <w:bottom w:val="nil"/>
              <w:right w:val="nil"/>
            </w:tcBorders>
            <w:shd w:val="clear" w:color="auto" w:fill="auto"/>
            <w:noWrap/>
            <w:vAlign w:val="center"/>
            <w:hideMark/>
          </w:tcPr>
          <w:p w14:paraId="04635B32" w14:textId="77777777" w:rsidR="001E6CBB" w:rsidRDefault="001E6CBB" w:rsidP="001E6CBB">
            <w:pPr>
              <w:spacing w:after="120"/>
              <w:rPr>
                <w:rFonts w:ascii="Calibri" w:hAnsi="Calibri" w:cs="Calibri"/>
                <w:color w:val="000000"/>
                <w:sz w:val="16"/>
                <w:szCs w:val="16"/>
              </w:rPr>
            </w:pPr>
            <w:r>
              <w:rPr>
                <w:rFonts w:ascii="Calibri" w:hAnsi="Calibri" w:cs="Calibri"/>
                <w:color w:val="000000"/>
                <w:sz w:val="16"/>
                <w:szCs w:val="16"/>
              </w:rPr>
              <w:t>Impostos e Taxas</w:t>
            </w:r>
          </w:p>
        </w:tc>
        <w:tc>
          <w:tcPr>
            <w:tcW w:w="984" w:type="pct"/>
            <w:tcBorders>
              <w:top w:val="nil"/>
              <w:left w:val="nil"/>
              <w:bottom w:val="nil"/>
              <w:right w:val="nil"/>
            </w:tcBorders>
            <w:shd w:val="clear" w:color="auto" w:fill="auto"/>
            <w:noWrap/>
            <w:vAlign w:val="center"/>
            <w:hideMark/>
          </w:tcPr>
          <w:p w14:paraId="72AE304D" w14:textId="582811CC" w:rsidR="001E6CBB" w:rsidRDefault="001E6CBB" w:rsidP="001E6CBB">
            <w:pPr>
              <w:spacing w:after="120"/>
              <w:jc w:val="right"/>
              <w:rPr>
                <w:rFonts w:ascii="Calibri" w:hAnsi="Calibri" w:cs="Calibri"/>
                <w:color w:val="000000"/>
                <w:sz w:val="16"/>
                <w:szCs w:val="16"/>
              </w:rPr>
            </w:pPr>
            <w:r>
              <w:rPr>
                <w:rFonts w:ascii="Calibri" w:hAnsi="Calibri" w:cs="Calibri"/>
                <w:color w:val="000000"/>
                <w:sz w:val="16"/>
                <w:szCs w:val="16"/>
              </w:rPr>
              <w:t>(35.234)</w:t>
            </w:r>
          </w:p>
        </w:tc>
        <w:tc>
          <w:tcPr>
            <w:tcW w:w="984" w:type="pct"/>
            <w:tcBorders>
              <w:top w:val="nil"/>
              <w:left w:val="nil"/>
              <w:bottom w:val="nil"/>
              <w:right w:val="nil"/>
            </w:tcBorders>
            <w:shd w:val="clear" w:color="auto" w:fill="auto"/>
            <w:hideMark/>
          </w:tcPr>
          <w:p w14:paraId="1F800172" w14:textId="12BEF01F" w:rsidR="001E6CBB" w:rsidRPr="00E92C8D" w:rsidRDefault="001E6CBB" w:rsidP="001E6CBB">
            <w:pPr>
              <w:spacing w:after="120"/>
              <w:jc w:val="right"/>
              <w:rPr>
                <w:rFonts w:ascii="Calibri" w:hAnsi="Calibri" w:cs="Calibri"/>
                <w:color w:val="000000"/>
                <w:sz w:val="16"/>
                <w:szCs w:val="16"/>
              </w:rPr>
            </w:pPr>
            <w:r w:rsidRPr="001E6CBB">
              <w:rPr>
                <w:rFonts w:ascii="Calibri" w:hAnsi="Calibri" w:cs="Calibri"/>
                <w:color w:val="000000"/>
                <w:sz w:val="16"/>
                <w:szCs w:val="16"/>
              </w:rPr>
              <w:t>(309.861)</w:t>
            </w:r>
          </w:p>
        </w:tc>
      </w:tr>
      <w:tr w:rsidR="00A45D37" w14:paraId="32D4D5B3" w14:textId="77777777" w:rsidTr="00A45D37">
        <w:trPr>
          <w:trHeight w:hRule="exact" w:val="227"/>
        </w:trPr>
        <w:tc>
          <w:tcPr>
            <w:tcW w:w="2648" w:type="pct"/>
            <w:tcBorders>
              <w:top w:val="single" w:sz="8" w:space="0" w:color="auto"/>
              <w:left w:val="nil"/>
              <w:bottom w:val="single" w:sz="8" w:space="0" w:color="auto"/>
              <w:right w:val="nil"/>
            </w:tcBorders>
            <w:shd w:val="clear" w:color="auto" w:fill="auto"/>
            <w:noWrap/>
            <w:vAlign w:val="center"/>
            <w:hideMark/>
          </w:tcPr>
          <w:p w14:paraId="5E445299" w14:textId="77777777" w:rsidR="00A45D37" w:rsidRDefault="00A45D37"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TOTAL </w:t>
            </w:r>
          </w:p>
        </w:tc>
        <w:tc>
          <w:tcPr>
            <w:tcW w:w="384" w:type="pct"/>
            <w:tcBorders>
              <w:top w:val="single" w:sz="8" w:space="0" w:color="auto"/>
              <w:left w:val="nil"/>
              <w:bottom w:val="single" w:sz="8" w:space="0" w:color="auto"/>
              <w:right w:val="nil"/>
            </w:tcBorders>
            <w:shd w:val="clear" w:color="auto" w:fill="auto"/>
            <w:noWrap/>
            <w:vAlign w:val="center"/>
            <w:hideMark/>
          </w:tcPr>
          <w:p w14:paraId="7E21AA25" w14:textId="77777777" w:rsidR="00A45D37" w:rsidRDefault="00A45D37" w:rsidP="00937ED9">
            <w:pPr>
              <w:spacing w:after="120"/>
              <w:jc w:val="right"/>
              <w:rPr>
                <w:rFonts w:ascii="Calibri" w:hAnsi="Calibri" w:cs="Calibri"/>
                <w:b/>
                <w:bCs/>
                <w:color w:val="000000"/>
                <w:sz w:val="16"/>
                <w:szCs w:val="16"/>
              </w:rPr>
            </w:pPr>
            <w:r>
              <w:rPr>
                <w:rFonts w:ascii="Calibri" w:hAnsi="Calibri" w:cs="Calibri"/>
                <w:b/>
                <w:bCs/>
                <w:color w:val="000000"/>
                <w:sz w:val="16"/>
                <w:szCs w:val="16"/>
              </w:rPr>
              <w:t> </w:t>
            </w:r>
          </w:p>
        </w:tc>
        <w:tc>
          <w:tcPr>
            <w:tcW w:w="984" w:type="pct"/>
            <w:tcBorders>
              <w:top w:val="single" w:sz="8" w:space="0" w:color="auto"/>
              <w:left w:val="nil"/>
              <w:bottom w:val="single" w:sz="8" w:space="0" w:color="auto"/>
              <w:right w:val="nil"/>
            </w:tcBorders>
            <w:shd w:val="clear" w:color="auto" w:fill="auto"/>
            <w:noWrap/>
            <w:vAlign w:val="center"/>
            <w:hideMark/>
          </w:tcPr>
          <w:p w14:paraId="6C89433A" w14:textId="0E777C16" w:rsidR="00A45D37" w:rsidRDefault="00A45D37" w:rsidP="00937ED9">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1E6CBB">
              <w:rPr>
                <w:rFonts w:ascii="Calibri" w:hAnsi="Calibri" w:cs="Calibri"/>
                <w:b/>
                <w:bCs/>
                <w:color w:val="000000"/>
                <w:sz w:val="16"/>
                <w:szCs w:val="16"/>
              </w:rPr>
              <w:t>17.453.890</w:t>
            </w:r>
            <w:r>
              <w:rPr>
                <w:rFonts w:ascii="Calibri" w:hAnsi="Calibri" w:cs="Calibri"/>
                <w:b/>
                <w:bCs/>
                <w:color w:val="000000"/>
                <w:sz w:val="16"/>
                <w:szCs w:val="16"/>
              </w:rPr>
              <w:t>)</w:t>
            </w:r>
          </w:p>
        </w:tc>
        <w:tc>
          <w:tcPr>
            <w:tcW w:w="984" w:type="pct"/>
            <w:tcBorders>
              <w:top w:val="single" w:sz="8" w:space="0" w:color="auto"/>
              <w:left w:val="nil"/>
              <w:bottom w:val="single" w:sz="8" w:space="0" w:color="auto"/>
              <w:right w:val="nil"/>
            </w:tcBorders>
            <w:shd w:val="clear" w:color="auto" w:fill="auto"/>
            <w:vAlign w:val="center"/>
            <w:hideMark/>
          </w:tcPr>
          <w:p w14:paraId="68E4F696" w14:textId="1BB05E28" w:rsidR="00A45D37" w:rsidRPr="00E92C8D" w:rsidRDefault="001E6CBB" w:rsidP="00937ED9">
            <w:pPr>
              <w:spacing w:after="120"/>
              <w:jc w:val="right"/>
              <w:rPr>
                <w:rFonts w:ascii="Calibri" w:hAnsi="Calibri" w:cs="Calibri"/>
                <w:b/>
                <w:bCs/>
                <w:color w:val="000000"/>
                <w:sz w:val="16"/>
                <w:szCs w:val="16"/>
              </w:rPr>
            </w:pPr>
            <w:r w:rsidRPr="001E6CBB">
              <w:rPr>
                <w:rFonts w:ascii="Calibri" w:hAnsi="Calibri" w:cs="Calibri"/>
                <w:b/>
                <w:bCs/>
                <w:color w:val="000000"/>
                <w:sz w:val="16"/>
                <w:szCs w:val="16"/>
              </w:rPr>
              <w:t>(21.819.424)</w:t>
            </w:r>
          </w:p>
        </w:tc>
      </w:tr>
    </w:tbl>
    <w:p w14:paraId="209A3CD2" w14:textId="2DA6CAD1" w:rsidR="007F4918" w:rsidRDefault="00980858" w:rsidP="00937ED9">
      <w:pPr>
        <w:spacing w:before="120" w:after="120"/>
        <w:ind w:right="57"/>
        <w:jc w:val="both"/>
        <w:rPr>
          <w:rFonts w:ascii="Calibri" w:hAnsi="Calibri" w:cs="Calibri"/>
          <w:sz w:val="22"/>
          <w:szCs w:val="22"/>
        </w:rPr>
      </w:pPr>
      <w:r w:rsidRPr="002E2B5B">
        <w:rPr>
          <w:rFonts w:ascii="Calibri" w:hAnsi="Calibri" w:cs="Calibri"/>
          <w:sz w:val="22"/>
          <w:szCs w:val="22"/>
        </w:rPr>
        <w:t>A</w:t>
      </w:r>
      <w:r w:rsidR="002827B8" w:rsidRPr="002E2B5B">
        <w:rPr>
          <w:rFonts w:ascii="Calibri" w:hAnsi="Calibri" w:cs="Calibri"/>
          <w:sz w:val="22"/>
          <w:szCs w:val="22"/>
        </w:rPr>
        <w:t xml:space="preserve">s despesas de </w:t>
      </w:r>
      <w:r w:rsidR="009E6EA7">
        <w:rPr>
          <w:rFonts w:ascii="Calibri" w:hAnsi="Calibri" w:cs="Calibri"/>
          <w:sz w:val="22"/>
          <w:szCs w:val="22"/>
        </w:rPr>
        <w:t>L</w:t>
      </w:r>
      <w:r w:rsidR="002827B8" w:rsidRPr="002E2B5B">
        <w:rPr>
          <w:rFonts w:ascii="Calibri" w:hAnsi="Calibri" w:cs="Calibri"/>
          <w:sz w:val="22"/>
          <w:szCs w:val="22"/>
        </w:rPr>
        <w:t xml:space="preserve">ocação foram sensibilizadas pela adoção do CPC – 06 (R2), </w:t>
      </w:r>
      <w:r w:rsidR="002827B8" w:rsidRPr="0099441A">
        <w:rPr>
          <w:rFonts w:ascii="Calibri" w:hAnsi="Calibri" w:cs="Calibri"/>
          <w:sz w:val="22"/>
          <w:szCs w:val="22"/>
        </w:rPr>
        <w:t xml:space="preserve">conforme Nota </w:t>
      </w:r>
      <w:r w:rsidRPr="0099441A">
        <w:rPr>
          <w:rFonts w:ascii="Calibri" w:hAnsi="Calibri" w:cs="Calibri"/>
          <w:sz w:val="22"/>
          <w:szCs w:val="22"/>
        </w:rPr>
        <w:t>1</w:t>
      </w:r>
      <w:r w:rsidR="00874556" w:rsidRPr="0099441A">
        <w:rPr>
          <w:rFonts w:ascii="Calibri" w:hAnsi="Calibri" w:cs="Calibri"/>
          <w:sz w:val="22"/>
          <w:szCs w:val="22"/>
        </w:rPr>
        <w:t>6</w:t>
      </w:r>
      <w:r w:rsidRPr="0099441A">
        <w:rPr>
          <w:rFonts w:ascii="Calibri" w:hAnsi="Calibri" w:cs="Calibri"/>
          <w:sz w:val="22"/>
          <w:szCs w:val="22"/>
        </w:rPr>
        <w:t>.</w:t>
      </w:r>
    </w:p>
    <w:p w14:paraId="6937D2E2" w14:textId="65291535" w:rsidR="00155537" w:rsidRDefault="009E6EA7" w:rsidP="00937ED9">
      <w:pPr>
        <w:spacing w:before="120" w:after="120"/>
        <w:ind w:right="57"/>
        <w:jc w:val="both"/>
        <w:rPr>
          <w:rFonts w:ascii="Calibri" w:hAnsi="Calibri" w:cs="Calibri"/>
          <w:sz w:val="22"/>
          <w:szCs w:val="22"/>
        </w:rPr>
      </w:pPr>
      <w:r w:rsidRPr="00274E7C">
        <w:rPr>
          <w:rFonts w:ascii="Calibri" w:hAnsi="Calibri" w:cs="Calibri"/>
          <w:sz w:val="22"/>
          <w:szCs w:val="22"/>
        </w:rPr>
        <w:t xml:space="preserve">As despesas de </w:t>
      </w:r>
      <w:r w:rsidR="007D0F74" w:rsidRPr="00274E7C">
        <w:rPr>
          <w:rFonts w:ascii="Calibri" w:hAnsi="Calibri" w:cs="Calibri"/>
          <w:sz w:val="22"/>
          <w:szCs w:val="22"/>
        </w:rPr>
        <w:t>Custa</w:t>
      </w:r>
      <w:r w:rsidR="00274E7C" w:rsidRPr="00274E7C">
        <w:rPr>
          <w:rFonts w:ascii="Calibri" w:hAnsi="Calibri" w:cs="Calibri"/>
          <w:sz w:val="22"/>
          <w:szCs w:val="22"/>
        </w:rPr>
        <w:t>s</w:t>
      </w:r>
      <w:r w:rsidRPr="00274E7C">
        <w:rPr>
          <w:rFonts w:ascii="Calibri" w:hAnsi="Calibri" w:cs="Calibri"/>
          <w:sz w:val="22"/>
          <w:szCs w:val="22"/>
        </w:rPr>
        <w:t xml:space="preserve"> </w:t>
      </w:r>
      <w:r w:rsidR="00274E7C" w:rsidRPr="00274E7C">
        <w:rPr>
          <w:rFonts w:ascii="Calibri" w:hAnsi="Calibri" w:cs="Calibri"/>
          <w:sz w:val="22"/>
          <w:szCs w:val="22"/>
        </w:rPr>
        <w:t>J</w:t>
      </w:r>
      <w:r w:rsidRPr="00274E7C">
        <w:rPr>
          <w:rFonts w:ascii="Calibri" w:hAnsi="Calibri" w:cs="Calibri"/>
          <w:sz w:val="22"/>
          <w:szCs w:val="22"/>
        </w:rPr>
        <w:t>udiciais foram sensibilizadas devido à reclassificação dos valores relativos às sentenças Judiciais – Ativo Civil RGPS</w:t>
      </w:r>
      <w:r w:rsidR="00A8553C" w:rsidRPr="00274E7C">
        <w:rPr>
          <w:rFonts w:ascii="Calibri" w:hAnsi="Calibri" w:cs="Calibri"/>
          <w:sz w:val="22"/>
          <w:szCs w:val="22"/>
        </w:rPr>
        <w:t xml:space="preserve">, parte como “Despesa com Pessoal”, referente às remunerações </w:t>
      </w:r>
      <w:r w:rsidR="00995A6A" w:rsidRPr="00274E7C">
        <w:rPr>
          <w:rFonts w:ascii="Calibri" w:hAnsi="Calibri" w:cs="Calibri"/>
          <w:sz w:val="22"/>
          <w:szCs w:val="22"/>
        </w:rPr>
        <w:t>estabelecidas</w:t>
      </w:r>
      <w:r w:rsidR="00A8553C" w:rsidRPr="00274E7C">
        <w:rPr>
          <w:rFonts w:ascii="Calibri" w:hAnsi="Calibri" w:cs="Calibri"/>
          <w:sz w:val="22"/>
          <w:szCs w:val="22"/>
        </w:rPr>
        <w:t xml:space="preserve"> judicialmente, parte</w:t>
      </w:r>
      <w:r w:rsidRPr="00274E7C">
        <w:rPr>
          <w:rFonts w:ascii="Calibri" w:hAnsi="Calibri" w:cs="Calibri"/>
          <w:sz w:val="22"/>
          <w:szCs w:val="22"/>
        </w:rPr>
        <w:t xml:space="preserve"> como “Outras despesas” compondo a rubrica “Provisão/Reversão para Contingências”</w:t>
      </w:r>
      <w:r w:rsidR="00274E7C" w:rsidRPr="00274E7C">
        <w:rPr>
          <w:rFonts w:ascii="Calibri" w:hAnsi="Calibri" w:cs="Calibri"/>
          <w:sz w:val="22"/>
          <w:szCs w:val="22"/>
        </w:rPr>
        <w:t xml:space="preserve">. </w:t>
      </w:r>
      <w:r w:rsidR="00274E7C">
        <w:rPr>
          <w:rFonts w:ascii="Calibri" w:hAnsi="Calibri" w:cs="Calibri"/>
          <w:sz w:val="22"/>
          <w:szCs w:val="22"/>
        </w:rPr>
        <w:t>Além disso</w:t>
      </w:r>
      <w:r w:rsidR="00263C8E">
        <w:rPr>
          <w:rFonts w:ascii="Calibri" w:hAnsi="Calibri" w:cs="Calibri"/>
          <w:sz w:val="22"/>
          <w:szCs w:val="22"/>
        </w:rPr>
        <w:t>,</w:t>
      </w:r>
      <w:r w:rsidR="00274E7C">
        <w:rPr>
          <w:rFonts w:ascii="Calibri" w:hAnsi="Calibri" w:cs="Calibri"/>
          <w:sz w:val="22"/>
          <w:szCs w:val="22"/>
        </w:rPr>
        <w:t xml:space="preserve"> houve a</w:t>
      </w:r>
      <w:r w:rsidR="00274E7C" w:rsidRPr="00274E7C">
        <w:rPr>
          <w:rFonts w:ascii="Calibri" w:hAnsi="Calibri" w:cs="Calibri"/>
          <w:sz w:val="22"/>
          <w:szCs w:val="22"/>
        </w:rPr>
        <w:t xml:space="preserve"> reclassificação dos valores relativos a</w:t>
      </w:r>
      <w:r w:rsidR="00274E7C">
        <w:rPr>
          <w:rFonts w:ascii="Calibri" w:hAnsi="Calibri" w:cs="Calibri"/>
          <w:sz w:val="22"/>
          <w:szCs w:val="22"/>
        </w:rPr>
        <w:t xml:space="preserve"> “Sentenças judiciais – serviços de terceiros PF” para a “Despesa Financeira”, considerando que se trata de atualização monetária dos Precatórios de Terceiros.</w:t>
      </w:r>
    </w:p>
    <w:p w14:paraId="526351D3" w14:textId="4A5758F0" w:rsidR="00BE6F7B" w:rsidRPr="002E2B5B" w:rsidRDefault="004E146F" w:rsidP="00937ED9">
      <w:pPr>
        <w:spacing w:before="120" w:after="120"/>
        <w:jc w:val="both"/>
        <w:rPr>
          <w:rFonts w:ascii="Calibri" w:hAnsi="Calibri" w:cs="Calibri"/>
          <w:b/>
          <w:sz w:val="22"/>
          <w:szCs w:val="22"/>
        </w:rPr>
      </w:pPr>
      <w:r w:rsidRPr="005947BB">
        <w:rPr>
          <w:rFonts w:ascii="Calibri" w:hAnsi="Calibri" w:cs="Calibri"/>
          <w:b/>
          <w:sz w:val="22"/>
          <w:szCs w:val="22"/>
        </w:rPr>
        <w:t>NO</w:t>
      </w:r>
      <w:r w:rsidR="00434FB3" w:rsidRPr="005947BB">
        <w:rPr>
          <w:rFonts w:ascii="Calibri" w:hAnsi="Calibri" w:cs="Calibri"/>
          <w:b/>
          <w:sz w:val="22"/>
          <w:szCs w:val="22"/>
        </w:rPr>
        <w:t xml:space="preserve">TA </w:t>
      </w:r>
      <w:r w:rsidR="005B7086">
        <w:rPr>
          <w:rFonts w:ascii="Calibri" w:hAnsi="Calibri" w:cs="Calibri"/>
          <w:b/>
          <w:sz w:val="22"/>
          <w:szCs w:val="22"/>
        </w:rPr>
        <w:t>20</w:t>
      </w:r>
      <w:r w:rsidRPr="005947BB">
        <w:rPr>
          <w:rFonts w:ascii="Calibri" w:hAnsi="Calibri" w:cs="Calibri"/>
          <w:b/>
          <w:sz w:val="22"/>
          <w:szCs w:val="22"/>
        </w:rPr>
        <w:t xml:space="preserve"> – OUTRAS RECEITAS</w:t>
      </w:r>
      <w:r w:rsidR="006C0B4D" w:rsidRPr="005947BB">
        <w:rPr>
          <w:rFonts w:ascii="Calibri" w:hAnsi="Calibri" w:cs="Calibri"/>
          <w:b/>
          <w:sz w:val="22"/>
          <w:szCs w:val="22"/>
        </w:rPr>
        <w:t>/DESPESAS</w:t>
      </w:r>
      <w:r w:rsidRPr="005947BB">
        <w:rPr>
          <w:rFonts w:ascii="Calibri" w:hAnsi="Calibri" w:cs="Calibri"/>
          <w:b/>
          <w:sz w:val="22"/>
          <w:szCs w:val="22"/>
        </w:rPr>
        <w:t xml:space="preserve"> OPERACIONAIS</w:t>
      </w:r>
    </w:p>
    <w:p w14:paraId="061A63C0" w14:textId="583E4A84" w:rsidR="00750F82" w:rsidRDefault="004E146F" w:rsidP="00937ED9">
      <w:pPr>
        <w:spacing w:before="120" w:after="120"/>
        <w:ind w:right="57"/>
        <w:jc w:val="both"/>
        <w:rPr>
          <w:rFonts w:ascii="Calibri" w:hAnsi="Calibri" w:cs="Calibri"/>
          <w:sz w:val="22"/>
          <w:szCs w:val="22"/>
        </w:rPr>
      </w:pPr>
      <w:r w:rsidRPr="002E2B5B">
        <w:rPr>
          <w:rFonts w:ascii="Calibri" w:hAnsi="Calibri" w:cs="Calibri"/>
          <w:sz w:val="22"/>
          <w:szCs w:val="22"/>
        </w:rPr>
        <w:t>A rubrica “Outras Receitas</w:t>
      </w:r>
      <w:r w:rsidR="006C0B4D" w:rsidRPr="002E2B5B">
        <w:rPr>
          <w:rFonts w:ascii="Calibri" w:hAnsi="Calibri" w:cs="Calibri"/>
          <w:sz w:val="22"/>
          <w:szCs w:val="22"/>
        </w:rPr>
        <w:t xml:space="preserve">/Despesas </w:t>
      </w:r>
      <w:r w:rsidRPr="002E2B5B">
        <w:rPr>
          <w:rFonts w:ascii="Calibri" w:hAnsi="Calibri" w:cs="Calibri"/>
          <w:sz w:val="22"/>
          <w:szCs w:val="22"/>
        </w:rPr>
        <w:t xml:space="preserve">Operacionais” </w:t>
      </w:r>
      <w:r w:rsidR="002C7DBE" w:rsidRPr="002E2B5B">
        <w:rPr>
          <w:rFonts w:ascii="Calibri" w:hAnsi="Calibri" w:cs="Calibri"/>
          <w:sz w:val="22"/>
          <w:szCs w:val="22"/>
        </w:rPr>
        <w:t xml:space="preserve">apresentou </w:t>
      </w:r>
      <w:r w:rsidR="00B812FB" w:rsidRPr="002E2B5B">
        <w:rPr>
          <w:rFonts w:ascii="Calibri" w:hAnsi="Calibri" w:cs="Calibri"/>
          <w:sz w:val="22"/>
          <w:szCs w:val="22"/>
        </w:rPr>
        <w:t>o valor</w:t>
      </w:r>
      <w:r w:rsidR="00BC605C">
        <w:rPr>
          <w:rFonts w:ascii="Calibri" w:hAnsi="Calibri" w:cs="Calibri"/>
          <w:sz w:val="22"/>
          <w:szCs w:val="22"/>
        </w:rPr>
        <w:t xml:space="preserve"> </w:t>
      </w:r>
      <w:r w:rsidR="00B812FB" w:rsidRPr="002E2B5B">
        <w:rPr>
          <w:rFonts w:ascii="Calibri" w:hAnsi="Calibri" w:cs="Calibri"/>
          <w:sz w:val="22"/>
          <w:szCs w:val="22"/>
        </w:rPr>
        <w:t xml:space="preserve">de R$ </w:t>
      </w:r>
      <w:r w:rsidR="00A219A8">
        <w:rPr>
          <w:rFonts w:ascii="Calibri" w:hAnsi="Calibri" w:cs="Calibri"/>
          <w:sz w:val="22"/>
          <w:szCs w:val="22"/>
        </w:rPr>
        <w:t>8,18</w:t>
      </w:r>
      <w:r w:rsidR="00CA15BC">
        <w:rPr>
          <w:rFonts w:ascii="Calibri" w:hAnsi="Calibri" w:cs="Calibri"/>
          <w:sz w:val="22"/>
          <w:szCs w:val="22"/>
        </w:rPr>
        <w:t xml:space="preserve"> m</w:t>
      </w:r>
      <w:r w:rsidR="005B302C" w:rsidRPr="002E2B5B">
        <w:rPr>
          <w:rFonts w:ascii="Calibri" w:hAnsi="Calibri" w:cs="Calibri"/>
          <w:sz w:val="22"/>
          <w:szCs w:val="22"/>
        </w:rPr>
        <w:t>il</w:t>
      </w:r>
      <w:r w:rsidR="00CA15BC">
        <w:rPr>
          <w:rFonts w:ascii="Calibri" w:hAnsi="Calibri" w:cs="Calibri"/>
          <w:sz w:val="22"/>
          <w:szCs w:val="22"/>
        </w:rPr>
        <w:t>hões</w:t>
      </w:r>
      <w:r w:rsidR="005B302C" w:rsidRPr="002E2B5B">
        <w:rPr>
          <w:rFonts w:ascii="Calibri" w:hAnsi="Calibri" w:cs="Calibri"/>
          <w:sz w:val="22"/>
          <w:szCs w:val="22"/>
        </w:rPr>
        <w:t xml:space="preserve"> e</w:t>
      </w:r>
      <w:r w:rsidR="00B812FB" w:rsidRPr="002E2B5B">
        <w:rPr>
          <w:rFonts w:ascii="Calibri" w:hAnsi="Calibri" w:cs="Calibri"/>
          <w:sz w:val="22"/>
          <w:szCs w:val="22"/>
        </w:rPr>
        <w:t xml:space="preserve"> </w:t>
      </w:r>
      <w:r w:rsidRPr="002E2B5B">
        <w:rPr>
          <w:rFonts w:ascii="Calibri" w:hAnsi="Calibri" w:cs="Calibri"/>
          <w:sz w:val="22"/>
          <w:szCs w:val="22"/>
        </w:rPr>
        <w:t xml:space="preserve">compreende </w:t>
      </w:r>
      <w:r w:rsidR="005B302C" w:rsidRPr="002E2B5B">
        <w:rPr>
          <w:rFonts w:ascii="Calibri" w:hAnsi="Calibri" w:cs="Calibri"/>
          <w:sz w:val="22"/>
          <w:szCs w:val="22"/>
        </w:rPr>
        <w:t>as provisões para contingências e suas</w:t>
      </w:r>
      <w:r w:rsidR="00216A83">
        <w:rPr>
          <w:rFonts w:ascii="Calibri" w:hAnsi="Calibri" w:cs="Calibri"/>
          <w:sz w:val="22"/>
          <w:szCs w:val="22"/>
        </w:rPr>
        <w:t xml:space="preserve"> </w:t>
      </w:r>
      <w:r w:rsidRPr="002E2B5B">
        <w:rPr>
          <w:rFonts w:ascii="Calibri" w:hAnsi="Calibri" w:cs="Calibri"/>
          <w:sz w:val="22"/>
          <w:szCs w:val="22"/>
        </w:rPr>
        <w:t>revers</w:t>
      </w:r>
      <w:r w:rsidR="005B302C" w:rsidRPr="002E2B5B">
        <w:rPr>
          <w:rFonts w:ascii="Calibri" w:hAnsi="Calibri" w:cs="Calibri"/>
          <w:sz w:val="22"/>
          <w:szCs w:val="22"/>
        </w:rPr>
        <w:t>ões</w:t>
      </w:r>
      <w:r w:rsidR="009337AF" w:rsidRPr="002E2B5B">
        <w:rPr>
          <w:rFonts w:ascii="Calibri" w:hAnsi="Calibri" w:cs="Calibri"/>
          <w:sz w:val="22"/>
          <w:szCs w:val="22"/>
        </w:rPr>
        <w:t>,</w:t>
      </w:r>
      <w:r w:rsidR="008F0BEC" w:rsidRPr="002E2B5B">
        <w:rPr>
          <w:rFonts w:ascii="Calibri" w:hAnsi="Calibri" w:cs="Calibri"/>
          <w:sz w:val="22"/>
          <w:szCs w:val="22"/>
        </w:rPr>
        <w:t xml:space="preserve"> T</w:t>
      </w:r>
      <w:r w:rsidR="00B812FB" w:rsidRPr="002E2B5B">
        <w:rPr>
          <w:rFonts w:ascii="Calibri" w:hAnsi="Calibri" w:cs="Calibri"/>
          <w:sz w:val="22"/>
          <w:szCs w:val="22"/>
        </w:rPr>
        <w:t>ermo</w:t>
      </w:r>
      <w:r w:rsidR="008F0BEC" w:rsidRPr="002E2B5B">
        <w:rPr>
          <w:rFonts w:ascii="Calibri" w:hAnsi="Calibri" w:cs="Calibri"/>
          <w:sz w:val="22"/>
          <w:szCs w:val="22"/>
        </w:rPr>
        <w:t xml:space="preserve"> de Execução Descentralizada</w:t>
      </w:r>
      <w:r w:rsidR="00D518C0" w:rsidRPr="002E2B5B">
        <w:rPr>
          <w:rFonts w:ascii="Calibri" w:hAnsi="Calibri" w:cs="Calibri"/>
          <w:sz w:val="22"/>
          <w:szCs w:val="22"/>
        </w:rPr>
        <w:t xml:space="preserve"> (</w:t>
      </w:r>
      <w:r w:rsidR="008F0BEC" w:rsidRPr="002E2B5B">
        <w:rPr>
          <w:rFonts w:ascii="Calibri" w:hAnsi="Calibri" w:cs="Calibri"/>
          <w:sz w:val="22"/>
          <w:szCs w:val="22"/>
        </w:rPr>
        <w:t>TED</w:t>
      </w:r>
      <w:r w:rsidR="00D518C0" w:rsidRPr="002E2B5B">
        <w:rPr>
          <w:rFonts w:ascii="Calibri" w:hAnsi="Calibri" w:cs="Calibri"/>
          <w:sz w:val="22"/>
          <w:szCs w:val="22"/>
        </w:rPr>
        <w:t>)</w:t>
      </w:r>
      <w:r w:rsidR="004E38F5" w:rsidRPr="002E2B5B">
        <w:rPr>
          <w:rFonts w:ascii="Calibri" w:hAnsi="Calibri" w:cs="Calibri"/>
          <w:sz w:val="22"/>
          <w:szCs w:val="22"/>
        </w:rPr>
        <w:t xml:space="preserve">, </w:t>
      </w:r>
      <w:r w:rsidR="00B812FB" w:rsidRPr="002E2B5B">
        <w:rPr>
          <w:rFonts w:ascii="Calibri" w:hAnsi="Calibri" w:cs="Calibri"/>
          <w:sz w:val="22"/>
          <w:szCs w:val="22"/>
        </w:rPr>
        <w:t>baixa de de</w:t>
      </w:r>
      <w:r w:rsidR="004E38F5" w:rsidRPr="002E2B5B">
        <w:rPr>
          <w:rFonts w:ascii="Calibri" w:hAnsi="Calibri" w:cs="Calibri"/>
          <w:sz w:val="22"/>
          <w:szCs w:val="22"/>
        </w:rPr>
        <w:t>pósitos retidos de fornecedores</w:t>
      </w:r>
      <w:r w:rsidR="00AB2F4A" w:rsidRPr="002E2B5B">
        <w:rPr>
          <w:rFonts w:ascii="Calibri" w:hAnsi="Calibri" w:cs="Calibri"/>
          <w:sz w:val="22"/>
          <w:szCs w:val="22"/>
        </w:rPr>
        <w:t>,</w:t>
      </w:r>
      <w:r w:rsidR="004E38F5" w:rsidRPr="002E2B5B">
        <w:rPr>
          <w:rFonts w:ascii="Calibri" w:hAnsi="Calibri" w:cs="Calibri"/>
          <w:sz w:val="22"/>
          <w:szCs w:val="22"/>
        </w:rPr>
        <w:t xml:space="preserve"> </w:t>
      </w:r>
      <w:r w:rsidR="00AB2F4A" w:rsidRPr="002E2B5B">
        <w:rPr>
          <w:rFonts w:ascii="Calibri" w:hAnsi="Calibri" w:cs="Calibri"/>
          <w:sz w:val="22"/>
          <w:szCs w:val="22"/>
        </w:rPr>
        <w:t>doações/transferências recebidas</w:t>
      </w:r>
      <w:r w:rsidR="00D518C0" w:rsidRPr="002E2B5B">
        <w:rPr>
          <w:rFonts w:ascii="Calibri" w:hAnsi="Calibri" w:cs="Calibri"/>
          <w:sz w:val="22"/>
          <w:szCs w:val="22"/>
        </w:rPr>
        <w:t xml:space="preserve">, </w:t>
      </w:r>
      <w:r w:rsidR="00D92B38" w:rsidRPr="002E2B5B">
        <w:rPr>
          <w:rFonts w:ascii="Calibri" w:hAnsi="Calibri" w:cs="Calibri"/>
          <w:sz w:val="22"/>
          <w:szCs w:val="22"/>
        </w:rPr>
        <w:t>multas administrativas</w:t>
      </w:r>
      <w:r w:rsidR="005B302C" w:rsidRPr="002E2B5B">
        <w:rPr>
          <w:rFonts w:ascii="Calibri" w:hAnsi="Calibri" w:cs="Calibri"/>
          <w:sz w:val="22"/>
          <w:szCs w:val="22"/>
        </w:rPr>
        <w:t xml:space="preserve">, baixa de ativos imobilizados e intangíveis e resultado da equivalência patrimonial sobre o investimento da </w:t>
      </w:r>
      <w:r w:rsidR="00D60F6A">
        <w:rPr>
          <w:rFonts w:ascii="Calibri" w:hAnsi="Calibri" w:cs="Calibri"/>
          <w:sz w:val="22"/>
          <w:szCs w:val="22"/>
        </w:rPr>
        <w:t>Infra</w:t>
      </w:r>
      <w:r w:rsidR="00B406C5">
        <w:rPr>
          <w:rFonts w:ascii="Calibri" w:hAnsi="Calibri" w:cs="Calibri"/>
          <w:sz w:val="22"/>
          <w:szCs w:val="22"/>
        </w:rPr>
        <w:t xml:space="preserve"> S.A.</w:t>
      </w:r>
      <w:r w:rsidR="005B302C" w:rsidRPr="002E2B5B">
        <w:rPr>
          <w:rFonts w:ascii="Calibri" w:hAnsi="Calibri" w:cs="Calibri"/>
          <w:sz w:val="22"/>
          <w:szCs w:val="22"/>
        </w:rPr>
        <w:t xml:space="preserve"> em outra companhia.</w:t>
      </w:r>
    </w:p>
    <w:tbl>
      <w:tblPr>
        <w:tblW w:w="5000" w:type="pct"/>
        <w:tblCellMar>
          <w:left w:w="70" w:type="dxa"/>
          <w:right w:w="70" w:type="dxa"/>
        </w:tblCellMar>
        <w:tblLook w:val="04A0" w:firstRow="1" w:lastRow="0" w:firstColumn="1" w:lastColumn="0" w:noHBand="0" w:noVBand="1"/>
      </w:tblPr>
      <w:tblGrid>
        <w:gridCol w:w="6414"/>
        <w:gridCol w:w="816"/>
        <w:gridCol w:w="220"/>
        <w:gridCol w:w="23"/>
        <w:gridCol w:w="1413"/>
        <w:gridCol w:w="84"/>
        <w:gridCol w:w="1497"/>
      </w:tblGrid>
      <w:tr w:rsidR="00AD39BE" w14:paraId="7A63DCAF" w14:textId="77777777" w:rsidTr="00263C8E">
        <w:trPr>
          <w:trHeight w:hRule="exact" w:val="227"/>
        </w:trPr>
        <w:tc>
          <w:tcPr>
            <w:tcW w:w="3559" w:type="pct"/>
            <w:gridSpan w:val="3"/>
            <w:tcBorders>
              <w:top w:val="single" w:sz="12" w:space="0" w:color="auto"/>
              <w:left w:val="nil"/>
              <w:bottom w:val="single" w:sz="8" w:space="0" w:color="auto"/>
              <w:right w:val="nil"/>
            </w:tcBorders>
            <w:shd w:val="clear" w:color="auto" w:fill="auto"/>
            <w:noWrap/>
            <w:vAlign w:val="center"/>
            <w:hideMark/>
          </w:tcPr>
          <w:p w14:paraId="0C4F0D20" w14:textId="77777777" w:rsidR="00AD39BE" w:rsidRDefault="00AD39BE" w:rsidP="00937ED9">
            <w:pPr>
              <w:spacing w:after="120"/>
              <w:rPr>
                <w:rFonts w:ascii="Calibri" w:hAnsi="Calibri" w:cs="Calibri"/>
                <w:b/>
                <w:bCs/>
                <w:color w:val="000000"/>
                <w:sz w:val="16"/>
                <w:szCs w:val="16"/>
              </w:rPr>
            </w:pPr>
            <w:r>
              <w:rPr>
                <w:rFonts w:ascii="Calibri" w:hAnsi="Calibri" w:cs="Calibri"/>
                <w:b/>
                <w:bCs/>
                <w:color w:val="000000"/>
                <w:sz w:val="16"/>
                <w:szCs w:val="16"/>
              </w:rPr>
              <w:t>OUTRAS RECEITAS/ DESPESAS OPERACIONAIS</w:t>
            </w:r>
          </w:p>
        </w:tc>
        <w:tc>
          <w:tcPr>
            <w:tcW w:w="686" w:type="pct"/>
            <w:gridSpan w:val="2"/>
            <w:tcBorders>
              <w:top w:val="single" w:sz="12" w:space="0" w:color="auto"/>
              <w:left w:val="nil"/>
              <w:bottom w:val="single" w:sz="8" w:space="0" w:color="auto"/>
              <w:right w:val="nil"/>
            </w:tcBorders>
            <w:shd w:val="clear" w:color="auto" w:fill="auto"/>
            <w:noWrap/>
            <w:vAlign w:val="center"/>
            <w:hideMark/>
          </w:tcPr>
          <w:p w14:paraId="4FB748F5" w14:textId="4F6B8687" w:rsidR="00AD39BE" w:rsidRDefault="00AD39BE"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B22B6D">
              <w:rPr>
                <w:rFonts w:ascii="Calibri" w:hAnsi="Calibri" w:cs="Calibri"/>
                <w:b/>
                <w:bCs/>
                <w:color w:val="000000"/>
                <w:sz w:val="16"/>
                <w:szCs w:val="16"/>
              </w:rPr>
              <w:t>0</w:t>
            </w:r>
            <w:r>
              <w:rPr>
                <w:rFonts w:ascii="Calibri" w:hAnsi="Calibri" w:cs="Calibri"/>
                <w:b/>
                <w:bCs/>
                <w:color w:val="000000"/>
                <w:sz w:val="16"/>
                <w:szCs w:val="16"/>
              </w:rPr>
              <w:t>/</w:t>
            </w:r>
            <w:r w:rsidR="007708B6">
              <w:rPr>
                <w:rFonts w:ascii="Calibri" w:hAnsi="Calibri" w:cs="Calibri"/>
                <w:b/>
                <w:bCs/>
                <w:color w:val="000000"/>
                <w:sz w:val="16"/>
                <w:szCs w:val="16"/>
              </w:rPr>
              <w:t>0</w:t>
            </w:r>
            <w:r w:rsidR="00A219A8">
              <w:rPr>
                <w:rFonts w:ascii="Calibri" w:hAnsi="Calibri" w:cs="Calibri"/>
                <w:b/>
                <w:bCs/>
                <w:color w:val="000000"/>
                <w:sz w:val="16"/>
                <w:szCs w:val="16"/>
              </w:rPr>
              <w:t>9</w:t>
            </w:r>
            <w:r>
              <w:rPr>
                <w:rFonts w:ascii="Calibri" w:hAnsi="Calibri" w:cs="Calibri"/>
                <w:b/>
                <w:bCs/>
                <w:color w:val="000000"/>
                <w:sz w:val="16"/>
                <w:szCs w:val="16"/>
              </w:rPr>
              <w:t>/202</w:t>
            </w:r>
            <w:r w:rsidR="007708B6">
              <w:rPr>
                <w:rFonts w:ascii="Calibri" w:hAnsi="Calibri" w:cs="Calibri"/>
                <w:b/>
                <w:bCs/>
                <w:color w:val="000000"/>
                <w:sz w:val="16"/>
                <w:szCs w:val="16"/>
              </w:rPr>
              <w:t>2</w:t>
            </w:r>
          </w:p>
        </w:tc>
        <w:tc>
          <w:tcPr>
            <w:tcW w:w="755" w:type="pct"/>
            <w:gridSpan w:val="2"/>
            <w:tcBorders>
              <w:top w:val="single" w:sz="12" w:space="0" w:color="auto"/>
              <w:left w:val="nil"/>
              <w:bottom w:val="single" w:sz="8" w:space="0" w:color="auto"/>
              <w:right w:val="nil"/>
            </w:tcBorders>
            <w:shd w:val="clear" w:color="auto" w:fill="auto"/>
            <w:vAlign w:val="center"/>
            <w:hideMark/>
          </w:tcPr>
          <w:p w14:paraId="4576D205" w14:textId="5D8D06AE" w:rsidR="00AD39BE" w:rsidRPr="00E92C8D" w:rsidRDefault="00AD39BE" w:rsidP="00937ED9">
            <w:pPr>
              <w:spacing w:after="120"/>
              <w:jc w:val="right"/>
              <w:rPr>
                <w:rFonts w:ascii="Calibri" w:hAnsi="Calibri" w:cs="Calibri"/>
                <w:b/>
                <w:bCs/>
                <w:color w:val="000000"/>
                <w:sz w:val="16"/>
                <w:szCs w:val="16"/>
              </w:rPr>
            </w:pPr>
            <w:r w:rsidRPr="00E92C8D">
              <w:rPr>
                <w:rFonts w:ascii="Calibri" w:hAnsi="Calibri" w:cs="Calibri"/>
                <w:b/>
                <w:bCs/>
                <w:color w:val="000000"/>
                <w:sz w:val="16"/>
                <w:szCs w:val="16"/>
              </w:rPr>
              <w:t>3</w:t>
            </w:r>
            <w:r w:rsidR="00B22B6D">
              <w:rPr>
                <w:rFonts w:ascii="Calibri" w:hAnsi="Calibri" w:cs="Calibri"/>
                <w:b/>
                <w:bCs/>
                <w:color w:val="000000"/>
                <w:sz w:val="16"/>
                <w:szCs w:val="16"/>
              </w:rPr>
              <w:t>0</w:t>
            </w:r>
            <w:r w:rsidRPr="00E92C8D">
              <w:rPr>
                <w:rFonts w:ascii="Calibri" w:hAnsi="Calibri" w:cs="Calibri"/>
                <w:b/>
                <w:bCs/>
                <w:color w:val="000000"/>
                <w:sz w:val="16"/>
                <w:szCs w:val="16"/>
              </w:rPr>
              <w:t>/</w:t>
            </w:r>
            <w:r w:rsidR="00E046EB">
              <w:rPr>
                <w:rFonts w:ascii="Calibri" w:hAnsi="Calibri" w:cs="Calibri"/>
                <w:b/>
                <w:bCs/>
                <w:color w:val="000000"/>
                <w:sz w:val="16"/>
                <w:szCs w:val="16"/>
              </w:rPr>
              <w:t>0</w:t>
            </w:r>
            <w:r w:rsidR="00A219A8">
              <w:rPr>
                <w:rFonts w:ascii="Calibri" w:hAnsi="Calibri" w:cs="Calibri"/>
                <w:b/>
                <w:bCs/>
                <w:color w:val="000000"/>
                <w:sz w:val="16"/>
                <w:szCs w:val="16"/>
              </w:rPr>
              <w:t>9</w:t>
            </w:r>
            <w:r w:rsidRPr="00E92C8D">
              <w:rPr>
                <w:rFonts w:ascii="Calibri" w:hAnsi="Calibri" w:cs="Calibri"/>
                <w:b/>
                <w:bCs/>
                <w:color w:val="000000"/>
                <w:sz w:val="16"/>
                <w:szCs w:val="16"/>
              </w:rPr>
              <w:t>/202</w:t>
            </w:r>
            <w:r w:rsidR="00E046EB">
              <w:rPr>
                <w:rFonts w:ascii="Calibri" w:hAnsi="Calibri" w:cs="Calibri"/>
                <w:b/>
                <w:bCs/>
                <w:color w:val="000000"/>
                <w:sz w:val="16"/>
                <w:szCs w:val="16"/>
              </w:rPr>
              <w:t>1</w:t>
            </w:r>
          </w:p>
        </w:tc>
      </w:tr>
      <w:tr w:rsidR="00AD39BE" w:rsidRPr="005947BB" w14:paraId="4B51EF6E"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641621BB" w14:textId="39260C1D" w:rsidR="00AD39BE" w:rsidRPr="005947BB" w:rsidRDefault="00AD39BE" w:rsidP="00937ED9">
            <w:pPr>
              <w:spacing w:after="120"/>
              <w:rPr>
                <w:rFonts w:ascii="Calibri" w:hAnsi="Calibri" w:cs="Calibri"/>
                <w:color w:val="000000"/>
                <w:sz w:val="16"/>
                <w:szCs w:val="16"/>
              </w:rPr>
            </w:pPr>
            <w:r w:rsidRPr="005947BB">
              <w:rPr>
                <w:rFonts w:ascii="Calibri" w:hAnsi="Calibri" w:cs="Calibri"/>
                <w:color w:val="000000"/>
                <w:sz w:val="16"/>
                <w:szCs w:val="16"/>
              </w:rPr>
              <w:t xml:space="preserve">Provisão para Contingências </w:t>
            </w:r>
            <w:r w:rsidRPr="0099441A">
              <w:rPr>
                <w:rFonts w:ascii="Calibri" w:hAnsi="Calibri" w:cs="Calibri"/>
                <w:color w:val="000000"/>
                <w:sz w:val="16"/>
                <w:szCs w:val="16"/>
              </w:rPr>
              <w:t>(Nota 1</w:t>
            </w:r>
            <w:r w:rsidR="0099441A">
              <w:rPr>
                <w:rFonts w:ascii="Calibri" w:hAnsi="Calibri" w:cs="Calibri"/>
                <w:color w:val="000000"/>
                <w:sz w:val="16"/>
                <w:szCs w:val="16"/>
              </w:rPr>
              <w:t>2</w:t>
            </w:r>
            <w:r w:rsidRPr="0099441A">
              <w:rPr>
                <w:rFonts w:ascii="Calibri" w:hAnsi="Calibri" w:cs="Calibri"/>
                <w:color w:val="000000"/>
                <w:sz w:val="16"/>
                <w:szCs w:val="16"/>
              </w:rPr>
              <w:t>b)</w:t>
            </w:r>
          </w:p>
        </w:tc>
        <w:tc>
          <w:tcPr>
            <w:tcW w:w="686" w:type="pct"/>
            <w:gridSpan w:val="2"/>
            <w:tcBorders>
              <w:top w:val="nil"/>
              <w:left w:val="nil"/>
              <w:bottom w:val="nil"/>
              <w:right w:val="nil"/>
            </w:tcBorders>
            <w:shd w:val="clear" w:color="auto" w:fill="auto"/>
            <w:noWrap/>
            <w:vAlign w:val="center"/>
            <w:hideMark/>
          </w:tcPr>
          <w:p w14:paraId="4018DC06" w14:textId="3402C598" w:rsidR="00AD39BE" w:rsidRPr="005947BB" w:rsidRDefault="00B22B6D" w:rsidP="00937ED9">
            <w:pPr>
              <w:spacing w:after="120"/>
              <w:jc w:val="right"/>
              <w:rPr>
                <w:rFonts w:ascii="Calibri" w:hAnsi="Calibri" w:cs="Calibri"/>
                <w:color w:val="000000"/>
                <w:sz w:val="16"/>
                <w:szCs w:val="16"/>
              </w:rPr>
            </w:pPr>
            <w:r>
              <w:rPr>
                <w:rFonts w:ascii="Calibri" w:hAnsi="Calibri" w:cs="Calibri"/>
                <w:color w:val="000000"/>
                <w:sz w:val="16"/>
                <w:szCs w:val="16"/>
              </w:rPr>
              <w:t>(</w:t>
            </w:r>
            <w:r w:rsidR="00A219A8">
              <w:rPr>
                <w:rFonts w:ascii="Calibri" w:hAnsi="Calibri" w:cs="Calibri"/>
                <w:color w:val="000000"/>
                <w:sz w:val="16"/>
                <w:szCs w:val="16"/>
              </w:rPr>
              <w:t>23.693.638</w:t>
            </w:r>
            <w:r>
              <w:rPr>
                <w:rFonts w:ascii="Calibri" w:hAnsi="Calibri" w:cs="Calibri"/>
                <w:color w:val="000000"/>
                <w:sz w:val="16"/>
                <w:szCs w:val="16"/>
              </w:rPr>
              <w:t>)</w:t>
            </w:r>
          </w:p>
        </w:tc>
        <w:tc>
          <w:tcPr>
            <w:tcW w:w="755" w:type="pct"/>
            <w:gridSpan w:val="2"/>
            <w:tcBorders>
              <w:top w:val="nil"/>
              <w:left w:val="nil"/>
              <w:bottom w:val="nil"/>
              <w:right w:val="nil"/>
            </w:tcBorders>
            <w:shd w:val="clear" w:color="auto" w:fill="auto"/>
            <w:vAlign w:val="center"/>
            <w:hideMark/>
          </w:tcPr>
          <w:p w14:paraId="14BDAAE6" w14:textId="73470A5C" w:rsidR="00AD39BE" w:rsidRPr="005947BB" w:rsidRDefault="00A219A8" w:rsidP="00937ED9">
            <w:pPr>
              <w:spacing w:after="120"/>
              <w:jc w:val="right"/>
              <w:rPr>
                <w:rFonts w:ascii="Calibri" w:hAnsi="Calibri" w:cs="Calibri"/>
                <w:color w:val="000000"/>
                <w:sz w:val="16"/>
                <w:szCs w:val="16"/>
              </w:rPr>
            </w:pPr>
            <w:r w:rsidRPr="00A219A8">
              <w:rPr>
                <w:rFonts w:ascii="Calibri" w:hAnsi="Calibri" w:cs="Calibri"/>
                <w:color w:val="000000"/>
                <w:sz w:val="16"/>
                <w:szCs w:val="16"/>
              </w:rPr>
              <w:t>(70.667.674)</w:t>
            </w:r>
          </w:p>
        </w:tc>
      </w:tr>
      <w:tr w:rsidR="00B22B6D" w:rsidRPr="005947BB" w14:paraId="3FF82D69" w14:textId="77777777" w:rsidTr="00B92F90">
        <w:trPr>
          <w:trHeight w:hRule="exact" w:val="227"/>
        </w:trPr>
        <w:tc>
          <w:tcPr>
            <w:tcW w:w="3559" w:type="pct"/>
            <w:gridSpan w:val="3"/>
            <w:tcBorders>
              <w:top w:val="nil"/>
              <w:left w:val="nil"/>
              <w:bottom w:val="nil"/>
              <w:right w:val="nil"/>
            </w:tcBorders>
            <w:shd w:val="clear" w:color="auto" w:fill="auto"/>
            <w:noWrap/>
            <w:vAlign w:val="center"/>
          </w:tcPr>
          <w:p w14:paraId="607748D0" w14:textId="241FD570" w:rsidR="00B22B6D" w:rsidRPr="005947BB" w:rsidRDefault="00B22B6D" w:rsidP="00937ED9">
            <w:pPr>
              <w:spacing w:after="120"/>
              <w:rPr>
                <w:rFonts w:ascii="Calibri" w:hAnsi="Calibri" w:cs="Calibri"/>
                <w:color w:val="000000"/>
                <w:sz w:val="16"/>
                <w:szCs w:val="16"/>
              </w:rPr>
            </w:pPr>
            <w:r>
              <w:rPr>
                <w:rFonts w:ascii="Calibri" w:hAnsi="Calibri" w:cs="Calibri"/>
                <w:color w:val="000000"/>
                <w:sz w:val="16"/>
                <w:szCs w:val="16"/>
              </w:rPr>
              <w:t>Sentenças Judiciais – Ativo Civil RGPS</w:t>
            </w:r>
          </w:p>
        </w:tc>
        <w:tc>
          <w:tcPr>
            <w:tcW w:w="686" w:type="pct"/>
            <w:gridSpan w:val="2"/>
            <w:tcBorders>
              <w:top w:val="nil"/>
              <w:left w:val="nil"/>
              <w:bottom w:val="nil"/>
              <w:right w:val="nil"/>
            </w:tcBorders>
            <w:shd w:val="clear" w:color="auto" w:fill="auto"/>
            <w:noWrap/>
            <w:vAlign w:val="center"/>
          </w:tcPr>
          <w:p w14:paraId="5B313B56" w14:textId="08F85BF5" w:rsidR="00B22B6D" w:rsidRDefault="00B22B6D" w:rsidP="00937ED9">
            <w:pPr>
              <w:spacing w:after="120"/>
              <w:jc w:val="right"/>
              <w:rPr>
                <w:rFonts w:ascii="Calibri" w:hAnsi="Calibri" w:cs="Calibri"/>
                <w:color w:val="000000"/>
                <w:sz w:val="16"/>
                <w:szCs w:val="16"/>
              </w:rPr>
            </w:pPr>
            <w:r>
              <w:rPr>
                <w:rFonts w:ascii="Calibri" w:hAnsi="Calibri" w:cs="Calibri"/>
                <w:color w:val="000000"/>
                <w:sz w:val="16"/>
                <w:szCs w:val="16"/>
              </w:rPr>
              <w:t>(</w:t>
            </w:r>
            <w:r w:rsidR="00A219A8">
              <w:rPr>
                <w:rFonts w:ascii="Calibri" w:hAnsi="Calibri" w:cs="Calibri"/>
                <w:color w:val="000000"/>
                <w:sz w:val="16"/>
                <w:szCs w:val="16"/>
              </w:rPr>
              <w:t>3.753.329</w:t>
            </w:r>
            <w:r>
              <w:rPr>
                <w:rFonts w:ascii="Calibri" w:hAnsi="Calibri" w:cs="Calibri"/>
                <w:color w:val="000000"/>
                <w:sz w:val="16"/>
                <w:szCs w:val="16"/>
              </w:rPr>
              <w:t>)</w:t>
            </w:r>
          </w:p>
        </w:tc>
        <w:tc>
          <w:tcPr>
            <w:tcW w:w="755" w:type="pct"/>
            <w:gridSpan w:val="2"/>
            <w:tcBorders>
              <w:top w:val="nil"/>
              <w:left w:val="nil"/>
              <w:bottom w:val="nil"/>
              <w:right w:val="nil"/>
            </w:tcBorders>
            <w:shd w:val="clear" w:color="auto" w:fill="auto"/>
            <w:vAlign w:val="center"/>
          </w:tcPr>
          <w:p w14:paraId="0ABE420A" w14:textId="10BDA5CB" w:rsidR="00B22B6D" w:rsidRPr="005947BB"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AD39BE" w:rsidRPr="005947BB" w14:paraId="4DAFF609"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215B1971" w14:textId="66FD907E" w:rsidR="00AD39BE" w:rsidRPr="005947BB" w:rsidRDefault="00AD39BE" w:rsidP="00937ED9">
            <w:pPr>
              <w:spacing w:after="120"/>
              <w:rPr>
                <w:rFonts w:ascii="Calibri" w:hAnsi="Calibri" w:cs="Calibri"/>
                <w:color w:val="000000"/>
                <w:sz w:val="16"/>
                <w:szCs w:val="16"/>
              </w:rPr>
            </w:pPr>
            <w:r w:rsidRPr="005947BB">
              <w:rPr>
                <w:rFonts w:ascii="Calibri" w:hAnsi="Calibri" w:cs="Calibri"/>
                <w:color w:val="000000"/>
                <w:sz w:val="16"/>
                <w:szCs w:val="16"/>
              </w:rPr>
              <w:t xml:space="preserve">Reversão de provisões para </w:t>
            </w:r>
            <w:r w:rsidRPr="0099441A">
              <w:rPr>
                <w:rFonts w:ascii="Calibri" w:hAnsi="Calibri" w:cs="Calibri"/>
                <w:color w:val="000000"/>
                <w:sz w:val="16"/>
                <w:szCs w:val="16"/>
              </w:rPr>
              <w:t>contingências (Nota 1</w:t>
            </w:r>
            <w:r w:rsidR="0099441A">
              <w:rPr>
                <w:rFonts w:ascii="Calibri" w:hAnsi="Calibri" w:cs="Calibri"/>
                <w:color w:val="000000"/>
                <w:sz w:val="16"/>
                <w:szCs w:val="16"/>
              </w:rPr>
              <w:t>2</w:t>
            </w:r>
            <w:r w:rsidRPr="0099441A">
              <w:rPr>
                <w:rFonts w:ascii="Calibri" w:hAnsi="Calibri" w:cs="Calibri"/>
                <w:color w:val="000000"/>
                <w:sz w:val="16"/>
                <w:szCs w:val="16"/>
              </w:rPr>
              <w:t>b)</w:t>
            </w:r>
          </w:p>
        </w:tc>
        <w:tc>
          <w:tcPr>
            <w:tcW w:w="686" w:type="pct"/>
            <w:gridSpan w:val="2"/>
            <w:tcBorders>
              <w:top w:val="nil"/>
              <w:left w:val="nil"/>
              <w:bottom w:val="nil"/>
              <w:right w:val="nil"/>
            </w:tcBorders>
            <w:shd w:val="clear" w:color="auto" w:fill="auto"/>
            <w:noWrap/>
            <w:vAlign w:val="center"/>
            <w:hideMark/>
          </w:tcPr>
          <w:p w14:paraId="3EEBCCA8" w14:textId="170BC47F" w:rsidR="00AD39BE" w:rsidRPr="005947BB" w:rsidRDefault="00B22B6D" w:rsidP="00937ED9">
            <w:pPr>
              <w:spacing w:after="120"/>
              <w:jc w:val="right"/>
              <w:rPr>
                <w:rFonts w:ascii="Calibri" w:hAnsi="Calibri" w:cs="Calibri"/>
                <w:color w:val="000000"/>
                <w:sz w:val="16"/>
                <w:szCs w:val="16"/>
              </w:rPr>
            </w:pPr>
            <w:r>
              <w:rPr>
                <w:rFonts w:ascii="Calibri" w:hAnsi="Calibri" w:cs="Calibri"/>
                <w:color w:val="000000"/>
                <w:sz w:val="16"/>
                <w:szCs w:val="16"/>
              </w:rPr>
              <w:t>5</w:t>
            </w:r>
            <w:r w:rsidR="00A219A8">
              <w:rPr>
                <w:rFonts w:ascii="Calibri" w:hAnsi="Calibri" w:cs="Calibri"/>
                <w:color w:val="000000"/>
                <w:sz w:val="16"/>
                <w:szCs w:val="16"/>
              </w:rPr>
              <w:t>3</w:t>
            </w:r>
            <w:r>
              <w:rPr>
                <w:rFonts w:ascii="Calibri" w:hAnsi="Calibri" w:cs="Calibri"/>
                <w:color w:val="000000"/>
                <w:sz w:val="16"/>
                <w:szCs w:val="16"/>
              </w:rPr>
              <w:t>.</w:t>
            </w:r>
            <w:r w:rsidR="00A219A8">
              <w:rPr>
                <w:rFonts w:ascii="Calibri" w:hAnsi="Calibri" w:cs="Calibri"/>
                <w:color w:val="000000"/>
                <w:sz w:val="16"/>
                <w:szCs w:val="16"/>
              </w:rPr>
              <w:t>805</w:t>
            </w:r>
            <w:r>
              <w:rPr>
                <w:rFonts w:ascii="Calibri" w:hAnsi="Calibri" w:cs="Calibri"/>
                <w:color w:val="000000"/>
                <w:sz w:val="16"/>
                <w:szCs w:val="16"/>
              </w:rPr>
              <w:t>.</w:t>
            </w:r>
            <w:r w:rsidR="00A219A8">
              <w:rPr>
                <w:rFonts w:ascii="Calibri" w:hAnsi="Calibri" w:cs="Calibri"/>
                <w:color w:val="000000"/>
                <w:sz w:val="16"/>
                <w:szCs w:val="16"/>
              </w:rPr>
              <w:t>433</w:t>
            </w:r>
          </w:p>
        </w:tc>
        <w:tc>
          <w:tcPr>
            <w:tcW w:w="755" w:type="pct"/>
            <w:gridSpan w:val="2"/>
            <w:tcBorders>
              <w:top w:val="nil"/>
              <w:left w:val="nil"/>
              <w:bottom w:val="nil"/>
              <w:right w:val="nil"/>
            </w:tcBorders>
            <w:shd w:val="clear" w:color="auto" w:fill="auto"/>
            <w:vAlign w:val="center"/>
            <w:hideMark/>
          </w:tcPr>
          <w:p w14:paraId="7717233E" w14:textId="5E0EC8CF" w:rsidR="00AD39BE" w:rsidRPr="005947BB" w:rsidRDefault="00E046EB" w:rsidP="00937ED9">
            <w:pPr>
              <w:spacing w:after="120"/>
              <w:jc w:val="right"/>
              <w:rPr>
                <w:rFonts w:ascii="Calibri" w:hAnsi="Calibri" w:cs="Calibri"/>
                <w:color w:val="000000"/>
                <w:sz w:val="16"/>
                <w:szCs w:val="16"/>
              </w:rPr>
            </w:pPr>
            <w:r w:rsidRPr="005947BB">
              <w:rPr>
                <w:rFonts w:ascii="Calibri" w:hAnsi="Calibri" w:cs="Calibri"/>
                <w:color w:val="000000"/>
                <w:sz w:val="16"/>
                <w:szCs w:val="16"/>
              </w:rPr>
              <w:t>0</w:t>
            </w:r>
          </w:p>
        </w:tc>
      </w:tr>
      <w:tr w:rsidR="00AD39BE" w14:paraId="5B466001"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727EA27D" w14:textId="3BBF041A"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lastRenderedPageBreak/>
              <w:t xml:space="preserve">Termo de Execução Descentralizada (TED) </w:t>
            </w:r>
            <w:r w:rsidRPr="0099441A">
              <w:rPr>
                <w:rFonts w:ascii="Calibri" w:hAnsi="Calibri" w:cs="Calibri"/>
                <w:color w:val="000000"/>
                <w:sz w:val="16"/>
                <w:szCs w:val="16"/>
              </w:rPr>
              <w:t>(Nota 4c)</w:t>
            </w:r>
          </w:p>
        </w:tc>
        <w:tc>
          <w:tcPr>
            <w:tcW w:w="686" w:type="pct"/>
            <w:gridSpan w:val="2"/>
            <w:tcBorders>
              <w:top w:val="nil"/>
              <w:left w:val="nil"/>
              <w:bottom w:val="nil"/>
              <w:right w:val="nil"/>
            </w:tcBorders>
            <w:shd w:val="clear" w:color="auto" w:fill="auto"/>
            <w:noWrap/>
            <w:vAlign w:val="center"/>
            <w:hideMark/>
          </w:tcPr>
          <w:p w14:paraId="7F2C92D6" w14:textId="2A671936" w:rsidR="00AD39BE" w:rsidRDefault="00A219A8" w:rsidP="00937ED9">
            <w:pPr>
              <w:spacing w:after="120"/>
              <w:jc w:val="right"/>
              <w:rPr>
                <w:rFonts w:ascii="Calibri" w:hAnsi="Calibri" w:cs="Calibri"/>
                <w:color w:val="000000"/>
                <w:sz w:val="16"/>
                <w:szCs w:val="16"/>
              </w:rPr>
            </w:pPr>
            <w:r>
              <w:rPr>
                <w:rFonts w:ascii="Calibri" w:hAnsi="Calibri" w:cs="Calibri"/>
                <w:color w:val="000000"/>
                <w:sz w:val="16"/>
                <w:szCs w:val="16"/>
              </w:rPr>
              <w:t>1.158.140</w:t>
            </w:r>
          </w:p>
        </w:tc>
        <w:tc>
          <w:tcPr>
            <w:tcW w:w="755" w:type="pct"/>
            <w:gridSpan w:val="2"/>
            <w:tcBorders>
              <w:top w:val="nil"/>
              <w:left w:val="nil"/>
              <w:bottom w:val="nil"/>
              <w:right w:val="nil"/>
            </w:tcBorders>
            <w:shd w:val="clear" w:color="auto" w:fill="auto"/>
            <w:vAlign w:val="center"/>
            <w:hideMark/>
          </w:tcPr>
          <w:p w14:paraId="6C0A1EA4" w14:textId="08612188" w:rsidR="00AD39BE" w:rsidRPr="00E92C8D" w:rsidRDefault="00A219A8" w:rsidP="00937ED9">
            <w:pPr>
              <w:spacing w:after="120"/>
              <w:jc w:val="right"/>
              <w:rPr>
                <w:rFonts w:ascii="Calibri" w:hAnsi="Calibri" w:cs="Calibri"/>
                <w:color w:val="000000"/>
                <w:sz w:val="16"/>
                <w:szCs w:val="16"/>
              </w:rPr>
            </w:pPr>
            <w:r w:rsidRPr="00A219A8">
              <w:rPr>
                <w:rFonts w:ascii="Calibri" w:hAnsi="Calibri" w:cs="Calibri"/>
                <w:color w:val="000000"/>
                <w:sz w:val="16"/>
                <w:szCs w:val="16"/>
              </w:rPr>
              <w:t>9.281.181</w:t>
            </w:r>
          </w:p>
        </w:tc>
      </w:tr>
      <w:tr w:rsidR="00AD39BE" w14:paraId="78081C3F"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35DDEBE4" w14:textId="77777777"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Baixa de passivos (desapropriação, fornecedores e depósitos retidos de fornecedores)</w:t>
            </w:r>
          </w:p>
        </w:tc>
        <w:tc>
          <w:tcPr>
            <w:tcW w:w="686" w:type="pct"/>
            <w:gridSpan w:val="2"/>
            <w:tcBorders>
              <w:top w:val="nil"/>
              <w:left w:val="nil"/>
              <w:bottom w:val="nil"/>
              <w:right w:val="nil"/>
            </w:tcBorders>
            <w:shd w:val="clear" w:color="auto" w:fill="auto"/>
            <w:noWrap/>
            <w:vAlign w:val="center"/>
            <w:hideMark/>
          </w:tcPr>
          <w:p w14:paraId="1DAF6864" w14:textId="64DCEB11" w:rsidR="00AD39BE" w:rsidRDefault="00A219A8" w:rsidP="00937ED9">
            <w:pPr>
              <w:spacing w:after="120"/>
              <w:jc w:val="right"/>
              <w:rPr>
                <w:rFonts w:ascii="Calibri" w:hAnsi="Calibri" w:cs="Calibri"/>
                <w:color w:val="000000"/>
                <w:sz w:val="16"/>
                <w:szCs w:val="16"/>
              </w:rPr>
            </w:pPr>
            <w:r>
              <w:rPr>
                <w:rFonts w:ascii="Calibri" w:hAnsi="Calibri" w:cs="Calibri"/>
                <w:color w:val="000000"/>
                <w:sz w:val="16"/>
                <w:szCs w:val="16"/>
              </w:rPr>
              <w:t>568.332</w:t>
            </w:r>
          </w:p>
        </w:tc>
        <w:tc>
          <w:tcPr>
            <w:tcW w:w="755" w:type="pct"/>
            <w:gridSpan w:val="2"/>
            <w:tcBorders>
              <w:top w:val="nil"/>
              <w:left w:val="nil"/>
              <w:bottom w:val="nil"/>
              <w:right w:val="nil"/>
            </w:tcBorders>
            <w:shd w:val="clear" w:color="auto" w:fill="auto"/>
            <w:vAlign w:val="center"/>
            <w:hideMark/>
          </w:tcPr>
          <w:p w14:paraId="6D4480A5" w14:textId="68072C00" w:rsidR="00AD39BE" w:rsidRPr="00E92C8D" w:rsidRDefault="00E046EB" w:rsidP="00937ED9">
            <w:pPr>
              <w:spacing w:after="120"/>
              <w:jc w:val="right"/>
              <w:rPr>
                <w:rFonts w:ascii="Calibri" w:hAnsi="Calibri" w:cs="Calibri"/>
                <w:color w:val="000000"/>
                <w:sz w:val="16"/>
                <w:szCs w:val="16"/>
              </w:rPr>
            </w:pPr>
            <w:r>
              <w:rPr>
                <w:rFonts w:ascii="Calibri" w:hAnsi="Calibri" w:cs="Calibri"/>
                <w:color w:val="000000"/>
                <w:sz w:val="16"/>
                <w:szCs w:val="16"/>
              </w:rPr>
              <w:t>2.314</w:t>
            </w:r>
          </w:p>
        </w:tc>
      </w:tr>
      <w:tr w:rsidR="00173C0E" w14:paraId="4FC398BA" w14:textId="77777777" w:rsidTr="00B92F90">
        <w:trPr>
          <w:trHeight w:hRule="exact" w:val="227"/>
        </w:trPr>
        <w:tc>
          <w:tcPr>
            <w:tcW w:w="3559" w:type="pct"/>
            <w:gridSpan w:val="3"/>
            <w:tcBorders>
              <w:top w:val="nil"/>
              <w:left w:val="nil"/>
              <w:bottom w:val="nil"/>
              <w:right w:val="nil"/>
            </w:tcBorders>
            <w:shd w:val="clear" w:color="auto" w:fill="auto"/>
            <w:noWrap/>
            <w:vAlign w:val="center"/>
          </w:tcPr>
          <w:p w14:paraId="096C4E83" w14:textId="312B9A26" w:rsidR="00173C0E" w:rsidRDefault="00173C0E" w:rsidP="00937ED9">
            <w:pPr>
              <w:spacing w:after="120"/>
              <w:rPr>
                <w:rFonts w:ascii="Calibri" w:hAnsi="Calibri" w:cs="Calibri"/>
                <w:color w:val="000000"/>
                <w:sz w:val="16"/>
                <w:szCs w:val="16"/>
              </w:rPr>
            </w:pPr>
            <w:r>
              <w:rPr>
                <w:rFonts w:ascii="Calibri" w:hAnsi="Calibri" w:cs="Calibri"/>
                <w:color w:val="000000"/>
                <w:sz w:val="16"/>
                <w:szCs w:val="16"/>
              </w:rPr>
              <w:t>Baixa de Passivo relativo a contratos de arrendamento (</w:t>
            </w:r>
            <w:r w:rsidRPr="0099441A">
              <w:rPr>
                <w:rFonts w:ascii="Calibri" w:hAnsi="Calibri" w:cs="Calibri"/>
                <w:color w:val="000000"/>
                <w:sz w:val="16"/>
                <w:szCs w:val="16"/>
              </w:rPr>
              <w:t>Nota 1</w:t>
            </w:r>
            <w:r w:rsidR="0099441A">
              <w:rPr>
                <w:rFonts w:ascii="Calibri" w:hAnsi="Calibri" w:cs="Calibri"/>
                <w:color w:val="000000"/>
                <w:sz w:val="16"/>
                <w:szCs w:val="16"/>
              </w:rPr>
              <w:t>6</w:t>
            </w:r>
            <w:r w:rsidRPr="0099441A">
              <w:rPr>
                <w:rFonts w:ascii="Calibri" w:hAnsi="Calibri" w:cs="Calibri"/>
                <w:color w:val="000000"/>
                <w:sz w:val="16"/>
                <w:szCs w:val="16"/>
              </w:rPr>
              <w:t>)</w:t>
            </w:r>
          </w:p>
        </w:tc>
        <w:tc>
          <w:tcPr>
            <w:tcW w:w="686" w:type="pct"/>
            <w:gridSpan w:val="2"/>
            <w:tcBorders>
              <w:top w:val="nil"/>
              <w:left w:val="nil"/>
              <w:bottom w:val="nil"/>
              <w:right w:val="nil"/>
            </w:tcBorders>
            <w:shd w:val="clear" w:color="auto" w:fill="auto"/>
            <w:noWrap/>
            <w:vAlign w:val="center"/>
          </w:tcPr>
          <w:p w14:paraId="1B0CB70F" w14:textId="4C85C26D" w:rsidR="00173C0E"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1.721.299</w:t>
            </w:r>
          </w:p>
        </w:tc>
        <w:tc>
          <w:tcPr>
            <w:tcW w:w="755" w:type="pct"/>
            <w:gridSpan w:val="2"/>
            <w:tcBorders>
              <w:top w:val="nil"/>
              <w:left w:val="nil"/>
              <w:bottom w:val="nil"/>
              <w:right w:val="nil"/>
            </w:tcBorders>
            <w:shd w:val="clear" w:color="auto" w:fill="auto"/>
            <w:vAlign w:val="center"/>
          </w:tcPr>
          <w:p w14:paraId="51D76828" w14:textId="5AD9D46B" w:rsidR="00173C0E"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173C0E" w14:paraId="3D2431D4" w14:textId="77777777" w:rsidTr="00B92F90">
        <w:trPr>
          <w:trHeight w:hRule="exact" w:val="227"/>
        </w:trPr>
        <w:tc>
          <w:tcPr>
            <w:tcW w:w="3559" w:type="pct"/>
            <w:gridSpan w:val="3"/>
            <w:tcBorders>
              <w:top w:val="nil"/>
              <w:left w:val="nil"/>
              <w:bottom w:val="nil"/>
              <w:right w:val="nil"/>
            </w:tcBorders>
            <w:shd w:val="clear" w:color="auto" w:fill="auto"/>
            <w:noWrap/>
            <w:vAlign w:val="center"/>
          </w:tcPr>
          <w:p w14:paraId="79D3D3BC" w14:textId="2B2168D2" w:rsidR="00173C0E" w:rsidRDefault="00173C0E" w:rsidP="00937ED9">
            <w:pPr>
              <w:spacing w:after="120"/>
              <w:rPr>
                <w:rFonts w:ascii="Calibri" w:hAnsi="Calibri" w:cs="Calibri"/>
                <w:color w:val="000000"/>
                <w:sz w:val="16"/>
                <w:szCs w:val="16"/>
              </w:rPr>
            </w:pPr>
            <w:r>
              <w:rPr>
                <w:rFonts w:ascii="Calibri" w:hAnsi="Calibri" w:cs="Calibri"/>
                <w:color w:val="000000"/>
                <w:sz w:val="16"/>
                <w:szCs w:val="16"/>
              </w:rPr>
              <w:t xml:space="preserve">Incorporação de passivo redutor Juros a transcorrer relativo a contratos de </w:t>
            </w:r>
            <w:r w:rsidRPr="0099441A">
              <w:rPr>
                <w:rFonts w:ascii="Calibri" w:hAnsi="Calibri" w:cs="Calibri"/>
                <w:color w:val="000000"/>
                <w:sz w:val="16"/>
                <w:szCs w:val="16"/>
              </w:rPr>
              <w:t>arrendamento (Nota 1</w:t>
            </w:r>
            <w:r w:rsidR="0099441A">
              <w:rPr>
                <w:rFonts w:ascii="Calibri" w:hAnsi="Calibri" w:cs="Calibri"/>
                <w:color w:val="000000"/>
                <w:sz w:val="16"/>
                <w:szCs w:val="16"/>
              </w:rPr>
              <w:t>6)</w:t>
            </w:r>
          </w:p>
        </w:tc>
        <w:tc>
          <w:tcPr>
            <w:tcW w:w="686" w:type="pct"/>
            <w:gridSpan w:val="2"/>
            <w:tcBorders>
              <w:top w:val="nil"/>
              <w:left w:val="nil"/>
              <w:bottom w:val="nil"/>
              <w:right w:val="nil"/>
            </w:tcBorders>
            <w:shd w:val="clear" w:color="auto" w:fill="auto"/>
            <w:noWrap/>
            <w:vAlign w:val="center"/>
          </w:tcPr>
          <w:p w14:paraId="4E6EC1F7" w14:textId="7108ABF4" w:rsidR="00173C0E"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3.904.489</w:t>
            </w:r>
          </w:p>
        </w:tc>
        <w:tc>
          <w:tcPr>
            <w:tcW w:w="755" w:type="pct"/>
            <w:gridSpan w:val="2"/>
            <w:tcBorders>
              <w:top w:val="nil"/>
              <w:left w:val="nil"/>
              <w:bottom w:val="nil"/>
              <w:right w:val="nil"/>
            </w:tcBorders>
            <w:shd w:val="clear" w:color="auto" w:fill="auto"/>
            <w:vAlign w:val="center"/>
          </w:tcPr>
          <w:p w14:paraId="0A140583" w14:textId="71B6E6B5" w:rsidR="00173C0E"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0</w:t>
            </w:r>
          </w:p>
        </w:tc>
      </w:tr>
      <w:tr w:rsidR="00AD39BE" w14:paraId="106E24AB" w14:textId="77777777" w:rsidTr="00B92F90">
        <w:trPr>
          <w:trHeight w:hRule="exact" w:val="227"/>
        </w:trPr>
        <w:tc>
          <w:tcPr>
            <w:tcW w:w="3559" w:type="pct"/>
            <w:gridSpan w:val="3"/>
            <w:tcBorders>
              <w:top w:val="nil"/>
              <w:left w:val="nil"/>
              <w:bottom w:val="nil"/>
              <w:right w:val="nil"/>
            </w:tcBorders>
            <w:shd w:val="clear" w:color="auto" w:fill="auto"/>
            <w:noWrap/>
            <w:vAlign w:val="center"/>
            <w:hideMark/>
          </w:tcPr>
          <w:p w14:paraId="1DBCFDCB" w14:textId="1AC49428" w:rsidR="00AD39BE" w:rsidRDefault="00AD39BE" w:rsidP="00937ED9">
            <w:pPr>
              <w:spacing w:after="120"/>
              <w:rPr>
                <w:rFonts w:ascii="Calibri" w:hAnsi="Calibri" w:cs="Calibri"/>
                <w:color w:val="000000"/>
                <w:sz w:val="16"/>
                <w:szCs w:val="16"/>
              </w:rPr>
            </w:pPr>
            <w:r>
              <w:rPr>
                <w:rFonts w:ascii="Calibri" w:hAnsi="Calibri" w:cs="Calibri"/>
                <w:color w:val="000000"/>
                <w:sz w:val="16"/>
                <w:szCs w:val="16"/>
              </w:rPr>
              <w:t>Multas administrativas (</w:t>
            </w:r>
            <w:r w:rsidRPr="0099441A">
              <w:rPr>
                <w:rFonts w:ascii="Calibri" w:hAnsi="Calibri" w:cs="Calibri"/>
                <w:color w:val="000000"/>
                <w:sz w:val="16"/>
                <w:szCs w:val="16"/>
              </w:rPr>
              <w:t>Nota 4</w:t>
            </w:r>
            <w:r w:rsidR="0099441A" w:rsidRPr="0099441A">
              <w:rPr>
                <w:rFonts w:ascii="Calibri" w:hAnsi="Calibri" w:cs="Calibri"/>
                <w:color w:val="000000"/>
                <w:sz w:val="16"/>
                <w:szCs w:val="16"/>
              </w:rPr>
              <w:t>e1</w:t>
            </w:r>
            <w:r w:rsidRPr="0099441A">
              <w:rPr>
                <w:rFonts w:ascii="Calibri" w:hAnsi="Calibri" w:cs="Calibri"/>
                <w:color w:val="000000"/>
                <w:sz w:val="16"/>
                <w:szCs w:val="16"/>
              </w:rPr>
              <w:t>)</w:t>
            </w:r>
          </w:p>
        </w:tc>
        <w:tc>
          <w:tcPr>
            <w:tcW w:w="686" w:type="pct"/>
            <w:gridSpan w:val="2"/>
            <w:tcBorders>
              <w:top w:val="nil"/>
              <w:left w:val="nil"/>
              <w:bottom w:val="nil"/>
              <w:right w:val="nil"/>
            </w:tcBorders>
            <w:shd w:val="clear" w:color="auto" w:fill="auto"/>
            <w:noWrap/>
            <w:vAlign w:val="center"/>
            <w:hideMark/>
          </w:tcPr>
          <w:p w14:paraId="76611F99" w14:textId="5DA243BD" w:rsidR="00AD39BE" w:rsidRDefault="00173C0E" w:rsidP="00937ED9">
            <w:pPr>
              <w:spacing w:after="120"/>
              <w:jc w:val="right"/>
              <w:rPr>
                <w:rFonts w:ascii="Calibri" w:hAnsi="Calibri" w:cs="Calibri"/>
                <w:color w:val="000000"/>
                <w:sz w:val="16"/>
                <w:szCs w:val="16"/>
              </w:rPr>
            </w:pPr>
            <w:r>
              <w:rPr>
                <w:rFonts w:ascii="Calibri" w:hAnsi="Calibri" w:cs="Calibri"/>
                <w:color w:val="000000"/>
                <w:sz w:val="16"/>
                <w:szCs w:val="16"/>
              </w:rPr>
              <w:t>152.97</w:t>
            </w:r>
            <w:r w:rsidR="00A219A8">
              <w:rPr>
                <w:rFonts w:ascii="Calibri" w:hAnsi="Calibri" w:cs="Calibri"/>
                <w:color w:val="000000"/>
                <w:sz w:val="16"/>
                <w:szCs w:val="16"/>
              </w:rPr>
              <w:t>1</w:t>
            </w:r>
          </w:p>
        </w:tc>
        <w:tc>
          <w:tcPr>
            <w:tcW w:w="755" w:type="pct"/>
            <w:gridSpan w:val="2"/>
            <w:tcBorders>
              <w:top w:val="nil"/>
              <w:left w:val="nil"/>
              <w:bottom w:val="nil"/>
              <w:right w:val="nil"/>
            </w:tcBorders>
            <w:shd w:val="clear" w:color="auto" w:fill="auto"/>
            <w:vAlign w:val="center"/>
            <w:hideMark/>
          </w:tcPr>
          <w:p w14:paraId="07061C08" w14:textId="528D698C" w:rsidR="00AD39BE" w:rsidRPr="00E92C8D" w:rsidRDefault="00AD39BE" w:rsidP="00937ED9">
            <w:pPr>
              <w:spacing w:after="120"/>
              <w:jc w:val="right"/>
              <w:rPr>
                <w:rFonts w:ascii="Calibri" w:hAnsi="Calibri" w:cs="Calibri"/>
                <w:color w:val="000000"/>
                <w:sz w:val="16"/>
                <w:szCs w:val="16"/>
              </w:rPr>
            </w:pPr>
            <w:r w:rsidRPr="00E92C8D">
              <w:rPr>
                <w:rFonts w:ascii="Calibri" w:hAnsi="Calibri" w:cs="Calibri"/>
                <w:color w:val="000000"/>
                <w:sz w:val="16"/>
                <w:szCs w:val="16"/>
              </w:rPr>
              <w:t>0</w:t>
            </w:r>
          </w:p>
        </w:tc>
      </w:tr>
      <w:tr w:rsidR="00A219A8" w14:paraId="5226E49C" w14:textId="77777777" w:rsidTr="007D40EC">
        <w:trPr>
          <w:trHeight w:hRule="exact" w:val="227"/>
        </w:trPr>
        <w:tc>
          <w:tcPr>
            <w:tcW w:w="3559" w:type="pct"/>
            <w:gridSpan w:val="3"/>
            <w:tcBorders>
              <w:top w:val="nil"/>
              <w:left w:val="nil"/>
              <w:bottom w:val="nil"/>
              <w:right w:val="nil"/>
            </w:tcBorders>
            <w:shd w:val="clear" w:color="auto" w:fill="auto"/>
            <w:noWrap/>
            <w:vAlign w:val="center"/>
            <w:hideMark/>
          </w:tcPr>
          <w:p w14:paraId="6C816BB7" w14:textId="77777777" w:rsidR="00A219A8" w:rsidRDefault="00A219A8" w:rsidP="00A219A8">
            <w:pPr>
              <w:spacing w:after="120"/>
              <w:rPr>
                <w:rFonts w:ascii="Calibri" w:hAnsi="Calibri" w:cs="Calibri"/>
                <w:color w:val="000000"/>
                <w:sz w:val="16"/>
                <w:szCs w:val="16"/>
              </w:rPr>
            </w:pPr>
            <w:r>
              <w:rPr>
                <w:rFonts w:ascii="Calibri" w:hAnsi="Calibri" w:cs="Calibri"/>
                <w:color w:val="000000"/>
                <w:sz w:val="16"/>
                <w:szCs w:val="16"/>
              </w:rPr>
              <w:t>Restituições</w:t>
            </w:r>
          </w:p>
        </w:tc>
        <w:tc>
          <w:tcPr>
            <w:tcW w:w="686" w:type="pct"/>
            <w:gridSpan w:val="2"/>
            <w:tcBorders>
              <w:top w:val="nil"/>
              <w:left w:val="nil"/>
              <w:bottom w:val="nil"/>
              <w:right w:val="nil"/>
            </w:tcBorders>
            <w:shd w:val="clear" w:color="auto" w:fill="auto"/>
            <w:noWrap/>
            <w:vAlign w:val="center"/>
            <w:hideMark/>
          </w:tcPr>
          <w:p w14:paraId="3C0E4324" w14:textId="7E6726E8" w:rsidR="00A219A8" w:rsidRDefault="00A219A8" w:rsidP="00A219A8">
            <w:pPr>
              <w:spacing w:after="120"/>
              <w:jc w:val="right"/>
              <w:rPr>
                <w:rFonts w:ascii="Calibri" w:hAnsi="Calibri" w:cs="Calibri"/>
                <w:color w:val="000000"/>
                <w:sz w:val="16"/>
                <w:szCs w:val="16"/>
              </w:rPr>
            </w:pPr>
            <w:r>
              <w:rPr>
                <w:rFonts w:ascii="Calibri" w:hAnsi="Calibri" w:cs="Calibri"/>
                <w:color w:val="000000"/>
                <w:sz w:val="16"/>
                <w:szCs w:val="16"/>
              </w:rPr>
              <w:t>135.923</w:t>
            </w:r>
          </w:p>
        </w:tc>
        <w:tc>
          <w:tcPr>
            <w:tcW w:w="755" w:type="pct"/>
            <w:gridSpan w:val="2"/>
            <w:tcBorders>
              <w:top w:val="nil"/>
              <w:left w:val="nil"/>
              <w:bottom w:val="nil"/>
              <w:right w:val="nil"/>
            </w:tcBorders>
            <w:shd w:val="clear" w:color="auto" w:fill="auto"/>
            <w:hideMark/>
          </w:tcPr>
          <w:p w14:paraId="0A329911" w14:textId="4D1ECCE0" w:rsidR="00A219A8" w:rsidRPr="00E92C8D" w:rsidRDefault="00A219A8" w:rsidP="00A219A8">
            <w:pPr>
              <w:spacing w:after="120"/>
              <w:jc w:val="right"/>
              <w:rPr>
                <w:rFonts w:ascii="Calibri" w:hAnsi="Calibri" w:cs="Calibri"/>
                <w:color w:val="000000"/>
                <w:sz w:val="16"/>
                <w:szCs w:val="16"/>
              </w:rPr>
            </w:pPr>
            <w:r w:rsidRPr="00A219A8">
              <w:rPr>
                <w:rFonts w:ascii="Calibri" w:hAnsi="Calibri" w:cs="Calibri"/>
                <w:color w:val="000000"/>
                <w:sz w:val="16"/>
                <w:szCs w:val="16"/>
              </w:rPr>
              <w:t>1.844.165</w:t>
            </w:r>
          </w:p>
        </w:tc>
      </w:tr>
      <w:tr w:rsidR="00A219A8" w:rsidRPr="005947BB" w14:paraId="65CA4DA2" w14:textId="77777777" w:rsidTr="007D40EC">
        <w:trPr>
          <w:trHeight w:hRule="exact" w:val="227"/>
        </w:trPr>
        <w:tc>
          <w:tcPr>
            <w:tcW w:w="3559" w:type="pct"/>
            <w:gridSpan w:val="3"/>
            <w:tcBorders>
              <w:top w:val="nil"/>
              <w:left w:val="nil"/>
              <w:bottom w:val="nil"/>
              <w:right w:val="nil"/>
            </w:tcBorders>
            <w:shd w:val="clear" w:color="auto" w:fill="auto"/>
            <w:noWrap/>
            <w:vAlign w:val="center"/>
            <w:hideMark/>
          </w:tcPr>
          <w:p w14:paraId="391D20CB" w14:textId="06E565D3" w:rsidR="00A219A8" w:rsidRPr="005947BB" w:rsidRDefault="00A219A8" w:rsidP="00A219A8">
            <w:pPr>
              <w:spacing w:after="120"/>
              <w:rPr>
                <w:rFonts w:ascii="Calibri" w:hAnsi="Calibri" w:cs="Calibri"/>
                <w:color w:val="000000"/>
                <w:sz w:val="16"/>
                <w:szCs w:val="16"/>
              </w:rPr>
            </w:pPr>
            <w:r w:rsidRPr="005947BB">
              <w:rPr>
                <w:rFonts w:ascii="Calibri" w:hAnsi="Calibri" w:cs="Calibri"/>
                <w:color w:val="000000"/>
                <w:sz w:val="16"/>
                <w:szCs w:val="16"/>
              </w:rPr>
              <w:t>Imposto a Recuperar (PIS e COFINS)</w:t>
            </w:r>
          </w:p>
        </w:tc>
        <w:tc>
          <w:tcPr>
            <w:tcW w:w="686" w:type="pct"/>
            <w:gridSpan w:val="2"/>
            <w:tcBorders>
              <w:top w:val="nil"/>
              <w:left w:val="nil"/>
              <w:bottom w:val="nil"/>
              <w:right w:val="nil"/>
            </w:tcBorders>
            <w:shd w:val="clear" w:color="auto" w:fill="auto"/>
            <w:noWrap/>
            <w:vAlign w:val="center"/>
            <w:hideMark/>
          </w:tcPr>
          <w:p w14:paraId="2D7FE9B5" w14:textId="35D4A4BE" w:rsidR="00A219A8" w:rsidRPr="005947BB" w:rsidRDefault="00A219A8" w:rsidP="00A219A8">
            <w:pPr>
              <w:spacing w:after="120"/>
              <w:jc w:val="right"/>
              <w:rPr>
                <w:rFonts w:ascii="Calibri" w:hAnsi="Calibri" w:cs="Calibri"/>
                <w:color w:val="000000"/>
                <w:sz w:val="16"/>
                <w:szCs w:val="16"/>
              </w:rPr>
            </w:pPr>
            <w:r>
              <w:rPr>
                <w:rFonts w:ascii="Calibri" w:hAnsi="Calibri" w:cs="Calibri"/>
                <w:color w:val="000000"/>
                <w:sz w:val="16"/>
                <w:szCs w:val="16"/>
              </w:rPr>
              <w:t>555.433</w:t>
            </w:r>
          </w:p>
        </w:tc>
        <w:tc>
          <w:tcPr>
            <w:tcW w:w="755" w:type="pct"/>
            <w:gridSpan w:val="2"/>
            <w:tcBorders>
              <w:top w:val="nil"/>
              <w:left w:val="nil"/>
              <w:bottom w:val="nil"/>
              <w:right w:val="nil"/>
            </w:tcBorders>
            <w:shd w:val="clear" w:color="auto" w:fill="auto"/>
            <w:hideMark/>
          </w:tcPr>
          <w:p w14:paraId="1F35960E" w14:textId="5AAFB0E5" w:rsidR="00A219A8" w:rsidRPr="005947BB" w:rsidRDefault="00A219A8" w:rsidP="00A219A8">
            <w:pPr>
              <w:spacing w:after="120"/>
              <w:jc w:val="right"/>
              <w:rPr>
                <w:rFonts w:ascii="Calibri" w:hAnsi="Calibri" w:cs="Calibri"/>
                <w:color w:val="000000"/>
                <w:sz w:val="16"/>
                <w:szCs w:val="16"/>
              </w:rPr>
            </w:pPr>
            <w:r w:rsidRPr="00A219A8">
              <w:rPr>
                <w:rFonts w:ascii="Calibri" w:hAnsi="Calibri" w:cs="Calibri"/>
                <w:color w:val="000000"/>
                <w:sz w:val="16"/>
                <w:szCs w:val="16"/>
              </w:rPr>
              <w:t>578.776</w:t>
            </w:r>
          </w:p>
        </w:tc>
      </w:tr>
      <w:tr w:rsidR="00A219A8" w:rsidRPr="005947BB" w14:paraId="51D4B125" w14:textId="77777777" w:rsidTr="007D40EC">
        <w:trPr>
          <w:trHeight w:hRule="exact" w:val="227"/>
        </w:trPr>
        <w:tc>
          <w:tcPr>
            <w:tcW w:w="3559" w:type="pct"/>
            <w:gridSpan w:val="3"/>
            <w:tcBorders>
              <w:top w:val="nil"/>
              <w:left w:val="nil"/>
              <w:bottom w:val="nil"/>
              <w:right w:val="nil"/>
            </w:tcBorders>
            <w:shd w:val="clear" w:color="auto" w:fill="auto"/>
            <w:noWrap/>
            <w:vAlign w:val="center"/>
          </w:tcPr>
          <w:p w14:paraId="7F8EA125" w14:textId="368F0A73" w:rsidR="00A219A8" w:rsidRPr="005947BB" w:rsidRDefault="00A219A8" w:rsidP="00A219A8">
            <w:pPr>
              <w:spacing w:after="120"/>
              <w:rPr>
                <w:rFonts w:ascii="Calibri" w:hAnsi="Calibri" w:cs="Calibri"/>
                <w:color w:val="000000"/>
                <w:sz w:val="16"/>
                <w:szCs w:val="16"/>
              </w:rPr>
            </w:pPr>
            <w:r w:rsidRPr="005947BB">
              <w:rPr>
                <w:rFonts w:ascii="Calibri" w:hAnsi="Calibri" w:cs="Calibri"/>
                <w:color w:val="000000"/>
                <w:sz w:val="16"/>
                <w:szCs w:val="16"/>
              </w:rPr>
              <w:t>Baixa de Tributos a recuperar/compensar</w:t>
            </w:r>
          </w:p>
        </w:tc>
        <w:tc>
          <w:tcPr>
            <w:tcW w:w="686" w:type="pct"/>
            <w:gridSpan w:val="2"/>
            <w:tcBorders>
              <w:top w:val="nil"/>
              <w:left w:val="nil"/>
              <w:bottom w:val="nil"/>
              <w:right w:val="nil"/>
            </w:tcBorders>
            <w:shd w:val="clear" w:color="auto" w:fill="auto"/>
            <w:noWrap/>
            <w:vAlign w:val="center"/>
          </w:tcPr>
          <w:p w14:paraId="1DC91516" w14:textId="5C04419F" w:rsidR="00A219A8" w:rsidRPr="005947BB" w:rsidRDefault="00A219A8" w:rsidP="00A219A8">
            <w:pPr>
              <w:spacing w:after="120"/>
              <w:jc w:val="right"/>
              <w:rPr>
                <w:rFonts w:ascii="Calibri" w:hAnsi="Calibri" w:cs="Calibri"/>
                <w:color w:val="000000"/>
                <w:sz w:val="16"/>
                <w:szCs w:val="16"/>
              </w:rPr>
            </w:pPr>
            <w:r w:rsidRPr="005947BB">
              <w:rPr>
                <w:rFonts w:ascii="Calibri" w:hAnsi="Calibri" w:cs="Calibri"/>
                <w:color w:val="000000"/>
                <w:sz w:val="16"/>
                <w:szCs w:val="16"/>
              </w:rPr>
              <w:t>(</w:t>
            </w:r>
            <w:r>
              <w:rPr>
                <w:rFonts w:ascii="Calibri" w:hAnsi="Calibri" w:cs="Calibri"/>
                <w:color w:val="000000"/>
                <w:sz w:val="16"/>
                <w:szCs w:val="16"/>
              </w:rPr>
              <w:t>475.881</w:t>
            </w:r>
            <w:r w:rsidRPr="005947BB">
              <w:rPr>
                <w:rFonts w:ascii="Calibri" w:hAnsi="Calibri" w:cs="Calibri"/>
                <w:color w:val="000000"/>
                <w:sz w:val="16"/>
                <w:szCs w:val="16"/>
              </w:rPr>
              <w:t>)</w:t>
            </w:r>
          </w:p>
        </w:tc>
        <w:tc>
          <w:tcPr>
            <w:tcW w:w="755" w:type="pct"/>
            <w:gridSpan w:val="2"/>
            <w:tcBorders>
              <w:top w:val="nil"/>
              <w:left w:val="nil"/>
              <w:bottom w:val="nil"/>
              <w:right w:val="nil"/>
            </w:tcBorders>
            <w:shd w:val="clear" w:color="auto" w:fill="auto"/>
          </w:tcPr>
          <w:p w14:paraId="463A9E38" w14:textId="371FF4CD" w:rsidR="00A219A8" w:rsidRPr="005947BB" w:rsidRDefault="00A219A8" w:rsidP="00A219A8">
            <w:pPr>
              <w:spacing w:after="120"/>
              <w:jc w:val="right"/>
              <w:rPr>
                <w:rFonts w:ascii="Calibri" w:hAnsi="Calibri" w:cs="Calibri"/>
                <w:color w:val="000000"/>
                <w:sz w:val="16"/>
                <w:szCs w:val="16"/>
              </w:rPr>
            </w:pPr>
            <w:r w:rsidRPr="00A219A8">
              <w:rPr>
                <w:rFonts w:ascii="Calibri" w:hAnsi="Calibri" w:cs="Calibri"/>
                <w:color w:val="000000"/>
                <w:sz w:val="16"/>
                <w:szCs w:val="16"/>
              </w:rPr>
              <w:t>(197.036)</w:t>
            </w:r>
          </w:p>
        </w:tc>
      </w:tr>
      <w:tr w:rsidR="00A219A8" w:rsidRPr="00411555" w14:paraId="483D9C64" w14:textId="77777777" w:rsidTr="007D40EC">
        <w:trPr>
          <w:trHeight w:hRule="exact" w:val="227"/>
        </w:trPr>
        <w:tc>
          <w:tcPr>
            <w:tcW w:w="3559" w:type="pct"/>
            <w:gridSpan w:val="3"/>
            <w:tcBorders>
              <w:top w:val="nil"/>
              <w:left w:val="nil"/>
              <w:bottom w:val="nil"/>
              <w:right w:val="nil"/>
            </w:tcBorders>
            <w:shd w:val="clear" w:color="auto" w:fill="auto"/>
            <w:noWrap/>
            <w:vAlign w:val="center"/>
            <w:hideMark/>
          </w:tcPr>
          <w:p w14:paraId="1D1122AF" w14:textId="4C07B80F" w:rsidR="00A219A8" w:rsidRPr="00411555" w:rsidRDefault="00A219A8" w:rsidP="00A219A8">
            <w:pPr>
              <w:spacing w:after="120"/>
              <w:rPr>
                <w:rFonts w:ascii="Calibri" w:hAnsi="Calibri" w:cs="Calibri"/>
                <w:color w:val="000000"/>
                <w:sz w:val="16"/>
                <w:szCs w:val="16"/>
              </w:rPr>
            </w:pPr>
            <w:r w:rsidRPr="00411555">
              <w:rPr>
                <w:rFonts w:ascii="Calibri" w:hAnsi="Calibri" w:cs="Calibri"/>
                <w:color w:val="000000"/>
                <w:sz w:val="16"/>
                <w:szCs w:val="16"/>
              </w:rPr>
              <w:t xml:space="preserve">Baixa de Ativos – Imobilizado e </w:t>
            </w:r>
            <w:r w:rsidRPr="0099441A">
              <w:rPr>
                <w:rFonts w:ascii="Calibri" w:hAnsi="Calibri" w:cs="Calibri"/>
                <w:color w:val="000000"/>
                <w:sz w:val="16"/>
                <w:szCs w:val="16"/>
              </w:rPr>
              <w:t xml:space="preserve">Intangível (Nota </w:t>
            </w:r>
            <w:r w:rsidR="0099441A">
              <w:rPr>
                <w:rFonts w:ascii="Calibri" w:hAnsi="Calibri" w:cs="Calibri"/>
                <w:color w:val="000000"/>
                <w:sz w:val="16"/>
                <w:szCs w:val="16"/>
              </w:rPr>
              <w:t>9</w:t>
            </w:r>
            <w:r w:rsidRPr="0099441A">
              <w:rPr>
                <w:rFonts w:ascii="Calibri" w:hAnsi="Calibri" w:cs="Calibri"/>
                <w:color w:val="000000"/>
                <w:sz w:val="16"/>
                <w:szCs w:val="16"/>
              </w:rPr>
              <w:t>)</w:t>
            </w:r>
          </w:p>
        </w:tc>
        <w:tc>
          <w:tcPr>
            <w:tcW w:w="686" w:type="pct"/>
            <w:gridSpan w:val="2"/>
            <w:tcBorders>
              <w:top w:val="nil"/>
              <w:left w:val="nil"/>
              <w:bottom w:val="nil"/>
              <w:right w:val="nil"/>
            </w:tcBorders>
            <w:shd w:val="clear" w:color="auto" w:fill="auto"/>
            <w:noWrap/>
            <w:vAlign w:val="center"/>
            <w:hideMark/>
          </w:tcPr>
          <w:p w14:paraId="356C5D74" w14:textId="6A735C29" w:rsidR="00A219A8" w:rsidRPr="00411555" w:rsidRDefault="00A219A8" w:rsidP="00A219A8">
            <w:pPr>
              <w:spacing w:after="120"/>
              <w:jc w:val="right"/>
              <w:rPr>
                <w:rFonts w:ascii="Calibri" w:hAnsi="Calibri" w:cs="Calibri"/>
                <w:color w:val="000000"/>
                <w:sz w:val="16"/>
                <w:szCs w:val="16"/>
              </w:rPr>
            </w:pPr>
            <w:r>
              <w:rPr>
                <w:rFonts w:ascii="Calibri" w:hAnsi="Calibri" w:cs="Calibri"/>
                <w:color w:val="000000"/>
                <w:sz w:val="16"/>
                <w:szCs w:val="16"/>
              </w:rPr>
              <w:t>(6.</w:t>
            </w:r>
            <w:r w:rsidR="006C5928">
              <w:rPr>
                <w:rFonts w:ascii="Calibri" w:hAnsi="Calibri" w:cs="Calibri"/>
                <w:color w:val="000000"/>
                <w:sz w:val="16"/>
                <w:szCs w:val="16"/>
              </w:rPr>
              <w:t>598.523</w:t>
            </w:r>
            <w:r>
              <w:rPr>
                <w:rFonts w:ascii="Calibri" w:hAnsi="Calibri" w:cs="Calibri"/>
                <w:color w:val="000000"/>
                <w:sz w:val="16"/>
                <w:szCs w:val="16"/>
              </w:rPr>
              <w:t>)</w:t>
            </w:r>
          </w:p>
        </w:tc>
        <w:tc>
          <w:tcPr>
            <w:tcW w:w="755" w:type="pct"/>
            <w:gridSpan w:val="2"/>
            <w:tcBorders>
              <w:top w:val="nil"/>
              <w:left w:val="nil"/>
              <w:bottom w:val="nil"/>
              <w:right w:val="nil"/>
            </w:tcBorders>
            <w:shd w:val="clear" w:color="auto" w:fill="auto"/>
            <w:hideMark/>
          </w:tcPr>
          <w:p w14:paraId="194A08BB" w14:textId="59809303" w:rsidR="00A219A8" w:rsidRPr="00411555" w:rsidRDefault="00A219A8" w:rsidP="00A219A8">
            <w:pPr>
              <w:spacing w:after="120"/>
              <w:jc w:val="right"/>
              <w:rPr>
                <w:rFonts w:ascii="Calibri" w:hAnsi="Calibri" w:cs="Calibri"/>
                <w:color w:val="000000"/>
                <w:sz w:val="16"/>
                <w:szCs w:val="16"/>
              </w:rPr>
            </w:pPr>
            <w:r w:rsidRPr="00A219A8">
              <w:rPr>
                <w:rFonts w:ascii="Calibri" w:hAnsi="Calibri" w:cs="Calibri"/>
                <w:color w:val="000000"/>
                <w:sz w:val="16"/>
                <w:szCs w:val="16"/>
              </w:rPr>
              <w:t>(167.491)</w:t>
            </w:r>
          </w:p>
        </w:tc>
      </w:tr>
      <w:tr w:rsidR="00AD39BE" w:rsidRPr="00411555" w14:paraId="491AD069" w14:textId="77777777" w:rsidTr="00B92F90">
        <w:trPr>
          <w:trHeight w:hRule="exact" w:val="227"/>
        </w:trPr>
        <w:tc>
          <w:tcPr>
            <w:tcW w:w="3454" w:type="pct"/>
            <w:gridSpan w:val="2"/>
            <w:tcBorders>
              <w:top w:val="nil"/>
              <w:left w:val="nil"/>
              <w:bottom w:val="single" w:sz="8" w:space="0" w:color="auto"/>
              <w:right w:val="nil"/>
            </w:tcBorders>
            <w:shd w:val="clear" w:color="auto" w:fill="auto"/>
            <w:noWrap/>
            <w:vAlign w:val="center"/>
            <w:hideMark/>
          </w:tcPr>
          <w:p w14:paraId="7EA5737A" w14:textId="200EEA44" w:rsidR="00AD39BE" w:rsidRPr="00411555" w:rsidRDefault="00AD39BE" w:rsidP="00937ED9">
            <w:pPr>
              <w:spacing w:after="120"/>
              <w:rPr>
                <w:rFonts w:ascii="Calibri" w:hAnsi="Calibri" w:cs="Calibri"/>
                <w:color w:val="000000"/>
                <w:sz w:val="16"/>
                <w:szCs w:val="16"/>
              </w:rPr>
            </w:pPr>
            <w:r w:rsidRPr="00411555">
              <w:rPr>
                <w:rFonts w:ascii="Calibri" w:hAnsi="Calibri" w:cs="Calibri"/>
                <w:color w:val="000000"/>
                <w:sz w:val="16"/>
                <w:szCs w:val="16"/>
              </w:rPr>
              <w:t>Resultado da Equivalência Patrimonial</w:t>
            </w:r>
            <w:r w:rsidR="0015707F">
              <w:rPr>
                <w:rFonts w:ascii="Calibri" w:hAnsi="Calibri" w:cs="Calibri"/>
                <w:color w:val="000000"/>
                <w:sz w:val="16"/>
                <w:szCs w:val="16"/>
              </w:rPr>
              <w:t xml:space="preserve"> </w:t>
            </w:r>
          </w:p>
        </w:tc>
        <w:tc>
          <w:tcPr>
            <w:tcW w:w="105" w:type="pct"/>
            <w:tcBorders>
              <w:top w:val="nil"/>
              <w:left w:val="nil"/>
              <w:bottom w:val="nil"/>
              <w:right w:val="nil"/>
            </w:tcBorders>
            <w:shd w:val="clear" w:color="auto" w:fill="auto"/>
            <w:noWrap/>
            <w:vAlign w:val="center"/>
            <w:hideMark/>
          </w:tcPr>
          <w:p w14:paraId="2C4C16A4" w14:textId="77777777" w:rsidR="00AD39BE" w:rsidRPr="00411555" w:rsidRDefault="00AD39BE" w:rsidP="00937ED9">
            <w:pPr>
              <w:spacing w:after="120"/>
              <w:rPr>
                <w:rFonts w:ascii="Calibri" w:hAnsi="Calibri" w:cs="Calibri"/>
                <w:color w:val="000000"/>
                <w:sz w:val="16"/>
                <w:szCs w:val="16"/>
              </w:rPr>
            </w:pPr>
          </w:p>
        </w:tc>
        <w:tc>
          <w:tcPr>
            <w:tcW w:w="686" w:type="pct"/>
            <w:gridSpan w:val="2"/>
            <w:tcBorders>
              <w:top w:val="nil"/>
              <w:left w:val="nil"/>
              <w:bottom w:val="nil"/>
              <w:right w:val="nil"/>
            </w:tcBorders>
            <w:shd w:val="clear" w:color="auto" w:fill="auto"/>
            <w:noWrap/>
            <w:vAlign w:val="center"/>
            <w:hideMark/>
          </w:tcPr>
          <w:p w14:paraId="7E0D6D36" w14:textId="50C3DAD6" w:rsidR="00AD39BE" w:rsidRPr="00411555" w:rsidRDefault="0015707F" w:rsidP="00937ED9">
            <w:pPr>
              <w:spacing w:after="120"/>
              <w:jc w:val="right"/>
              <w:rPr>
                <w:rFonts w:ascii="Calibri" w:hAnsi="Calibri" w:cs="Calibri"/>
                <w:color w:val="000000"/>
                <w:sz w:val="16"/>
                <w:szCs w:val="16"/>
              </w:rPr>
            </w:pPr>
            <w:r>
              <w:rPr>
                <w:rFonts w:ascii="Calibri" w:hAnsi="Calibri" w:cs="Calibri"/>
                <w:color w:val="000000"/>
                <w:sz w:val="16"/>
                <w:szCs w:val="16"/>
              </w:rPr>
              <w:t>(</w:t>
            </w:r>
            <w:r w:rsidR="00A219A8">
              <w:rPr>
                <w:rFonts w:ascii="Calibri" w:hAnsi="Calibri" w:cs="Calibri"/>
                <w:color w:val="000000"/>
                <w:sz w:val="16"/>
                <w:szCs w:val="16"/>
              </w:rPr>
              <w:t>19.303.670</w:t>
            </w:r>
            <w:r>
              <w:rPr>
                <w:rFonts w:ascii="Calibri" w:hAnsi="Calibri" w:cs="Calibri"/>
                <w:color w:val="000000"/>
                <w:sz w:val="16"/>
                <w:szCs w:val="16"/>
              </w:rPr>
              <w:t>)</w:t>
            </w:r>
          </w:p>
        </w:tc>
        <w:tc>
          <w:tcPr>
            <w:tcW w:w="755" w:type="pct"/>
            <w:gridSpan w:val="2"/>
            <w:tcBorders>
              <w:top w:val="nil"/>
              <w:left w:val="nil"/>
              <w:bottom w:val="nil"/>
              <w:right w:val="nil"/>
            </w:tcBorders>
            <w:shd w:val="clear" w:color="auto" w:fill="auto"/>
            <w:vAlign w:val="center"/>
            <w:hideMark/>
          </w:tcPr>
          <w:p w14:paraId="6423B670" w14:textId="7E489BFB" w:rsidR="00AD39BE" w:rsidRPr="00411555" w:rsidRDefault="00AD39BE" w:rsidP="00937ED9">
            <w:pPr>
              <w:spacing w:after="120"/>
              <w:jc w:val="right"/>
              <w:rPr>
                <w:rFonts w:ascii="Calibri" w:hAnsi="Calibri" w:cs="Calibri"/>
                <w:color w:val="000000"/>
                <w:sz w:val="16"/>
                <w:szCs w:val="16"/>
              </w:rPr>
            </w:pPr>
            <w:r w:rsidRPr="00411555">
              <w:rPr>
                <w:rFonts w:ascii="Calibri" w:hAnsi="Calibri" w:cs="Calibri"/>
                <w:color w:val="000000"/>
                <w:sz w:val="16"/>
                <w:szCs w:val="16"/>
              </w:rPr>
              <w:t>(</w:t>
            </w:r>
            <w:r w:rsidR="00A219A8">
              <w:rPr>
                <w:rFonts w:ascii="Calibri" w:hAnsi="Calibri" w:cs="Calibri"/>
                <w:color w:val="000000"/>
                <w:sz w:val="16"/>
                <w:szCs w:val="16"/>
              </w:rPr>
              <w:t>32.248.507</w:t>
            </w:r>
            <w:r w:rsidRPr="00411555">
              <w:rPr>
                <w:rFonts w:ascii="Calibri" w:hAnsi="Calibri" w:cs="Calibri"/>
                <w:color w:val="000000"/>
                <w:sz w:val="16"/>
                <w:szCs w:val="16"/>
              </w:rPr>
              <w:t>)</w:t>
            </w:r>
          </w:p>
        </w:tc>
      </w:tr>
      <w:tr w:rsidR="00AD39BE" w:rsidRPr="00411555" w14:paraId="47F4BE26" w14:textId="77777777" w:rsidTr="00B92F90">
        <w:trPr>
          <w:trHeight w:hRule="exact" w:val="227"/>
        </w:trPr>
        <w:tc>
          <w:tcPr>
            <w:tcW w:w="3454" w:type="pct"/>
            <w:gridSpan w:val="2"/>
            <w:tcBorders>
              <w:top w:val="nil"/>
              <w:left w:val="nil"/>
              <w:bottom w:val="single" w:sz="8" w:space="0" w:color="auto"/>
              <w:right w:val="nil"/>
            </w:tcBorders>
            <w:shd w:val="clear" w:color="auto" w:fill="auto"/>
            <w:noWrap/>
            <w:vAlign w:val="center"/>
            <w:hideMark/>
          </w:tcPr>
          <w:p w14:paraId="24BA314D" w14:textId="77777777" w:rsidR="00AD39BE" w:rsidRPr="00411555" w:rsidRDefault="00AD39BE" w:rsidP="00937ED9">
            <w:pPr>
              <w:spacing w:after="120"/>
              <w:rPr>
                <w:rFonts w:ascii="Calibri" w:hAnsi="Calibri" w:cs="Calibri"/>
                <w:b/>
                <w:bCs/>
                <w:color w:val="000000"/>
                <w:sz w:val="16"/>
                <w:szCs w:val="16"/>
              </w:rPr>
            </w:pPr>
            <w:r w:rsidRPr="00411555">
              <w:rPr>
                <w:rFonts w:ascii="Calibri" w:hAnsi="Calibri" w:cs="Calibri"/>
                <w:b/>
                <w:bCs/>
                <w:color w:val="000000"/>
                <w:sz w:val="16"/>
                <w:szCs w:val="16"/>
              </w:rPr>
              <w:t xml:space="preserve"> TOTAL </w:t>
            </w:r>
          </w:p>
        </w:tc>
        <w:tc>
          <w:tcPr>
            <w:tcW w:w="105" w:type="pct"/>
            <w:tcBorders>
              <w:top w:val="single" w:sz="8" w:space="0" w:color="auto"/>
              <w:left w:val="nil"/>
              <w:bottom w:val="single" w:sz="8" w:space="0" w:color="auto"/>
              <w:right w:val="nil"/>
            </w:tcBorders>
            <w:shd w:val="clear" w:color="auto" w:fill="auto"/>
            <w:noWrap/>
            <w:vAlign w:val="center"/>
            <w:hideMark/>
          </w:tcPr>
          <w:p w14:paraId="160212B2" w14:textId="77777777" w:rsidR="00AD39BE" w:rsidRPr="00411555" w:rsidRDefault="00AD39B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 </w:t>
            </w:r>
          </w:p>
        </w:tc>
        <w:tc>
          <w:tcPr>
            <w:tcW w:w="686" w:type="pct"/>
            <w:gridSpan w:val="2"/>
            <w:tcBorders>
              <w:top w:val="single" w:sz="8" w:space="0" w:color="auto"/>
              <w:left w:val="nil"/>
              <w:bottom w:val="single" w:sz="8" w:space="0" w:color="auto"/>
              <w:right w:val="nil"/>
            </w:tcBorders>
            <w:shd w:val="clear" w:color="auto" w:fill="auto"/>
            <w:noWrap/>
            <w:vAlign w:val="center"/>
            <w:hideMark/>
          </w:tcPr>
          <w:p w14:paraId="6893E139" w14:textId="4C8F35A3" w:rsidR="00AD39BE" w:rsidRPr="00411555" w:rsidRDefault="006C5928" w:rsidP="00937ED9">
            <w:pPr>
              <w:spacing w:after="120"/>
              <w:jc w:val="right"/>
              <w:rPr>
                <w:rFonts w:ascii="Calibri" w:hAnsi="Calibri" w:cs="Calibri"/>
                <w:b/>
                <w:bCs/>
                <w:color w:val="000000"/>
                <w:sz w:val="16"/>
                <w:szCs w:val="16"/>
              </w:rPr>
            </w:pPr>
            <w:r>
              <w:rPr>
                <w:rFonts w:ascii="Calibri" w:hAnsi="Calibri" w:cs="Calibri"/>
                <w:b/>
                <w:bCs/>
                <w:color w:val="000000"/>
                <w:sz w:val="16"/>
                <w:szCs w:val="16"/>
              </w:rPr>
              <w:t>8.176.980</w:t>
            </w:r>
          </w:p>
        </w:tc>
        <w:tc>
          <w:tcPr>
            <w:tcW w:w="755" w:type="pct"/>
            <w:gridSpan w:val="2"/>
            <w:tcBorders>
              <w:top w:val="single" w:sz="8" w:space="0" w:color="auto"/>
              <w:left w:val="nil"/>
              <w:bottom w:val="single" w:sz="8" w:space="0" w:color="auto"/>
              <w:right w:val="nil"/>
            </w:tcBorders>
            <w:shd w:val="clear" w:color="auto" w:fill="auto"/>
            <w:vAlign w:val="center"/>
            <w:hideMark/>
          </w:tcPr>
          <w:p w14:paraId="0C342825" w14:textId="3ABED145" w:rsidR="00AD39BE" w:rsidRPr="00411555" w:rsidRDefault="00820AF8" w:rsidP="00937ED9">
            <w:pPr>
              <w:spacing w:after="120"/>
              <w:jc w:val="right"/>
              <w:rPr>
                <w:rFonts w:ascii="Calibri" w:hAnsi="Calibri" w:cs="Calibri"/>
                <w:b/>
                <w:bCs/>
                <w:color w:val="000000"/>
                <w:sz w:val="16"/>
                <w:szCs w:val="16"/>
              </w:rPr>
            </w:pPr>
            <w:r>
              <w:rPr>
                <w:rFonts w:ascii="Calibri" w:hAnsi="Calibri" w:cs="Calibri"/>
                <w:b/>
                <w:bCs/>
                <w:color w:val="000000"/>
                <w:sz w:val="16"/>
                <w:szCs w:val="16"/>
              </w:rPr>
              <w:t>(</w:t>
            </w:r>
            <w:r w:rsidR="00A219A8">
              <w:rPr>
                <w:rFonts w:ascii="Calibri" w:hAnsi="Calibri" w:cs="Calibri"/>
                <w:b/>
                <w:bCs/>
                <w:color w:val="000000"/>
                <w:sz w:val="16"/>
                <w:szCs w:val="16"/>
              </w:rPr>
              <w:t>91.574.272</w:t>
            </w:r>
            <w:r>
              <w:rPr>
                <w:rFonts w:ascii="Calibri" w:hAnsi="Calibri" w:cs="Calibri"/>
                <w:b/>
                <w:bCs/>
                <w:color w:val="000000"/>
                <w:sz w:val="16"/>
                <w:szCs w:val="16"/>
              </w:rPr>
              <w:t>)</w:t>
            </w:r>
          </w:p>
        </w:tc>
      </w:tr>
      <w:tr w:rsidR="00AE735D" w:rsidRPr="00411555" w14:paraId="109F2109" w14:textId="77777777" w:rsidTr="00AE735D">
        <w:trPr>
          <w:trHeight w:val="300"/>
        </w:trPr>
        <w:tc>
          <w:tcPr>
            <w:tcW w:w="3064" w:type="pct"/>
            <w:vMerge w:val="restart"/>
            <w:tcBorders>
              <w:top w:val="nil"/>
              <w:left w:val="nil"/>
              <w:bottom w:val="single" w:sz="8" w:space="0" w:color="000000"/>
              <w:right w:val="nil"/>
            </w:tcBorders>
            <w:shd w:val="clear" w:color="auto" w:fill="auto"/>
            <w:noWrap/>
            <w:vAlign w:val="bottom"/>
            <w:hideMark/>
          </w:tcPr>
          <w:p w14:paraId="728FEA1A" w14:textId="3C572E53" w:rsidR="00AE735D" w:rsidRDefault="00D22F5E" w:rsidP="00B046A7">
            <w:pPr>
              <w:spacing w:before="120" w:after="120"/>
              <w:rPr>
                <w:rFonts w:ascii="Calibri" w:hAnsi="Calibri" w:cs="Calibri"/>
                <w:b/>
                <w:sz w:val="22"/>
                <w:szCs w:val="22"/>
              </w:rPr>
            </w:pPr>
            <w:r w:rsidRPr="00411555">
              <w:rPr>
                <w:rFonts w:ascii="Calibri" w:hAnsi="Calibri" w:cs="Calibri"/>
                <w:b/>
                <w:sz w:val="22"/>
                <w:szCs w:val="22"/>
              </w:rPr>
              <w:t xml:space="preserve">NOTA </w:t>
            </w:r>
            <w:r w:rsidR="001A1B68" w:rsidRPr="00411555">
              <w:rPr>
                <w:rFonts w:ascii="Calibri" w:hAnsi="Calibri" w:cs="Calibri"/>
                <w:b/>
                <w:sz w:val="22"/>
                <w:szCs w:val="22"/>
              </w:rPr>
              <w:t>2</w:t>
            </w:r>
            <w:r w:rsidR="005B7086">
              <w:rPr>
                <w:rFonts w:ascii="Calibri" w:hAnsi="Calibri" w:cs="Calibri"/>
                <w:b/>
                <w:sz w:val="22"/>
                <w:szCs w:val="22"/>
              </w:rPr>
              <w:t>1</w:t>
            </w:r>
            <w:r w:rsidR="001E6E1B" w:rsidRPr="00411555">
              <w:rPr>
                <w:rFonts w:ascii="Calibri" w:hAnsi="Calibri" w:cs="Calibri"/>
                <w:b/>
                <w:sz w:val="22"/>
                <w:szCs w:val="22"/>
              </w:rPr>
              <w:t xml:space="preserve"> – </w:t>
            </w:r>
            <w:r w:rsidR="006B5C31">
              <w:rPr>
                <w:rFonts w:ascii="Calibri" w:hAnsi="Calibri" w:cs="Calibri"/>
                <w:b/>
                <w:sz w:val="22"/>
                <w:szCs w:val="22"/>
              </w:rPr>
              <w:t>RECEITAS FEINANCEIRAS</w:t>
            </w:r>
            <w:r w:rsidR="001E6E1B" w:rsidRPr="00411555">
              <w:rPr>
                <w:rFonts w:ascii="Calibri" w:hAnsi="Calibri" w:cs="Calibri"/>
                <w:b/>
                <w:sz w:val="22"/>
                <w:szCs w:val="22"/>
              </w:rPr>
              <w:t xml:space="preserve"> </w:t>
            </w:r>
          </w:p>
          <w:p w14:paraId="37A0A42A" w14:textId="25AE8B8B" w:rsidR="00AE735D" w:rsidRPr="00411555" w:rsidRDefault="00AE735D" w:rsidP="00B046A7">
            <w:pPr>
              <w:rPr>
                <w:rFonts w:ascii="Calibri" w:hAnsi="Calibri" w:cs="Calibri"/>
                <w:b/>
                <w:bCs/>
                <w:color w:val="000000"/>
                <w:sz w:val="16"/>
                <w:szCs w:val="16"/>
              </w:rPr>
            </w:pPr>
            <w:r w:rsidRPr="00411555">
              <w:rPr>
                <w:rFonts w:ascii="Calibri" w:hAnsi="Calibri" w:cs="Calibri"/>
                <w:b/>
                <w:bCs/>
                <w:color w:val="000000"/>
                <w:sz w:val="16"/>
                <w:szCs w:val="16"/>
              </w:rPr>
              <w:t>RECEITAS FINANCEIRAS</w:t>
            </w:r>
          </w:p>
        </w:tc>
        <w:tc>
          <w:tcPr>
            <w:tcW w:w="506" w:type="pct"/>
            <w:gridSpan w:val="3"/>
            <w:vMerge w:val="restart"/>
            <w:tcBorders>
              <w:top w:val="nil"/>
              <w:left w:val="nil"/>
              <w:bottom w:val="single" w:sz="8" w:space="0" w:color="000000"/>
              <w:right w:val="nil"/>
            </w:tcBorders>
            <w:shd w:val="clear" w:color="auto" w:fill="auto"/>
            <w:vAlign w:val="bottom"/>
          </w:tcPr>
          <w:p w14:paraId="28C6A757" w14:textId="77777777" w:rsidR="00AE735D" w:rsidRPr="00411555" w:rsidRDefault="00AE735D" w:rsidP="00B046A7">
            <w:pPr>
              <w:jc w:val="right"/>
              <w:rPr>
                <w:rFonts w:ascii="Calibri" w:hAnsi="Calibri" w:cs="Calibri"/>
                <w:b/>
                <w:bCs/>
                <w:color w:val="000000"/>
                <w:sz w:val="16"/>
                <w:szCs w:val="16"/>
              </w:rPr>
            </w:pPr>
          </w:p>
        </w:tc>
        <w:tc>
          <w:tcPr>
            <w:tcW w:w="715" w:type="pct"/>
            <w:gridSpan w:val="2"/>
            <w:vMerge w:val="restart"/>
            <w:tcBorders>
              <w:top w:val="nil"/>
              <w:left w:val="nil"/>
              <w:bottom w:val="single" w:sz="8" w:space="0" w:color="000000"/>
              <w:right w:val="nil"/>
            </w:tcBorders>
            <w:shd w:val="clear" w:color="auto" w:fill="auto"/>
            <w:vAlign w:val="bottom"/>
          </w:tcPr>
          <w:p w14:paraId="680E8467" w14:textId="760D7601" w:rsidR="00AE735D" w:rsidRPr="00411555" w:rsidRDefault="00C24B9C" w:rsidP="00B046A7">
            <w:pPr>
              <w:jc w:val="right"/>
              <w:rPr>
                <w:rFonts w:ascii="Calibri" w:hAnsi="Calibri" w:cs="Calibri"/>
                <w:b/>
                <w:bCs/>
                <w:color w:val="000000"/>
                <w:sz w:val="16"/>
                <w:szCs w:val="16"/>
              </w:rPr>
            </w:pPr>
            <w:r w:rsidRPr="00411555">
              <w:rPr>
                <w:rFonts w:ascii="Calibri" w:hAnsi="Calibri" w:cs="Calibri"/>
                <w:b/>
                <w:bCs/>
                <w:color w:val="000000"/>
                <w:sz w:val="16"/>
                <w:szCs w:val="16"/>
              </w:rPr>
              <w:t>3</w:t>
            </w:r>
            <w:r w:rsidR="002A599C">
              <w:rPr>
                <w:rFonts w:ascii="Calibri" w:hAnsi="Calibri" w:cs="Calibri"/>
                <w:b/>
                <w:bCs/>
                <w:color w:val="000000"/>
                <w:sz w:val="16"/>
                <w:szCs w:val="16"/>
              </w:rPr>
              <w:t>0</w:t>
            </w:r>
            <w:r w:rsidRPr="00411555">
              <w:rPr>
                <w:rFonts w:ascii="Calibri" w:hAnsi="Calibri" w:cs="Calibri"/>
                <w:b/>
                <w:bCs/>
                <w:color w:val="000000"/>
                <w:sz w:val="16"/>
                <w:szCs w:val="16"/>
              </w:rPr>
              <w:t>/</w:t>
            </w:r>
            <w:r w:rsidR="007708B6">
              <w:rPr>
                <w:rFonts w:ascii="Calibri" w:hAnsi="Calibri" w:cs="Calibri"/>
                <w:b/>
                <w:bCs/>
                <w:color w:val="000000"/>
                <w:sz w:val="16"/>
                <w:szCs w:val="16"/>
              </w:rPr>
              <w:t>0</w:t>
            </w:r>
            <w:r w:rsidR="00E541D7">
              <w:rPr>
                <w:rFonts w:ascii="Calibri" w:hAnsi="Calibri" w:cs="Calibri"/>
                <w:b/>
                <w:bCs/>
                <w:color w:val="000000"/>
                <w:sz w:val="16"/>
                <w:szCs w:val="16"/>
              </w:rPr>
              <w:t>9</w:t>
            </w:r>
            <w:r w:rsidRPr="00411555">
              <w:rPr>
                <w:rFonts w:ascii="Calibri" w:hAnsi="Calibri" w:cs="Calibri"/>
                <w:b/>
                <w:bCs/>
                <w:color w:val="000000"/>
                <w:sz w:val="16"/>
                <w:szCs w:val="16"/>
              </w:rPr>
              <w:t>/202</w:t>
            </w:r>
            <w:r w:rsidR="007708B6">
              <w:rPr>
                <w:rFonts w:ascii="Calibri" w:hAnsi="Calibri" w:cs="Calibri"/>
                <w:b/>
                <w:bCs/>
                <w:color w:val="000000"/>
                <w:sz w:val="16"/>
                <w:szCs w:val="16"/>
              </w:rPr>
              <w:t>2</w:t>
            </w:r>
          </w:p>
        </w:tc>
        <w:tc>
          <w:tcPr>
            <w:tcW w:w="715" w:type="pct"/>
            <w:tcBorders>
              <w:top w:val="nil"/>
              <w:left w:val="nil"/>
              <w:right w:val="nil"/>
            </w:tcBorders>
            <w:vAlign w:val="bottom"/>
          </w:tcPr>
          <w:p w14:paraId="0FFA4E6B" w14:textId="77777777" w:rsidR="00AE735D" w:rsidRPr="00411555" w:rsidRDefault="00AE735D" w:rsidP="00B046A7">
            <w:pPr>
              <w:jc w:val="right"/>
              <w:rPr>
                <w:rFonts w:ascii="Calibri" w:hAnsi="Calibri" w:cs="Calibri"/>
                <w:b/>
                <w:bCs/>
                <w:color w:val="000000"/>
                <w:sz w:val="16"/>
                <w:szCs w:val="16"/>
              </w:rPr>
            </w:pPr>
          </w:p>
        </w:tc>
      </w:tr>
      <w:tr w:rsidR="00AE735D" w:rsidRPr="00411555" w14:paraId="11E28711" w14:textId="77777777" w:rsidTr="00AE735D">
        <w:trPr>
          <w:trHeight w:val="315"/>
        </w:trPr>
        <w:tc>
          <w:tcPr>
            <w:tcW w:w="3064" w:type="pct"/>
            <w:vMerge/>
            <w:tcBorders>
              <w:top w:val="nil"/>
              <w:left w:val="nil"/>
              <w:bottom w:val="single" w:sz="8" w:space="0" w:color="000000"/>
              <w:right w:val="nil"/>
            </w:tcBorders>
            <w:vAlign w:val="bottom"/>
            <w:hideMark/>
          </w:tcPr>
          <w:p w14:paraId="43C318A8" w14:textId="77777777" w:rsidR="00AE735D" w:rsidRPr="00411555" w:rsidRDefault="00AE735D" w:rsidP="00B046A7">
            <w:pPr>
              <w:rPr>
                <w:rFonts w:ascii="Calibri" w:hAnsi="Calibri" w:cs="Calibri"/>
                <w:b/>
                <w:bCs/>
                <w:color w:val="000000"/>
                <w:sz w:val="16"/>
                <w:szCs w:val="16"/>
              </w:rPr>
            </w:pPr>
          </w:p>
        </w:tc>
        <w:tc>
          <w:tcPr>
            <w:tcW w:w="506" w:type="pct"/>
            <w:gridSpan w:val="3"/>
            <w:vMerge/>
            <w:tcBorders>
              <w:top w:val="nil"/>
              <w:left w:val="nil"/>
              <w:bottom w:val="single" w:sz="8" w:space="0" w:color="000000"/>
              <w:right w:val="nil"/>
            </w:tcBorders>
            <w:vAlign w:val="bottom"/>
          </w:tcPr>
          <w:p w14:paraId="2E95BC53" w14:textId="77777777" w:rsidR="00AE735D" w:rsidRPr="00411555" w:rsidRDefault="00AE735D" w:rsidP="00B046A7">
            <w:pPr>
              <w:rPr>
                <w:rFonts w:ascii="Calibri" w:hAnsi="Calibri" w:cs="Calibri"/>
                <w:b/>
                <w:bCs/>
                <w:color w:val="000000"/>
                <w:sz w:val="16"/>
                <w:szCs w:val="16"/>
              </w:rPr>
            </w:pPr>
          </w:p>
        </w:tc>
        <w:tc>
          <w:tcPr>
            <w:tcW w:w="715" w:type="pct"/>
            <w:gridSpan w:val="2"/>
            <w:vMerge/>
            <w:tcBorders>
              <w:top w:val="nil"/>
              <w:left w:val="nil"/>
              <w:bottom w:val="single" w:sz="8" w:space="0" w:color="000000"/>
              <w:right w:val="nil"/>
            </w:tcBorders>
            <w:shd w:val="clear" w:color="auto" w:fill="auto"/>
            <w:vAlign w:val="bottom"/>
            <w:hideMark/>
          </w:tcPr>
          <w:p w14:paraId="41668715" w14:textId="77777777" w:rsidR="00AE735D" w:rsidRPr="00411555" w:rsidRDefault="00AE735D" w:rsidP="00B046A7">
            <w:pPr>
              <w:rPr>
                <w:rFonts w:ascii="Calibri" w:hAnsi="Calibri" w:cs="Calibri"/>
                <w:b/>
                <w:bCs/>
                <w:color w:val="000000"/>
                <w:sz w:val="16"/>
                <w:szCs w:val="16"/>
              </w:rPr>
            </w:pPr>
          </w:p>
        </w:tc>
        <w:tc>
          <w:tcPr>
            <w:tcW w:w="715" w:type="pct"/>
            <w:tcBorders>
              <w:left w:val="nil"/>
              <w:bottom w:val="single" w:sz="4" w:space="0" w:color="auto"/>
              <w:right w:val="nil"/>
            </w:tcBorders>
            <w:vAlign w:val="bottom"/>
          </w:tcPr>
          <w:p w14:paraId="1558FCAF" w14:textId="0A23A41F" w:rsidR="00AE735D" w:rsidRPr="00411555" w:rsidRDefault="00C24B9C" w:rsidP="00B046A7">
            <w:pPr>
              <w:jc w:val="right"/>
              <w:rPr>
                <w:rFonts w:ascii="Calibri" w:hAnsi="Calibri" w:cs="Calibri"/>
                <w:b/>
                <w:bCs/>
                <w:color w:val="000000"/>
                <w:sz w:val="16"/>
                <w:szCs w:val="16"/>
              </w:rPr>
            </w:pPr>
            <w:r w:rsidRPr="00411555">
              <w:rPr>
                <w:rFonts w:ascii="Calibri" w:hAnsi="Calibri" w:cs="Calibri"/>
                <w:b/>
                <w:bCs/>
                <w:color w:val="000000"/>
                <w:sz w:val="16"/>
                <w:szCs w:val="16"/>
              </w:rPr>
              <w:t>3</w:t>
            </w:r>
            <w:r w:rsidR="00820AF8">
              <w:rPr>
                <w:rFonts w:ascii="Calibri" w:hAnsi="Calibri" w:cs="Calibri"/>
                <w:b/>
                <w:bCs/>
                <w:color w:val="000000"/>
                <w:sz w:val="16"/>
                <w:szCs w:val="16"/>
              </w:rPr>
              <w:t>0</w:t>
            </w:r>
            <w:r w:rsidRPr="00411555">
              <w:rPr>
                <w:rFonts w:ascii="Calibri" w:hAnsi="Calibri" w:cs="Calibri"/>
                <w:b/>
                <w:bCs/>
                <w:color w:val="000000"/>
                <w:sz w:val="16"/>
                <w:szCs w:val="16"/>
              </w:rPr>
              <w:t>/</w:t>
            </w:r>
            <w:r w:rsidR="007708B6">
              <w:rPr>
                <w:rFonts w:ascii="Calibri" w:hAnsi="Calibri" w:cs="Calibri"/>
                <w:b/>
                <w:bCs/>
                <w:color w:val="000000"/>
                <w:sz w:val="16"/>
                <w:szCs w:val="16"/>
              </w:rPr>
              <w:t>0</w:t>
            </w:r>
            <w:r w:rsidR="00E541D7">
              <w:rPr>
                <w:rFonts w:ascii="Calibri" w:hAnsi="Calibri" w:cs="Calibri"/>
                <w:b/>
                <w:bCs/>
                <w:color w:val="000000"/>
                <w:sz w:val="16"/>
                <w:szCs w:val="16"/>
              </w:rPr>
              <w:t>9</w:t>
            </w:r>
            <w:r w:rsidRPr="00411555">
              <w:rPr>
                <w:rFonts w:ascii="Calibri" w:hAnsi="Calibri" w:cs="Calibri"/>
                <w:b/>
                <w:bCs/>
                <w:color w:val="000000"/>
                <w:sz w:val="16"/>
                <w:szCs w:val="16"/>
              </w:rPr>
              <w:t>/202</w:t>
            </w:r>
            <w:r w:rsidR="007708B6">
              <w:rPr>
                <w:rFonts w:ascii="Calibri" w:hAnsi="Calibri" w:cs="Calibri"/>
                <w:b/>
                <w:bCs/>
                <w:color w:val="000000"/>
                <w:sz w:val="16"/>
                <w:szCs w:val="16"/>
              </w:rPr>
              <w:t>1</w:t>
            </w:r>
          </w:p>
        </w:tc>
      </w:tr>
      <w:tr w:rsidR="003950D9" w:rsidRPr="00411555" w14:paraId="122632EC" w14:textId="77777777" w:rsidTr="00E803B5">
        <w:trPr>
          <w:trHeight w:val="315"/>
        </w:trPr>
        <w:tc>
          <w:tcPr>
            <w:tcW w:w="3064" w:type="pct"/>
            <w:tcBorders>
              <w:top w:val="nil"/>
              <w:left w:val="nil"/>
              <w:bottom w:val="nil"/>
              <w:right w:val="nil"/>
            </w:tcBorders>
            <w:shd w:val="clear" w:color="auto" w:fill="auto"/>
            <w:noWrap/>
            <w:vAlign w:val="center"/>
          </w:tcPr>
          <w:p w14:paraId="788695CB" w14:textId="572328A9" w:rsidR="003950D9" w:rsidRPr="00411555" w:rsidRDefault="003950D9" w:rsidP="00B046A7">
            <w:pPr>
              <w:jc w:val="both"/>
              <w:rPr>
                <w:rFonts w:ascii="Calibri" w:hAnsi="Calibri" w:cs="Calibri"/>
                <w:color w:val="000000"/>
                <w:sz w:val="16"/>
                <w:szCs w:val="16"/>
              </w:rPr>
            </w:pPr>
            <w:r w:rsidRPr="00411555">
              <w:rPr>
                <w:rFonts w:ascii="Calibri" w:hAnsi="Calibri" w:cs="Calibri"/>
                <w:color w:val="000000"/>
                <w:sz w:val="16"/>
                <w:szCs w:val="16"/>
              </w:rPr>
              <w:t>Juros e Encargos de Mora sobre Receitas</w:t>
            </w:r>
          </w:p>
        </w:tc>
        <w:tc>
          <w:tcPr>
            <w:tcW w:w="506" w:type="pct"/>
            <w:gridSpan w:val="3"/>
            <w:tcBorders>
              <w:top w:val="nil"/>
              <w:left w:val="nil"/>
              <w:bottom w:val="nil"/>
              <w:right w:val="nil"/>
            </w:tcBorders>
            <w:shd w:val="clear" w:color="auto" w:fill="auto"/>
            <w:noWrap/>
            <w:vAlign w:val="bottom"/>
          </w:tcPr>
          <w:p w14:paraId="5E2D9497" w14:textId="77777777" w:rsidR="003950D9" w:rsidRPr="00411555" w:rsidRDefault="003950D9" w:rsidP="00B046A7">
            <w:pPr>
              <w:jc w:val="right"/>
              <w:rPr>
                <w:rFonts w:ascii="Calibri" w:hAnsi="Calibri" w:cs="Calibri"/>
                <w:color w:val="000000"/>
                <w:sz w:val="16"/>
                <w:szCs w:val="16"/>
              </w:rPr>
            </w:pPr>
          </w:p>
        </w:tc>
        <w:tc>
          <w:tcPr>
            <w:tcW w:w="715" w:type="pct"/>
            <w:gridSpan w:val="2"/>
            <w:tcBorders>
              <w:top w:val="nil"/>
              <w:left w:val="nil"/>
              <w:bottom w:val="nil"/>
              <w:right w:val="nil"/>
            </w:tcBorders>
            <w:shd w:val="clear" w:color="auto" w:fill="auto"/>
            <w:noWrap/>
            <w:vAlign w:val="center"/>
          </w:tcPr>
          <w:p w14:paraId="15AA4AD6" w14:textId="074D892C" w:rsidR="003950D9" w:rsidRPr="00411555" w:rsidRDefault="00E541D7" w:rsidP="00B046A7">
            <w:pPr>
              <w:jc w:val="right"/>
              <w:rPr>
                <w:rFonts w:ascii="Calibri" w:hAnsi="Calibri" w:cs="Calibri"/>
                <w:color w:val="000000"/>
                <w:sz w:val="16"/>
                <w:szCs w:val="16"/>
              </w:rPr>
            </w:pPr>
            <w:r>
              <w:rPr>
                <w:rFonts w:ascii="Calibri" w:hAnsi="Calibri" w:cs="Calibri"/>
                <w:color w:val="000000"/>
                <w:sz w:val="16"/>
                <w:szCs w:val="16"/>
              </w:rPr>
              <w:t>25.100</w:t>
            </w:r>
          </w:p>
        </w:tc>
        <w:tc>
          <w:tcPr>
            <w:tcW w:w="715" w:type="pct"/>
            <w:tcBorders>
              <w:top w:val="nil"/>
              <w:left w:val="nil"/>
              <w:bottom w:val="nil"/>
              <w:right w:val="nil"/>
            </w:tcBorders>
            <w:vAlign w:val="center"/>
          </w:tcPr>
          <w:p w14:paraId="4105AF63" w14:textId="3AEC89E3" w:rsidR="003950D9" w:rsidRPr="00411555" w:rsidRDefault="00E541D7" w:rsidP="00B046A7">
            <w:pPr>
              <w:jc w:val="right"/>
              <w:rPr>
                <w:rFonts w:ascii="Calibri" w:hAnsi="Calibri" w:cs="Calibri"/>
                <w:color w:val="000000"/>
                <w:sz w:val="16"/>
                <w:szCs w:val="16"/>
              </w:rPr>
            </w:pPr>
            <w:r>
              <w:rPr>
                <w:rFonts w:ascii="Calibri" w:hAnsi="Calibri" w:cs="Calibri"/>
                <w:color w:val="000000"/>
                <w:sz w:val="16"/>
                <w:szCs w:val="16"/>
              </w:rPr>
              <w:t>27.412</w:t>
            </w:r>
          </w:p>
        </w:tc>
      </w:tr>
      <w:tr w:rsidR="00AE735D" w:rsidRPr="00411555" w14:paraId="303A5BB0" w14:textId="77777777" w:rsidTr="00E803B5">
        <w:trPr>
          <w:trHeight w:val="315"/>
        </w:trPr>
        <w:tc>
          <w:tcPr>
            <w:tcW w:w="3064" w:type="pct"/>
            <w:tcBorders>
              <w:top w:val="nil"/>
              <w:left w:val="nil"/>
              <w:bottom w:val="nil"/>
              <w:right w:val="nil"/>
            </w:tcBorders>
            <w:shd w:val="clear" w:color="auto" w:fill="auto"/>
            <w:noWrap/>
            <w:vAlign w:val="center"/>
            <w:hideMark/>
          </w:tcPr>
          <w:p w14:paraId="035EFBAD" w14:textId="17E31A01" w:rsidR="00AE735D" w:rsidRPr="00411555" w:rsidRDefault="00AE735D" w:rsidP="00B046A7">
            <w:pPr>
              <w:rPr>
                <w:rFonts w:ascii="Calibri" w:hAnsi="Calibri" w:cs="Calibri"/>
                <w:color w:val="000000"/>
                <w:sz w:val="16"/>
                <w:szCs w:val="16"/>
              </w:rPr>
            </w:pPr>
            <w:r w:rsidRPr="00411555">
              <w:rPr>
                <w:rFonts w:ascii="Calibri" w:hAnsi="Calibri" w:cs="Calibri"/>
                <w:color w:val="000000"/>
                <w:sz w:val="16"/>
                <w:szCs w:val="16"/>
              </w:rPr>
              <w:t xml:space="preserve">Atualização Monetária dos Contratos de Permissão de Uso de </w:t>
            </w:r>
            <w:r w:rsidRPr="0099441A">
              <w:rPr>
                <w:rFonts w:ascii="Calibri" w:hAnsi="Calibri" w:cs="Calibri"/>
                <w:color w:val="000000"/>
                <w:sz w:val="16"/>
                <w:szCs w:val="16"/>
              </w:rPr>
              <w:t xml:space="preserve">Pátios (Nota </w:t>
            </w:r>
            <w:r w:rsidR="0099441A">
              <w:rPr>
                <w:rFonts w:ascii="Calibri" w:hAnsi="Calibri" w:cs="Calibri"/>
                <w:color w:val="000000"/>
                <w:sz w:val="16"/>
                <w:szCs w:val="16"/>
              </w:rPr>
              <w:t>7</w:t>
            </w:r>
            <w:r w:rsidRPr="0099441A">
              <w:rPr>
                <w:rFonts w:ascii="Calibri" w:hAnsi="Calibri" w:cs="Calibri"/>
                <w:color w:val="000000"/>
                <w:sz w:val="16"/>
                <w:szCs w:val="16"/>
              </w:rPr>
              <w:t>)</w:t>
            </w:r>
          </w:p>
        </w:tc>
        <w:tc>
          <w:tcPr>
            <w:tcW w:w="506" w:type="pct"/>
            <w:gridSpan w:val="3"/>
            <w:tcBorders>
              <w:top w:val="nil"/>
              <w:left w:val="nil"/>
              <w:bottom w:val="nil"/>
              <w:right w:val="nil"/>
            </w:tcBorders>
            <w:shd w:val="clear" w:color="auto" w:fill="auto"/>
            <w:noWrap/>
            <w:vAlign w:val="bottom"/>
          </w:tcPr>
          <w:p w14:paraId="6DE9DF6E" w14:textId="77777777" w:rsidR="00AE735D" w:rsidRPr="00411555" w:rsidRDefault="00AE735D" w:rsidP="00B046A7">
            <w:pPr>
              <w:jc w:val="right"/>
              <w:rPr>
                <w:rFonts w:ascii="Calibri" w:hAnsi="Calibri" w:cs="Calibri"/>
                <w:color w:val="000000"/>
                <w:sz w:val="16"/>
                <w:szCs w:val="16"/>
              </w:rPr>
            </w:pPr>
          </w:p>
        </w:tc>
        <w:tc>
          <w:tcPr>
            <w:tcW w:w="715" w:type="pct"/>
            <w:gridSpan w:val="2"/>
            <w:tcBorders>
              <w:top w:val="nil"/>
              <w:left w:val="nil"/>
              <w:bottom w:val="nil"/>
              <w:right w:val="nil"/>
            </w:tcBorders>
            <w:shd w:val="clear" w:color="auto" w:fill="auto"/>
            <w:noWrap/>
            <w:vAlign w:val="center"/>
            <w:hideMark/>
          </w:tcPr>
          <w:p w14:paraId="402D7905" w14:textId="5CAA4BC7" w:rsidR="00AE735D" w:rsidRPr="00411555" w:rsidRDefault="007E2FDF" w:rsidP="00B046A7">
            <w:pPr>
              <w:jc w:val="right"/>
              <w:rPr>
                <w:rFonts w:ascii="Calibri" w:hAnsi="Calibri" w:cs="Calibri"/>
                <w:color w:val="000000"/>
                <w:sz w:val="16"/>
                <w:szCs w:val="16"/>
              </w:rPr>
            </w:pPr>
            <w:r>
              <w:rPr>
                <w:rFonts w:ascii="Calibri" w:hAnsi="Calibri" w:cs="Calibri"/>
                <w:color w:val="000000"/>
                <w:sz w:val="16"/>
                <w:szCs w:val="16"/>
              </w:rPr>
              <w:t>3.</w:t>
            </w:r>
            <w:r w:rsidR="00E541D7">
              <w:rPr>
                <w:rFonts w:ascii="Calibri" w:hAnsi="Calibri" w:cs="Calibri"/>
                <w:color w:val="000000"/>
                <w:sz w:val="16"/>
                <w:szCs w:val="16"/>
              </w:rPr>
              <w:t>929.553</w:t>
            </w:r>
          </w:p>
        </w:tc>
        <w:tc>
          <w:tcPr>
            <w:tcW w:w="715" w:type="pct"/>
            <w:tcBorders>
              <w:top w:val="nil"/>
              <w:left w:val="nil"/>
              <w:bottom w:val="nil"/>
              <w:right w:val="nil"/>
            </w:tcBorders>
            <w:vAlign w:val="center"/>
          </w:tcPr>
          <w:p w14:paraId="2B888A9C" w14:textId="07BC7B53" w:rsidR="00AE735D" w:rsidRPr="00411555" w:rsidRDefault="00E541D7" w:rsidP="00B046A7">
            <w:pPr>
              <w:jc w:val="right"/>
              <w:rPr>
                <w:rFonts w:ascii="Calibri" w:hAnsi="Calibri" w:cs="Calibri"/>
                <w:color w:val="000000"/>
                <w:sz w:val="16"/>
                <w:szCs w:val="16"/>
              </w:rPr>
            </w:pPr>
            <w:r>
              <w:rPr>
                <w:rFonts w:ascii="Calibri" w:hAnsi="Calibri" w:cs="Calibri"/>
                <w:color w:val="000000"/>
                <w:sz w:val="16"/>
                <w:szCs w:val="16"/>
              </w:rPr>
              <w:t>4.268.186</w:t>
            </w:r>
          </w:p>
        </w:tc>
      </w:tr>
      <w:tr w:rsidR="00AE735D" w:rsidRPr="00411555" w14:paraId="66F8EE4F" w14:textId="77777777" w:rsidTr="00263C8E">
        <w:trPr>
          <w:trHeight w:val="315"/>
        </w:trPr>
        <w:tc>
          <w:tcPr>
            <w:tcW w:w="3064" w:type="pct"/>
            <w:tcBorders>
              <w:top w:val="single" w:sz="8" w:space="0" w:color="auto"/>
              <w:left w:val="nil"/>
              <w:bottom w:val="single" w:sz="12" w:space="0" w:color="auto"/>
              <w:right w:val="nil"/>
            </w:tcBorders>
            <w:shd w:val="clear" w:color="auto" w:fill="auto"/>
            <w:noWrap/>
            <w:vAlign w:val="bottom"/>
            <w:hideMark/>
          </w:tcPr>
          <w:p w14:paraId="49DC40AF" w14:textId="77777777" w:rsidR="00AE735D" w:rsidRPr="00411555" w:rsidRDefault="00AE735D" w:rsidP="00B046A7">
            <w:pPr>
              <w:rPr>
                <w:rFonts w:ascii="Calibri" w:hAnsi="Calibri" w:cs="Calibri"/>
                <w:b/>
                <w:bCs/>
                <w:color w:val="000000"/>
                <w:sz w:val="16"/>
                <w:szCs w:val="16"/>
              </w:rPr>
            </w:pPr>
            <w:r w:rsidRPr="00411555">
              <w:rPr>
                <w:rFonts w:ascii="Calibri" w:hAnsi="Calibri" w:cs="Calibri"/>
                <w:b/>
                <w:bCs/>
                <w:color w:val="000000"/>
                <w:sz w:val="16"/>
                <w:szCs w:val="16"/>
              </w:rPr>
              <w:t>TOTAL</w:t>
            </w:r>
          </w:p>
        </w:tc>
        <w:tc>
          <w:tcPr>
            <w:tcW w:w="506" w:type="pct"/>
            <w:gridSpan w:val="3"/>
            <w:tcBorders>
              <w:top w:val="single" w:sz="8" w:space="0" w:color="auto"/>
              <w:left w:val="nil"/>
              <w:bottom w:val="single" w:sz="12" w:space="0" w:color="auto"/>
              <w:right w:val="nil"/>
            </w:tcBorders>
            <w:shd w:val="clear" w:color="auto" w:fill="auto"/>
            <w:noWrap/>
            <w:vAlign w:val="bottom"/>
          </w:tcPr>
          <w:p w14:paraId="21AA59EF" w14:textId="77777777" w:rsidR="00AE735D" w:rsidRPr="00411555" w:rsidRDefault="00AE735D" w:rsidP="00B046A7">
            <w:pPr>
              <w:jc w:val="right"/>
              <w:rPr>
                <w:rFonts w:ascii="Calibri" w:hAnsi="Calibri" w:cs="Calibri"/>
                <w:b/>
                <w:bCs/>
                <w:color w:val="000000"/>
                <w:sz w:val="16"/>
                <w:szCs w:val="16"/>
              </w:rPr>
            </w:pPr>
          </w:p>
        </w:tc>
        <w:tc>
          <w:tcPr>
            <w:tcW w:w="715" w:type="pct"/>
            <w:gridSpan w:val="2"/>
            <w:tcBorders>
              <w:top w:val="single" w:sz="8" w:space="0" w:color="auto"/>
              <w:left w:val="nil"/>
              <w:bottom w:val="single" w:sz="12" w:space="0" w:color="auto"/>
              <w:right w:val="nil"/>
            </w:tcBorders>
            <w:shd w:val="clear" w:color="auto" w:fill="auto"/>
            <w:noWrap/>
            <w:vAlign w:val="center"/>
            <w:hideMark/>
          </w:tcPr>
          <w:p w14:paraId="1F48EFEE" w14:textId="556E0337" w:rsidR="00AE735D" w:rsidRPr="00411555" w:rsidRDefault="00E541D7" w:rsidP="00B046A7">
            <w:pPr>
              <w:jc w:val="right"/>
              <w:rPr>
                <w:rFonts w:ascii="Calibri" w:hAnsi="Calibri" w:cs="Calibri"/>
                <w:b/>
                <w:bCs/>
                <w:color w:val="000000"/>
                <w:sz w:val="16"/>
                <w:szCs w:val="16"/>
              </w:rPr>
            </w:pPr>
            <w:r>
              <w:rPr>
                <w:rFonts w:ascii="Calibri" w:hAnsi="Calibri" w:cs="Calibri"/>
                <w:b/>
                <w:bCs/>
                <w:color w:val="000000"/>
                <w:sz w:val="16"/>
                <w:szCs w:val="16"/>
              </w:rPr>
              <w:t>3.954.653</w:t>
            </w:r>
          </w:p>
        </w:tc>
        <w:tc>
          <w:tcPr>
            <w:tcW w:w="715" w:type="pct"/>
            <w:tcBorders>
              <w:top w:val="single" w:sz="8" w:space="0" w:color="auto"/>
              <w:left w:val="nil"/>
              <w:bottom w:val="single" w:sz="12" w:space="0" w:color="auto"/>
              <w:right w:val="nil"/>
            </w:tcBorders>
            <w:vAlign w:val="center"/>
          </w:tcPr>
          <w:p w14:paraId="4C294996" w14:textId="69ED79B4" w:rsidR="00AE735D" w:rsidRPr="00411555" w:rsidRDefault="00E541D7" w:rsidP="00B046A7">
            <w:pPr>
              <w:jc w:val="right"/>
              <w:rPr>
                <w:rFonts w:ascii="Calibri" w:hAnsi="Calibri" w:cs="Calibri"/>
                <w:b/>
                <w:bCs/>
                <w:color w:val="000000"/>
                <w:sz w:val="16"/>
                <w:szCs w:val="16"/>
              </w:rPr>
            </w:pPr>
            <w:r>
              <w:rPr>
                <w:rFonts w:ascii="Calibri" w:hAnsi="Calibri" w:cs="Calibri"/>
                <w:b/>
                <w:bCs/>
                <w:color w:val="000000"/>
                <w:sz w:val="16"/>
                <w:szCs w:val="16"/>
              </w:rPr>
              <w:t>4.295.598</w:t>
            </w:r>
          </w:p>
        </w:tc>
      </w:tr>
    </w:tbl>
    <w:p w14:paraId="37436118" w14:textId="6EFE5A08" w:rsidR="000763D7" w:rsidRDefault="001E6E1B" w:rsidP="0017010D">
      <w:pPr>
        <w:spacing w:before="120" w:after="120"/>
        <w:ind w:right="57"/>
        <w:jc w:val="both"/>
        <w:rPr>
          <w:rFonts w:ascii="Calibri" w:hAnsi="Calibri" w:cs="Calibri"/>
          <w:sz w:val="22"/>
          <w:szCs w:val="22"/>
        </w:rPr>
      </w:pPr>
      <w:r w:rsidRPr="00411555">
        <w:rPr>
          <w:rFonts w:ascii="Calibri" w:hAnsi="Calibri" w:cs="Calibri"/>
          <w:sz w:val="22"/>
          <w:szCs w:val="22"/>
        </w:rPr>
        <w:t xml:space="preserve">As receitas financeiras da </w:t>
      </w:r>
      <w:r w:rsidR="00E11BEF">
        <w:rPr>
          <w:rFonts w:ascii="Calibri" w:hAnsi="Calibri" w:cs="Calibri"/>
          <w:sz w:val="22"/>
          <w:szCs w:val="22"/>
        </w:rPr>
        <w:t>Infra</w:t>
      </w:r>
      <w:r w:rsidR="00E541D7">
        <w:rPr>
          <w:rFonts w:ascii="Calibri" w:hAnsi="Calibri" w:cs="Calibri"/>
          <w:sz w:val="22"/>
          <w:szCs w:val="22"/>
        </w:rPr>
        <w:t xml:space="preserve"> S.A.</w:t>
      </w:r>
      <w:r w:rsidRPr="00411555">
        <w:rPr>
          <w:rFonts w:ascii="Calibri" w:hAnsi="Calibri" w:cs="Calibri"/>
          <w:sz w:val="22"/>
          <w:szCs w:val="22"/>
        </w:rPr>
        <w:t xml:space="preserve"> </w:t>
      </w:r>
      <w:r w:rsidR="003C3F27" w:rsidRPr="00411555">
        <w:rPr>
          <w:rFonts w:ascii="Calibri" w:hAnsi="Calibri" w:cs="Calibri"/>
          <w:sz w:val="22"/>
          <w:szCs w:val="22"/>
        </w:rPr>
        <w:t xml:space="preserve">reconhecidas </w:t>
      </w:r>
      <w:r w:rsidRPr="00411555">
        <w:rPr>
          <w:rFonts w:ascii="Calibri" w:hAnsi="Calibri" w:cs="Calibri"/>
          <w:sz w:val="22"/>
          <w:szCs w:val="22"/>
        </w:rPr>
        <w:t>são provindas das atualizações monetárias</w:t>
      </w:r>
      <w:r w:rsidR="00454BA0" w:rsidRPr="00411555">
        <w:rPr>
          <w:rFonts w:ascii="Calibri" w:hAnsi="Calibri" w:cs="Calibri"/>
          <w:sz w:val="22"/>
          <w:szCs w:val="22"/>
        </w:rPr>
        <w:t xml:space="preserve"> </w:t>
      </w:r>
      <w:r w:rsidR="00E470A7" w:rsidRPr="00411555">
        <w:rPr>
          <w:rFonts w:ascii="Calibri" w:hAnsi="Calibri" w:cs="Calibri"/>
          <w:sz w:val="22"/>
          <w:szCs w:val="22"/>
        </w:rPr>
        <w:t xml:space="preserve">sobre </w:t>
      </w:r>
      <w:r w:rsidRPr="00411555">
        <w:rPr>
          <w:rFonts w:ascii="Calibri" w:hAnsi="Calibri" w:cs="Calibri"/>
          <w:sz w:val="22"/>
          <w:szCs w:val="22"/>
        </w:rPr>
        <w:t xml:space="preserve">os direitos a receber </w:t>
      </w:r>
      <w:r w:rsidR="003C3F27" w:rsidRPr="00411555">
        <w:rPr>
          <w:rFonts w:ascii="Calibri" w:hAnsi="Calibri" w:cs="Calibri"/>
          <w:sz w:val="22"/>
          <w:szCs w:val="22"/>
        </w:rPr>
        <w:t>do</w:t>
      </w:r>
      <w:r w:rsidRPr="00411555">
        <w:rPr>
          <w:rFonts w:ascii="Calibri" w:hAnsi="Calibri" w:cs="Calibri"/>
          <w:sz w:val="22"/>
          <w:szCs w:val="22"/>
        </w:rPr>
        <w:t xml:space="preserve">s Contratos </w:t>
      </w:r>
      <w:r w:rsidR="005A5C49" w:rsidRPr="00411555">
        <w:rPr>
          <w:rFonts w:ascii="Calibri" w:hAnsi="Calibri" w:cs="Calibri"/>
          <w:sz w:val="22"/>
          <w:szCs w:val="22"/>
        </w:rPr>
        <w:t>de Permissões de Uso de Pátios</w:t>
      </w:r>
      <w:r w:rsidR="002B3435" w:rsidRPr="00411555">
        <w:rPr>
          <w:rFonts w:ascii="Calibri" w:hAnsi="Calibri" w:cs="Calibri"/>
          <w:sz w:val="22"/>
          <w:szCs w:val="22"/>
        </w:rPr>
        <w:t>, bem como juros de mora por recebimento de receitas em atraso.</w:t>
      </w:r>
    </w:p>
    <w:p w14:paraId="018D786B" w14:textId="06741224" w:rsidR="000C106E" w:rsidRPr="00411555" w:rsidRDefault="00366626" w:rsidP="00937ED9">
      <w:pPr>
        <w:spacing w:after="120"/>
        <w:ind w:right="-142"/>
        <w:jc w:val="both"/>
        <w:rPr>
          <w:rFonts w:ascii="Calibri" w:hAnsi="Calibri" w:cs="Calibri"/>
          <w:b/>
          <w:sz w:val="22"/>
          <w:szCs w:val="22"/>
        </w:rPr>
      </w:pPr>
      <w:r w:rsidRPr="00411555">
        <w:rPr>
          <w:rFonts w:ascii="Calibri" w:hAnsi="Calibri" w:cs="Calibri"/>
          <w:b/>
          <w:sz w:val="22"/>
          <w:szCs w:val="22"/>
        </w:rPr>
        <w:t xml:space="preserve">NOTA </w:t>
      </w:r>
      <w:r w:rsidR="00505441" w:rsidRPr="00411555">
        <w:rPr>
          <w:rFonts w:ascii="Calibri" w:hAnsi="Calibri" w:cs="Calibri"/>
          <w:b/>
          <w:sz w:val="22"/>
          <w:szCs w:val="22"/>
        </w:rPr>
        <w:t>2</w:t>
      </w:r>
      <w:r w:rsidR="005B7086">
        <w:rPr>
          <w:rFonts w:ascii="Calibri" w:hAnsi="Calibri" w:cs="Calibri"/>
          <w:b/>
          <w:sz w:val="22"/>
          <w:szCs w:val="22"/>
        </w:rPr>
        <w:t>2</w:t>
      </w:r>
      <w:r w:rsidR="000C106E" w:rsidRPr="00411555">
        <w:rPr>
          <w:rFonts w:ascii="Calibri" w:hAnsi="Calibri" w:cs="Calibri"/>
          <w:b/>
          <w:sz w:val="22"/>
          <w:szCs w:val="22"/>
        </w:rPr>
        <w:t xml:space="preserve"> – SUBVENÇÃO DO TESOURO NACIONAL – REPASSE PARA CUSTEIO E PESSOAL</w:t>
      </w:r>
    </w:p>
    <w:p w14:paraId="05DBAA72" w14:textId="1DDB618A" w:rsidR="001159E0" w:rsidRPr="00411555" w:rsidRDefault="005711AA" w:rsidP="00937ED9">
      <w:pPr>
        <w:spacing w:after="120"/>
        <w:ind w:right="57"/>
        <w:jc w:val="both"/>
        <w:rPr>
          <w:rFonts w:ascii="Calibri" w:hAnsi="Calibri" w:cs="Calibri"/>
          <w:sz w:val="22"/>
          <w:szCs w:val="22"/>
        </w:rPr>
      </w:pPr>
      <w:r w:rsidRPr="00411555">
        <w:rPr>
          <w:rFonts w:ascii="Calibri" w:hAnsi="Calibri" w:cs="Calibri"/>
          <w:sz w:val="22"/>
          <w:szCs w:val="22"/>
        </w:rPr>
        <w:t>A</w:t>
      </w:r>
      <w:r w:rsidR="000C106E" w:rsidRPr="00411555">
        <w:rPr>
          <w:rFonts w:ascii="Calibri" w:hAnsi="Calibri" w:cs="Calibri"/>
          <w:sz w:val="22"/>
          <w:szCs w:val="22"/>
        </w:rPr>
        <w:t xml:space="preserve"> subvenção para custeio e pessoal repassada à </w:t>
      </w:r>
      <w:r w:rsidR="00E11BEF">
        <w:rPr>
          <w:rFonts w:ascii="Calibri" w:hAnsi="Calibri" w:cs="Calibri"/>
          <w:sz w:val="22"/>
          <w:szCs w:val="22"/>
        </w:rPr>
        <w:t>Infra</w:t>
      </w:r>
      <w:r w:rsidR="00552122">
        <w:rPr>
          <w:rFonts w:ascii="Calibri" w:hAnsi="Calibri" w:cs="Calibri"/>
          <w:sz w:val="22"/>
          <w:szCs w:val="22"/>
        </w:rPr>
        <w:t xml:space="preserve"> S.A.</w:t>
      </w:r>
      <w:r w:rsidR="000C106E" w:rsidRPr="00411555">
        <w:rPr>
          <w:rFonts w:ascii="Calibri" w:hAnsi="Calibri" w:cs="Calibri"/>
          <w:sz w:val="22"/>
          <w:szCs w:val="22"/>
        </w:rPr>
        <w:t xml:space="preserve"> pela Secretaria do Tesouro Nacional totalizou</w:t>
      </w:r>
      <w:r w:rsidR="00BD5174">
        <w:rPr>
          <w:rFonts w:ascii="Calibri" w:hAnsi="Calibri" w:cs="Calibri"/>
          <w:sz w:val="22"/>
          <w:szCs w:val="22"/>
        </w:rPr>
        <w:t>,</w:t>
      </w:r>
      <w:r w:rsidR="006F322E" w:rsidRPr="00411555">
        <w:rPr>
          <w:rFonts w:ascii="Calibri" w:hAnsi="Calibri" w:cs="Calibri"/>
          <w:sz w:val="22"/>
          <w:szCs w:val="22"/>
        </w:rPr>
        <w:t xml:space="preserve"> </w:t>
      </w:r>
      <w:r w:rsidR="007708B6">
        <w:rPr>
          <w:rFonts w:ascii="Calibri" w:hAnsi="Calibri" w:cs="Calibri"/>
          <w:sz w:val="22"/>
          <w:szCs w:val="22"/>
        </w:rPr>
        <w:t xml:space="preserve">no </w:t>
      </w:r>
      <w:r w:rsidR="00E541D7">
        <w:rPr>
          <w:rFonts w:ascii="Calibri" w:hAnsi="Calibri" w:cs="Calibri"/>
          <w:sz w:val="22"/>
          <w:szCs w:val="22"/>
        </w:rPr>
        <w:t>3</w:t>
      </w:r>
      <w:r w:rsidR="007708B6">
        <w:rPr>
          <w:rFonts w:ascii="Calibri" w:hAnsi="Calibri" w:cs="Calibri"/>
          <w:sz w:val="22"/>
          <w:szCs w:val="22"/>
        </w:rPr>
        <w:t>º trimestre de 2022,</w:t>
      </w:r>
      <w:r w:rsidR="000C106E" w:rsidRPr="00411555">
        <w:rPr>
          <w:rFonts w:ascii="Calibri" w:hAnsi="Calibri" w:cs="Calibri"/>
          <w:sz w:val="22"/>
          <w:szCs w:val="22"/>
        </w:rPr>
        <w:t xml:space="preserve"> R$</w:t>
      </w:r>
      <w:r w:rsidR="00A67FC1" w:rsidRPr="00411555">
        <w:rPr>
          <w:rFonts w:ascii="Calibri" w:hAnsi="Calibri" w:cs="Calibri"/>
          <w:sz w:val="22"/>
          <w:szCs w:val="22"/>
        </w:rPr>
        <w:t xml:space="preserve"> </w:t>
      </w:r>
      <w:r w:rsidR="00E541D7">
        <w:rPr>
          <w:rFonts w:ascii="Calibri" w:hAnsi="Calibri" w:cs="Calibri"/>
          <w:sz w:val="22"/>
          <w:szCs w:val="22"/>
        </w:rPr>
        <w:t>109,42</w:t>
      </w:r>
      <w:r w:rsidR="002A599C">
        <w:rPr>
          <w:rFonts w:ascii="Calibri" w:hAnsi="Calibri" w:cs="Calibri"/>
          <w:sz w:val="22"/>
          <w:szCs w:val="22"/>
        </w:rPr>
        <w:t xml:space="preserve"> </w:t>
      </w:r>
      <w:r w:rsidR="003C3F27" w:rsidRPr="00411555">
        <w:rPr>
          <w:rFonts w:ascii="Calibri" w:hAnsi="Calibri" w:cs="Calibri"/>
          <w:sz w:val="22"/>
          <w:szCs w:val="22"/>
        </w:rPr>
        <w:t>milhões</w:t>
      </w:r>
      <w:r w:rsidR="00751553" w:rsidRPr="00411555">
        <w:rPr>
          <w:rFonts w:ascii="Calibri" w:hAnsi="Calibri" w:cs="Calibri"/>
          <w:sz w:val="22"/>
          <w:szCs w:val="22"/>
        </w:rPr>
        <w:t>.</w:t>
      </w:r>
    </w:p>
    <w:tbl>
      <w:tblPr>
        <w:tblW w:w="5000" w:type="pct"/>
        <w:tblCellMar>
          <w:left w:w="70" w:type="dxa"/>
          <w:right w:w="70" w:type="dxa"/>
        </w:tblCellMar>
        <w:tblLook w:val="04A0" w:firstRow="1" w:lastRow="0" w:firstColumn="1" w:lastColumn="0" w:noHBand="0" w:noVBand="1"/>
      </w:tblPr>
      <w:tblGrid>
        <w:gridCol w:w="1605"/>
        <w:gridCol w:w="1605"/>
        <w:gridCol w:w="1606"/>
        <w:gridCol w:w="1606"/>
        <w:gridCol w:w="2058"/>
        <w:gridCol w:w="1987"/>
      </w:tblGrid>
      <w:tr w:rsidR="006F322E" w:rsidRPr="00411555" w14:paraId="3B54AE08" w14:textId="77777777" w:rsidTr="00BD5174">
        <w:trPr>
          <w:trHeight w:hRule="exact" w:val="227"/>
        </w:trPr>
        <w:tc>
          <w:tcPr>
            <w:tcW w:w="767" w:type="pct"/>
            <w:tcBorders>
              <w:top w:val="nil"/>
              <w:left w:val="nil"/>
              <w:bottom w:val="single" w:sz="8" w:space="0" w:color="auto"/>
              <w:right w:val="nil"/>
            </w:tcBorders>
            <w:shd w:val="clear" w:color="auto" w:fill="auto"/>
            <w:vAlign w:val="center"/>
            <w:hideMark/>
          </w:tcPr>
          <w:p w14:paraId="0CCBACAB" w14:textId="77777777" w:rsidR="006F322E" w:rsidRPr="00411555" w:rsidRDefault="006F322E" w:rsidP="00937ED9">
            <w:pPr>
              <w:spacing w:after="120"/>
              <w:jc w:val="both"/>
              <w:rPr>
                <w:rFonts w:ascii="Calibri" w:hAnsi="Calibri" w:cs="Calibri"/>
                <w:b/>
                <w:bCs/>
                <w:color w:val="000000"/>
                <w:sz w:val="16"/>
                <w:szCs w:val="16"/>
              </w:rPr>
            </w:pPr>
            <w:r w:rsidRPr="00411555">
              <w:rPr>
                <w:rFonts w:ascii="Calibri" w:hAnsi="Calibri" w:cs="Calibri"/>
                <w:b/>
                <w:bCs/>
                <w:color w:val="000000"/>
                <w:sz w:val="16"/>
                <w:szCs w:val="16"/>
              </w:rPr>
              <w:t>EMPRESA</w:t>
            </w:r>
          </w:p>
        </w:tc>
        <w:tc>
          <w:tcPr>
            <w:tcW w:w="767" w:type="pct"/>
            <w:tcBorders>
              <w:top w:val="nil"/>
              <w:left w:val="nil"/>
              <w:bottom w:val="single" w:sz="8" w:space="0" w:color="auto"/>
              <w:right w:val="nil"/>
            </w:tcBorders>
            <w:shd w:val="clear" w:color="auto" w:fill="auto"/>
            <w:vAlign w:val="center"/>
            <w:hideMark/>
          </w:tcPr>
          <w:p w14:paraId="7CABC601"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64D802CE"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PESSOAL</w:t>
            </w:r>
          </w:p>
        </w:tc>
        <w:tc>
          <w:tcPr>
            <w:tcW w:w="767" w:type="pct"/>
            <w:tcBorders>
              <w:top w:val="nil"/>
              <w:left w:val="nil"/>
              <w:bottom w:val="single" w:sz="8" w:space="0" w:color="auto"/>
              <w:right w:val="nil"/>
            </w:tcBorders>
            <w:shd w:val="clear" w:color="auto" w:fill="auto"/>
            <w:vAlign w:val="center"/>
            <w:hideMark/>
          </w:tcPr>
          <w:p w14:paraId="4DF08F26"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CUSTEIO</w:t>
            </w:r>
          </w:p>
        </w:tc>
        <w:tc>
          <w:tcPr>
            <w:tcW w:w="983" w:type="pct"/>
            <w:tcBorders>
              <w:top w:val="nil"/>
              <w:left w:val="nil"/>
              <w:bottom w:val="single" w:sz="8" w:space="0" w:color="auto"/>
              <w:right w:val="nil"/>
            </w:tcBorders>
            <w:shd w:val="clear" w:color="auto" w:fill="auto"/>
            <w:vAlign w:val="center"/>
            <w:hideMark/>
          </w:tcPr>
          <w:p w14:paraId="20B07761" w14:textId="1BC66B56"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677F53">
              <w:rPr>
                <w:rFonts w:ascii="Calibri" w:hAnsi="Calibri" w:cs="Calibri"/>
                <w:b/>
                <w:bCs/>
                <w:color w:val="000000"/>
                <w:sz w:val="16"/>
                <w:szCs w:val="16"/>
              </w:rPr>
              <w:t>0</w:t>
            </w:r>
            <w:r w:rsidRPr="00411555">
              <w:rPr>
                <w:rFonts w:ascii="Calibri" w:hAnsi="Calibri" w:cs="Calibri"/>
                <w:b/>
                <w:bCs/>
                <w:color w:val="000000"/>
                <w:sz w:val="16"/>
                <w:szCs w:val="16"/>
              </w:rPr>
              <w:t>/</w:t>
            </w:r>
            <w:r w:rsidR="00BD5174">
              <w:rPr>
                <w:rFonts w:ascii="Calibri" w:hAnsi="Calibri" w:cs="Calibri"/>
                <w:b/>
                <w:bCs/>
                <w:color w:val="000000"/>
                <w:sz w:val="16"/>
                <w:szCs w:val="16"/>
              </w:rPr>
              <w:t>0</w:t>
            </w:r>
            <w:r w:rsidR="00E541D7">
              <w:rPr>
                <w:rFonts w:ascii="Calibri" w:hAnsi="Calibri" w:cs="Calibri"/>
                <w:b/>
                <w:bCs/>
                <w:color w:val="000000"/>
                <w:sz w:val="16"/>
                <w:szCs w:val="16"/>
              </w:rPr>
              <w:t>9</w:t>
            </w:r>
            <w:r w:rsidRPr="00411555">
              <w:rPr>
                <w:rFonts w:ascii="Calibri" w:hAnsi="Calibri" w:cs="Calibri"/>
                <w:b/>
                <w:bCs/>
                <w:color w:val="000000"/>
                <w:sz w:val="16"/>
                <w:szCs w:val="16"/>
              </w:rPr>
              <w:t>/202</w:t>
            </w:r>
            <w:r w:rsidR="00BD5174">
              <w:rPr>
                <w:rFonts w:ascii="Calibri" w:hAnsi="Calibri" w:cs="Calibri"/>
                <w:b/>
                <w:bCs/>
                <w:color w:val="000000"/>
                <w:sz w:val="16"/>
                <w:szCs w:val="16"/>
              </w:rPr>
              <w:t>2</w:t>
            </w:r>
          </w:p>
        </w:tc>
        <w:tc>
          <w:tcPr>
            <w:tcW w:w="949" w:type="pct"/>
            <w:tcBorders>
              <w:top w:val="nil"/>
              <w:left w:val="nil"/>
              <w:bottom w:val="single" w:sz="8" w:space="0" w:color="auto"/>
              <w:right w:val="nil"/>
            </w:tcBorders>
            <w:shd w:val="clear" w:color="auto" w:fill="auto"/>
            <w:vAlign w:val="center"/>
            <w:hideMark/>
          </w:tcPr>
          <w:p w14:paraId="2CE07E29" w14:textId="54A9E67B"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3</w:t>
            </w:r>
            <w:r w:rsidR="00677F53">
              <w:rPr>
                <w:rFonts w:ascii="Calibri" w:hAnsi="Calibri" w:cs="Calibri"/>
                <w:b/>
                <w:bCs/>
                <w:color w:val="000000"/>
                <w:sz w:val="16"/>
                <w:szCs w:val="16"/>
              </w:rPr>
              <w:t>0</w:t>
            </w:r>
            <w:r w:rsidRPr="00411555">
              <w:rPr>
                <w:rFonts w:ascii="Calibri" w:hAnsi="Calibri" w:cs="Calibri"/>
                <w:b/>
                <w:bCs/>
                <w:color w:val="000000"/>
                <w:sz w:val="16"/>
                <w:szCs w:val="16"/>
              </w:rPr>
              <w:t>/</w:t>
            </w:r>
            <w:r w:rsidR="00BD5174">
              <w:rPr>
                <w:rFonts w:ascii="Calibri" w:hAnsi="Calibri" w:cs="Calibri"/>
                <w:b/>
                <w:bCs/>
                <w:color w:val="000000"/>
                <w:sz w:val="16"/>
                <w:szCs w:val="16"/>
              </w:rPr>
              <w:t>0</w:t>
            </w:r>
            <w:r w:rsidR="00E541D7">
              <w:rPr>
                <w:rFonts w:ascii="Calibri" w:hAnsi="Calibri" w:cs="Calibri"/>
                <w:b/>
                <w:bCs/>
                <w:color w:val="000000"/>
                <w:sz w:val="16"/>
                <w:szCs w:val="16"/>
              </w:rPr>
              <w:t>9</w:t>
            </w:r>
            <w:r w:rsidR="000A524B" w:rsidRPr="00411555">
              <w:rPr>
                <w:rFonts w:ascii="Calibri" w:hAnsi="Calibri" w:cs="Calibri"/>
                <w:b/>
                <w:bCs/>
                <w:color w:val="000000"/>
                <w:sz w:val="16"/>
                <w:szCs w:val="16"/>
              </w:rPr>
              <w:t>/</w:t>
            </w:r>
            <w:r w:rsidRPr="00411555">
              <w:rPr>
                <w:rFonts w:ascii="Calibri" w:hAnsi="Calibri" w:cs="Calibri"/>
                <w:b/>
                <w:bCs/>
                <w:color w:val="000000"/>
                <w:sz w:val="16"/>
                <w:szCs w:val="16"/>
              </w:rPr>
              <w:t>202</w:t>
            </w:r>
            <w:r w:rsidR="00BD5174">
              <w:rPr>
                <w:rFonts w:ascii="Calibri" w:hAnsi="Calibri" w:cs="Calibri"/>
                <w:b/>
                <w:bCs/>
                <w:color w:val="000000"/>
                <w:sz w:val="16"/>
                <w:szCs w:val="16"/>
              </w:rPr>
              <w:t>1</w:t>
            </w:r>
          </w:p>
        </w:tc>
      </w:tr>
      <w:tr w:rsidR="00E541D7" w:rsidRPr="00411555" w14:paraId="0658F956" w14:textId="77777777" w:rsidTr="007D40EC">
        <w:trPr>
          <w:trHeight w:hRule="exact" w:val="227"/>
        </w:trPr>
        <w:tc>
          <w:tcPr>
            <w:tcW w:w="767" w:type="pct"/>
            <w:tcBorders>
              <w:top w:val="nil"/>
              <w:left w:val="nil"/>
              <w:bottom w:val="nil"/>
              <w:right w:val="nil"/>
            </w:tcBorders>
            <w:shd w:val="clear" w:color="auto" w:fill="auto"/>
            <w:vAlign w:val="center"/>
            <w:hideMark/>
          </w:tcPr>
          <w:p w14:paraId="3AA53928" w14:textId="4AD484A4" w:rsidR="00E541D7" w:rsidRPr="00411555" w:rsidRDefault="00D60F6A" w:rsidP="00E541D7">
            <w:pPr>
              <w:spacing w:after="120"/>
              <w:jc w:val="both"/>
              <w:rPr>
                <w:rFonts w:ascii="Calibri" w:hAnsi="Calibri" w:cs="Calibri"/>
                <w:color w:val="000000"/>
                <w:sz w:val="16"/>
                <w:szCs w:val="16"/>
              </w:rPr>
            </w:pPr>
            <w:r>
              <w:rPr>
                <w:rFonts w:ascii="Calibri" w:hAnsi="Calibri" w:cs="Calibri"/>
                <w:color w:val="000000"/>
                <w:sz w:val="16"/>
                <w:szCs w:val="16"/>
              </w:rPr>
              <w:t>Infra</w:t>
            </w:r>
            <w:r w:rsidR="00B406C5">
              <w:rPr>
                <w:rFonts w:ascii="Calibri" w:hAnsi="Calibri" w:cs="Calibri"/>
                <w:color w:val="000000"/>
                <w:sz w:val="16"/>
                <w:szCs w:val="16"/>
              </w:rPr>
              <w:t xml:space="preserve"> S.A.</w:t>
            </w:r>
          </w:p>
        </w:tc>
        <w:tc>
          <w:tcPr>
            <w:tcW w:w="767" w:type="pct"/>
            <w:tcBorders>
              <w:top w:val="nil"/>
              <w:left w:val="nil"/>
              <w:bottom w:val="nil"/>
              <w:right w:val="nil"/>
            </w:tcBorders>
            <w:shd w:val="clear" w:color="auto" w:fill="auto"/>
            <w:vAlign w:val="center"/>
            <w:hideMark/>
          </w:tcPr>
          <w:p w14:paraId="6F8E7B9C" w14:textId="77777777" w:rsidR="00E541D7" w:rsidRPr="00411555" w:rsidRDefault="00E541D7" w:rsidP="00E541D7">
            <w:pPr>
              <w:spacing w:after="120"/>
              <w:jc w:val="both"/>
              <w:rPr>
                <w:rFonts w:ascii="Calibri" w:hAnsi="Calibri" w:cs="Calibri"/>
                <w:color w:val="000000"/>
                <w:sz w:val="16"/>
                <w:szCs w:val="16"/>
              </w:rPr>
            </w:pPr>
          </w:p>
        </w:tc>
        <w:tc>
          <w:tcPr>
            <w:tcW w:w="767" w:type="pct"/>
            <w:tcBorders>
              <w:top w:val="nil"/>
              <w:left w:val="nil"/>
              <w:bottom w:val="nil"/>
              <w:right w:val="nil"/>
            </w:tcBorders>
            <w:shd w:val="clear" w:color="auto" w:fill="auto"/>
            <w:vAlign w:val="center"/>
            <w:hideMark/>
          </w:tcPr>
          <w:p w14:paraId="482905D5" w14:textId="18B101AD" w:rsidR="00E541D7" w:rsidRPr="00411555" w:rsidRDefault="00552122" w:rsidP="00E541D7">
            <w:pPr>
              <w:spacing w:after="120"/>
              <w:jc w:val="right"/>
              <w:rPr>
                <w:rFonts w:ascii="Calibri" w:hAnsi="Calibri" w:cs="Calibri"/>
                <w:color w:val="000000"/>
                <w:sz w:val="16"/>
                <w:szCs w:val="16"/>
              </w:rPr>
            </w:pPr>
            <w:r>
              <w:rPr>
                <w:rFonts w:ascii="Calibri" w:hAnsi="Calibri" w:cs="Calibri"/>
                <w:color w:val="000000"/>
                <w:sz w:val="16"/>
                <w:szCs w:val="16"/>
              </w:rPr>
              <w:t>76.910.282</w:t>
            </w:r>
          </w:p>
        </w:tc>
        <w:tc>
          <w:tcPr>
            <w:tcW w:w="767" w:type="pct"/>
            <w:tcBorders>
              <w:top w:val="nil"/>
              <w:left w:val="nil"/>
              <w:bottom w:val="nil"/>
              <w:right w:val="nil"/>
            </w:tcBorders>
            <w:shd w:val="clear" w:color="auto" w:fill="auto"/>
            <w:vAlign w:val="center"/>
            <w:hideMark/>
          </w:tcPr>
          <w:p w14:paraId="68D1A773" w14:textId="58E4E258" w:rsidR="00E541D7" w:rsidRPr="00411555" w:rsidRDefault="00552122" w:rsidP="00E541D7">
            <w:pPr>
              <w:spacing w:after="120"/>
              <w:jc w:val="right"/>
              <w:rPr>
                <w:rFonts w:ascii="Calibri" w:hAnsi="Calibri" w:cs="Calibri"/>
                <w:color w:val="000000"/>
                <w:sz w:val="16"/>
                <w:szCs w:val="16"/>
              </w:rPr>
            </w:pPr>
            <w:r>
              <w:rPr>
                <w:rFonts w:ascii="Calibri" w:hAnsi="Calibri" w:cs="Calibri"/>
                <w:color w:val="000000"/>
                <w:sz w:val="16"/>
                <w:szCs w:val="16"/>
              </w:rPr>
              <w:t>17.030.465</w:t>
            </w:r>
          </w:p>
        </w:tc>
        <w:tc>
          <w:tcPr>
            <w:tcW w:w="983" w:type="pct"/>
            <w:tcBorders>
              <w:top w:val="nil"/>
              <w:left w:val="nil"/>
              <w:bottom w:val="nil"/>
              <w:right w:val="nil"/>
            </w:tcBorders>
            <w:shd w:val="clear" w:color="auto" w:fill="auto"/>
            <w:vAlign w:val="center"/>
            <w:hideMark/>
          </w:tcPr>
          <w:p w14:paraId="4E11D645" w14:textId="2C24BC7A" w:rsidR="00E541D7" w:rsidRPr="00411555" w:rsidRDefault="00552122" w:rsidP="00E541D7">
            <w:pPr>
              <w:spacing w:after="120"/>
              <w:jc w:val="right"/>
              <w:rPr>
                <w:rFonts w:ascii="Calibri" w:hAnsi="Calibri" w:cs="Calibri"/>
                <w:color w:val="000000"/>
                <w:sz w:val="16"/>
                <w:szCs w:val="16"/>
              </w:rPr>
            </w:pPr>
            <w:r>
              <w:rPr>
                <w:rFonts w:ascii="Calibri" w:hAnsi="Calibri" w:cs="Calibri"/>
                <w:color w:val="000000"/>
                <w:sz w:val="16"/>
                <w:szCs w:val="16"/>
              </w:rPr>
              <w:t>93.940.747</w:t>
            </w:r>
          </w:p>
        </w:tc>
        <w:tc>
          <w:tcPr>
            <w:tcW w:w="949" w:type="pct"/>
            <w:tcBorders>
              <w:top w:val="nil"/>
              <w:left w:val="nil"/>
              <w:bottom w:val="nil"/>
              <w:right w:val="nil"/>
            </w:tcBorders>
            <w:shd w:val="clear" w:color="auto" w:fill="auto"/>
            <w:hideMark/>
          </w:tcPr>
          <w:p w14:paraId="1D55F9B3" w14:textId="6543344C" w:rsidR="00E541D7" w:rsidRPr="00411555" w:rsidRDefault="00E541D7" w:rsidP="00E541D7">
            <w:pPr>
              <w:spacing w:after="120"/>
              <w:jc w:val="right"/>
              <w:rPr>
                <w:rFonts w:ascii="Calibri" w:hAnsi="Calibri" w:cs="Calibri"/>
                <w:color w:val="000000"/>
                <w:sz w:val="16"/>
                <w:szCs w:val="16"/>
              </w:rPr>
            </w:pPr>
            <w:r w:rsidRPr="00E541D7">
              <w:rPr>
                <w:rFonts w:ascii="Calibri" w:hAnsi="Calibri" w:cs="Calibri"/>
                <w:color w:val="000000"/>
                <w:sz w:val="16"/>
                <w:szCs w:val="16"/>
              </w:rPr>
              <w:t>80.528.880</w:t>
            </w:r>
          </w:p>
        </w:tc>
      </w:tr>
      <w:tr w:rsidR="00E541D7" w:rsidRPr="00411555" w14:paraId="1A1FDB00" w14:textId="77777777" w:rsidTr="007D40EC">
        <w:trPr>
          <w:trHeight w:hRule="exact" w:val="227"/>
        </w:trPr>
        <w:tc>
          <w:tcPr>
            <w:tcW w:w="767" w:type="pct"/>
            <w:tcBorders>
              <w:top w:val="nil"/>
              <w:left w:val="nil"/>
              <w:bottom w:val="nil"/>
              <w:right w:val="nil"/>
            </w:tcBorders>
            <w:shd w:val="clear" w:color="auto" w:fill="auto"/>
            <w:vAlign w:val="center"/>
            <w:hideMark/>
          </w:tcPr>
          <w:p w14:paraId="1E61F94A" w14:textId="77777777" w:rsidR="00E541D7" w:rsidRPr="00411555" w:rsidRDefault="00E541D7" w:rsidP="00E541D7">
            <w:pPr>
              <w:spacing w:after="120"/>
              <w:jc w:val="both"/>
              <w:rPr>
                <w:rFonts w:ascii="Calibri" w:hAnsi="Calibri" w:cs="Calibri"/>
                <w:color w:val="000000"/>
                <w:sz w:val="16"/>
                <w:szCs w:val="16"/>
              </w:rPr>
            </w:pPr>
            <w:r w:rsidRPr="00411555">
              <w:rPr>
                <w:rFonts w:ascii="Calibri" w:hAnsi="Calibri" w:cs="Calibri"/>
                <w:color w:val="000000"/>
                <w:sz w:val="16"/>
                <w:szCs w:val="16"/>
              </w:rPr>
              <w:t>Extinta RFFSA</w:t>
            </w:r>
          </w:p>
        </w:tc>
        <w:tc>
          <w:tcPr>
            <w:tcW w:w="767" w:type="pct"/>
            <w:tcBorders>
              <w:top w:val="nil"/>
              <w:left w:val="nil"/>
              <w:bottom w:val="nil"/>
              <w:right w:val="nil"/>
            </w:tcBorders>
            <w:shd w:val="clear" w:color="auto" w:fill="auto"/>
            <w:vAlign w:val="center"/>
            <w:hideMark/>
          </w:tcPr>
          <w:p w14:paraId="2FA54355" w14:textId="77777777" w:rsidR="00E541D7" w:rsidRPr="00411555" w:rsidRDefault="00E541D7" w:rsidP="00E541D7">
            <w:pPr>
              <w:spacing w:after="120"/>
              <w:jc w:val="both"/>
              <w:rPr>
                <w:rFonts w:ascii="Calibri" w:hAnsi="Calibri" w:cs="Calibri"/>
                <w:color w:val="000000"/>
                <w:sz w:val="16"/>
                <w:szCs w:val="16"/>
              </w:rPr>
            </w:pPr>
          </w:p>
        </w:tc>
        <w:tc>
          <w:tcPr>
            <w:tcW w:w="767" w:type="pct"/>
            <w:tcBorders>
              <w:top w:val="nil"/>
              <w:left w:val="nil"/>
              <w:bottom w:val="nil"/>
              <w:right w:val="nil"/>
            </w:tcBorders>
            <w:shd w:val="clear" w:color="auto" w:fill="auto"/>
            <w:vAlign w:val="center"/>
            <w:hideMark/>
          </w:tcPr>
          <w:p w14:paraId="7214D73D" w14:textId="691840A0" w:rsidR="00E541D7" w:rsidRPr="00411555" w:rsidRDefault="00552122" w:rsidP="00E541D7">
            <w:pPr>
              <w:spacing w:after="120"/>
              <w:jc w:val="right"/>
              <w:rPr>
                <w:rFonts w:ascii="Calibri" w:hAnsi="Calibri" w:cs="Calibri"/>
                <w:color w:val="000000"/>
                <w:sz w:val="16"/>
                <w:szCs w:val="16"/>
              </w:rPr>
            </w:pPr>
            <w:r>
              <w:rPr>
                <w:rFonts w:ascii="Calibri" w:hAnsi="Calibri" w:cs="Calibri"/>
                <w:color w:val="000000"/>
                <w:sz w:val="16"/>
                <w:szCs w:val="16"/>
              </w:rPr>
              <w:t>11.738.133</w:t>
            </w:r>
          </w:p>
        </w:tc>
        <w:tc>
          <w:tcPr>
            <w:tcW w:w="767" w:type="pct"/>
            <w:tcBorders>
              <w:top w:val="nil"/>
              <w:left w:val="nil"/>
              <w:bottom w:val="nil"/>
              <w:right w:val="nil"/>
            </w:tcBorders>
            <w:shd w:val="clear" w:color="auto" w:fill="auto"/>
            <w:vAlign w:val="center"/>
            <w:hideMark/>
          </w:tcPr>
          <w:p w14:paraId="24922451" w14:textId="26AA3703" w:rsidR="00E541D7" w:rsidRPr="00411555" w:rsidRDefault="00552122" w:rsidP="00E541D7">
            <w:pPr>
              <w:spacing w:after="120"/>
              <w:jc w:val="right"/>
              <w:rPr>
                <w:rFonts w:ascii="Calibri" w:hAnsi="Calibri" w:cs="Calibri"/>
                <w:color w:val="000000"/>
                <w:sz w:val="16"/>
                <w:szCs w:val="16"/>
              </w:rPr>
            </w:pPr>
            <w:r>
              <w:rPr>
                <w:rFonts w:ascii="Calibri" w:hAnsi="Calibri" w:cs="Calibri"/>
                <w:color w:val="000000"/>
                <w:sz w:val="16"/>
                <w:szCs w:val="16"/>
              </w:rPr>
              <w:t>841.696</w:t>
            </w:r>
          </w:p>
        </w:tc>
        <w:tc>
          <w:tcPr>
            <w:tcW w:w="983" w:type="pct"/>
            <w:tcBorders>
              <w:top w:val="nil"/>
              <w:left w:val="nil"/>
              <w:bottom w:val="nil"/>
              <w:right w:val="nil"/>
            </w:tcBorders>
            <w:shd w:val="clear" w:color="auto" w:fill="auto"/>
            <w:vAlign w:val="center"/>
            <w:hideMark/>
          </w:tcPr>
          <w:p w14:paraId="1587F34C" w14:textId="1FCE1DA3" w:rsidR="00E541D7" w:rsidRPr="00411555" w:rsidRDefault="00552122" w:rsidP="00E541D7">
            <w:pPr>
              <w:spacing w:after="120"/>
              <w:jc w:val="right"/>
              <w:rPr>
                <w:rFonts w:ascii="Calibri" w:hAnsi="Calibri" w:cs="Calibri"/>
                <w:color w:val="000000"/>
                <w:sz w:val="16"/>
                <w:szCs w:val="16"/>
              </w:rPr>
            </w:pPr>
            <w:r>
              <w:rPr>
                <w:rFonts w:ascii="Calibri" w:hAnsi="Calibri" w:cs="Calibri"/>
                <w:color w:val="000000"/>
                <w:sz w:val="16"/>
                <w:szCs w:val="16"/>
              </w:rPr>
              <w:t>12.579.829</w:t>
            </w:r>
          </w:p>
        </w:tc>
        <w:tc>
          <w:tcPr>
            <w:tcW w:w="949" w:type="pct"/>
            <w:tcBorders>
              <w:top w:val="nil"/>
              <w:left w:val="nil"/>
              <w:bottom w:val="nil"/>
              <w:right w:val="nil"/>
            </w:tcBorders>
            <w:shd w:val="clear" w:color="auto" w:fill="auto"/>
            <w:hideMark/>
          </w:tcPr>
          <w:p w14:paraId="1B8D631C" w14:textId="779DA4E3" w:rsidR="00E541D7" w:rsidRPr="00411555" w:rsidRDefault="00E541D7" w:rsidP="00E541D7">
            <w:pPr>
              <w:spacing w:after="120"/>
              <w:jc w:val="right"/>
              <w:rPr>
                <w:rFonts w:ascii="Calibri" w:hAnsi="Calibri" w:cs="Calibri"/>
                <w:color w:val="000000"/>
                <w:sz w:val="16"/>
                <w:szCs w:val="16"/>
              </w:rPr>
            </w:pPr>
            <w:r w:rsidRPr="00E541D7">
              <w:rPr>
                <w:rFonts w:ascii="Calibri" w:hAnsi="Calibri" w:cs="Calibri"/>
                <w:color w:val="000000"/>
                <w:sz w:val="16"/>
                <w:szCs w:val="16"/>
              </w:rPr>
              <w:t>17.849.843</w:t>
            </w:r>
          </w:p>
        </w:tc>
      </w:tr>
      <w:tr w:rsidR="00E541D7" w:rsidRPr="00411555" w14:paraId="494BA4B7" w14:textId="77777777" w:rsidTr="007D40EC">
        <w:trPr>
          <w:trHeight w:hRule="exact" w:val="227"/>
        </w:trPr>
        <w:tc>
          <w:tcPr>
            <w:tcW w:w="767" w:type="pct"/>
            <w:tcBorders>
              <w:top w:val="nil"/>
              <w:left w:val="nil"/>
              <w:bottom w:val="single" w:sz="8" w:space="0" w:color="auto"/>
              <w:right w:val="nil"/>
            </w:tcBorders>
            <w:shd w:val="clear" w:color="auto" w:fill="auto"/>
            <w:vAlign w:val="center"/>
            <w:hideMark/>
          </w:tcPr>
          <w:p w14:paraId="532160D2" w14:textId="77777777" w:rsidR="00E541D7" w:rsidRPr="00411555" w:rsidRDefault="00E541D7" w:rsidP="00E541D7">
            <w:pPr>
              <w:spacing w:after="120"/>
              <w:jc w:val="both"/>
              <w:rPr>
                <w:rFonts w:ascii="Calibri" w:hAnsi="Calibri" w:cs="Calibri"/>
                <w:color w:val="000000"/>
                <w:sz w:val="16"/>
                <w:szCs w:val="16"/>
              </w:rPr>
            </w:pPr>
            <w:r w:rsidRPr="00411555">
              <w:rPr>
                <w:rFonts w:ascii="Calibri" w:hAnsi="Calibri" w:cs="Calibri"/>
                <w:color w:val="000000"/>
                <w:sz w:val="16"/>
                <w:szCs w:val="16"/>
              </w:rPr>
              <w:t>Extinto GEIPOT</w:t>
            </w:r>
          </w:p>
        </w:tc>
        <w:tc>
          <w:tcPr>
            <w:tcW w:w="767" w:type="pct"/>
            <w:tcBorders>
              <w:top w:val="nil"/>
              <w:left w:val="nil"/>
              <w:bottom w:val="single" w:sz="8" w:space="0" w:color="auto"/>
              <w:right w:val="nil"/>
            </w:tcBorders>
            <w:shd w:val="clear" w:color="auto" w:fill="auto"/>
            <w:vAlign w:val="center"/>
            <w:hideMark/>
          </w:tcPr>
          <w:p w14:paraId="428C3F9E" w14:textId="77777777" w:rsidR="00E541D7" w:rsidRPr="00411555" w:rsidRDefault="00E541D7" w:rsidP="00E541D7">
            <w:pPr>
              <w:spacing w:after="120"/>
              <w:jc w:val="right"/>
              <w:rPr>
                <w:rFonts w:ascii="Calibri" w:hAnsi="Calibri" w:cs="Calibri"/>
                <w:color w:val="000000"/>
                <w:sz w:val="16"/>
                <w:szCs w:val="16"/>
              </w:rPr>
            </w:pPr>
            <w:r w:rsidRPr="00411555">
              <w:rPr>
                <w:rFonts w:ascii="Calibri" w:hAnsi="Calibri" w:cs="Calibri"/>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19715662" w14:textId="7BBFE48A" w:rsidR="00E541D7" w:rsidRPr="00411555" w:rsidRDefault="00552122" w:rsidP="00E541D7">
            <w:pPr>
              <w:spacing w:after="120"/>
              <w:jc w:val="right"/>
              <w:rPr>
                <w:rFonts w:ascii="Calibri" w:hAnsi="Calibri" w:cs="Calibri"/>
                <w:color w:val="000000"/>
                <w:sz w:val="16"/>
                <w:szCs w:val="16"/>
              </w:rPr>
            </w:pPr>
            <w:r>
              <w:rPr>
                <w:rFonts w:ascii="Calibri" w:hAnsi="Calibri" w:cs="Calibri"/>
                <w:color w:val="000000"/>
                <w:sz w:val="16"/>
                <w:szCs w:val="16"/>
              </w:rPr>
              <w:t>2.706.917</w:t>
            </w:r>
          </w:p>
        </w:tc>
        <w:tc>
          <w:tcPr>
            <w:tcW w:w="767" w:type="pct"/>
            <w:tcBorders>
              <w:top w:val="nil"/>
              <w:left w:val="nil"/>
              <w:bottom w:val="single" w:sz="8" w:space="0" w:color="auto"/>
              <w:right w:val="nil"/>
            </w:tcBorders>
            <w:shd w:val="clear" w:color="auto" w:fill="auto"/>
            <w:vAlign w:val="center"/>
            <w:hideMark/>
          </w:tcPr>
          <w:p w14:paraId="2C0BBA1B" w14:textId="44480775" w:rsidR="00E541D7" w:rsidRPr="00411555" w:rsidRDefault="00E541D7" w:rsidP="00E541D7">
            <w:pPr>
              <w:spacing w:after="120"/>
              <w:jc w:val="right"/>
              <w:rPr>
                <w:rFonts w:ascii="Calibri" w:hAnsi="Calibri" w:cs="Calibri"/>
                <w:color w:val="000000"/>
                <w:sz w:val="16"/>
                <w:szCs w:val="16"/>
              </w:rPr>
            </w:pPr>
            <w:r>
              <w:rPr>
                <w:rFonts w:ascii="Calibri" w:hAnsi="Calibri" w:cs="Calibri"/>
                <w:color w:val="000000"/>
                <w:sz w:val="16"/>
                <w:szCs w:val="16"/>
              </w:rPr>
              <w:t>1</w:t>
            </w:r>
            <w:r w:rsidR="00552122">
              <w:rPr>
                <w:rFonts w:ascii="Calibri" w:hAnsi="Calibri" w:cs="Calibri"/>
                <w:color w:val="000000"/>
                <w:sz w:val="16"/>
                <w:szCs w:val="16"/>
              </w:rPr>
              <w:t>91.267</w:t>
            </w:r>
          </w:p>
        </w:tc>
        <w:tc>
          <w:tcPr>
            <w:tcW w:w="983" w:type="pct"/>
            <w:tcBorders>
              <w:top w:val="nil"/>
              <w:left w:val="nil"/>
              <w:bottom w:val="single" w:sz="8" w:space="0" w:color="auto"/>
              <w:right w:val="nil"/>
            </w:tcBorders>
            <w:shd w:val="clear" w:color="auto" w:fill="auto"/>
            <w:vAlign w:val="center"/>
            <w:hideMark/>
          </w:tcPr>
          <w:p w14:paraId="58EF62BE" w14:textId="4D6E0A13" w:rsidR="00E541D7" w:rsidRPr="00411555" w:rsidRDefault="00552122" w:rsidP="00E541D7">
            <w:pPr>
              <w:spacing w:after="120"/>
              <w:jc w:val="right"/>
              <w:rPr>
                <w:rFonts w:ascii="Calibri" w:hAnsi="Calibri" w:cs="Calibri"/>
                <w:color w:val="000000"/>
                <w:sz w:val="16"/>
                <w:szCs w:val="16"/>
              </w:rPr>
            </w:pPr>
            <w:r>
              <w:rPr>
                <w:rFonts w:ascii="Calibri" w:hAnsi="Calibri" w:cs="Calibri"/>
                <w:color w:val="000000"/>
                <w:sz w:val="16"/>
                <w:szCs w:val="16"/>
              </w:rPr>
              <w:t>2.898.184</w:t>
            </w:r>
          </w:p>
        </w:tc>
        <w:tc>
          <w:tcPr>
            <w:tcW w:w="949" w:type="pct"/>
            <w:tcBorders>
              <w:top w:val="nil"/>
              <w:left w:val="nil"/>
              <w:bottom w:val="single" w:sz="8" w:space="0" w:color="auto"/>
              <w:right w:val="nil"/>
            </w:tcBorders>
            <w:shd w:val="clear" w:color="auto" w:fill="auto"/>
            <w:hideMark/>
          </w:tcPr>
          <w:p w14:paraId="72ABF10E" w14:textId="1B0C3391" w:rsidR="00E541D7" w:rsidRPr="00411555" w:rsidRDefault="00E541D7" w:rsidP="00E541D7">
            <w:pPr>
              <w:spacing w:after="120"/>
              <w:jc w:val="right"/>
              <w:rPr>
                <w:rFonts w:ascii="Calibri" w:hAnsi="Calibri" w:cs="Calibri"/>
                <w:color w:val="000000"/>
                <w:sz w:val="16"/>
                <w:szCs w:val="16"/>
              </w:rPr>
            </w:pPr>
            <w:r w:rsidRPr="00E541D7">
              <w:rPr>
                <w:rFonts w:ascii="Calibri" w:hAnsi="Calibri" w:cs="Calibri"/>
                <w:color w:val="000000"/>
                <w:sz w:val="16"/>
                <w:szCs w:val="16"/>
              </w:rPr>
              <w:t>4.022.430</w:t>
            </w:r>
          </w:p>
        </w:tc>
      </w:tr>
      <w:tr w:rsidR="006F322E" w:rsidRPr="00411555" w14:paraId="6C247AEB" w14:textId="77777777" w:rsidTr="00BD5174">
        <w:trPr>
          <w:trHeight w:hRule="exact" w:val="227"/>
        </w:trPr>
        <w:tc>
          <w:tcPr>
            <w:tcW w:w="767" w:type="pct"/>
            <w:tcBorders>
              <w:top w:val="nil"/>
              <w:left w:val="nil"/>
              <w:bottom w:val="single" w:sz="8" w:space="0" w:color="auto"/>
              <w:right w:val="nil"/>
            </w:tcBorders>
            <w:shd w:val="clear" w:color="auto" w:fill="auto"/>
            <w:vAlign w:val="center"/>
            <w:hideMark/>
          </w:tcPr>
          <w:p w14:paraId="75FAD96B" w14:textId="77777777" w:rsidR="006F322E" w:rsidRPr="00411555" w:rsidRDefault="006F322E" w:rsidP="00937ED9">
            <w:pPr>
              <w:spacing w:after="120"/>
              <w:jc w:val="both"/>
              <w:rPr>
                <w:rFonts w:ascii="Calibri" w:hAnsi="Calibri" w:cs="Calibri"/>
                <w:b/>
                <w:bCs/>
                <w:color w:val="000000"/>
                <w:sz w:val="16"/>
                <w:szCs w:val="16"/>
              </w:rPr>
            </w:pPr>
            <w:r w:rsidRPr="00411555">
              <w:rPr>
                <w:rFonts w:ascii="Calibri" w:hAnsi="Calibri" w:cs="Calibri"/>
                <w:b/>
                <w:bCs/>
                <w:color w:val="000000"/>
                <w:sz w:val="16"/>
                <w:szCs w:val="16"/>
              </w:rPr>
              <w:t>Total Geral</w:t>
            </w:r>
          </w:p>
        </w:tc>
        <w:tc>
          <w:tcPr>
            <w:tcW w:w="767" w:type="pct"/>
            <w:tcBorders>
              <w:top w:val="nil"/>
              <w:left w:val="nil"/>
              <w:bottom w:val="single" w:sz="8" w:space="0" w:color="auto"/>
              <w:right w:val="nil"/>
            </w:tcBorders>
            <w:shd w:val="clear" w:color="auto" w:fill="auto"/>
            <w:vAlign w:val="center"/>
            <w:hideMark/>
          </w:tcPr>
          <w:p w14:paraId="3373CF04" w14:textId="77777777" w:rsidR="006F322E" w:rsidRPr="00411555" w:rsidRDefault="006F322E" w:rsidP="00937ED9">
            <w:pPr>
              <w:spacing w:after="120"/>
              <w:jc w:val="right"/>
              <w:rPr>
                <w:rFonts w:ascii="Calibri" w:hAnsi="Calibri" w:cs="Calibri"/>
                <w:b/>
                <w:bCs/>
                <w:color w:val="000000"/>
                <w:sz w:val="16"/>
                <w:szCs w:val="16"/>
              </w:rPr>
            </w:pPr>
            <w:r w:rsidRPr="00411555">
              <w:rPr>
                <w:rFonts w:ascii="Calibri" w:hAnsi="Calibri" w:cs="Calibri"/>
                <w:b/>
                <w:bCs/>
                <w:color w:val="000000"/>
                <w:sz w:val="16"/>
                <w:szCs w:val="16"/>
              </w:rPr>
              <w:t> </w:t>
            </w:r>
          </w:p>
        </w:tc>
        <w:tc>
          <w:tcPr>
            <w:tcW w:w="767" w:type="pct"/>
            <w:tcBorders>
              <w:top w:val="nil"/>
              <w:left w:val="nil"/>
              <w:bottom w:val="single" w:sz="8" w:space="0" w:color="auto"/>
              <w:right w:val="nil"/>
            </w:tcBorders>
            <w:shd w:val="clear" w:color="auto" w:fill="auto"/>
            <w:vAlign w:val="center"/>
            <w:hideMark/>
          </w:tcPr>
          <w:p w14:paraId="7CD98AB7" w14:textId="6085B722" w:rsidR="006F322E" w:rsidRPr="00411555" w:rsidRDefault="00552122" w:rsidP="00937ED9">
            <w:pPr>
              <w:spacing w:after="120"/>
              <w:jc w:val="right"/>
              <w:rPr>
                <w:rFonts w:ascii="Calibri" w:hAnsi="Calibri" w:cs="Calibri"/>
                <w:b/>
                <w:bCs/>
                <w:color w:val="000000"/>
                <w:sz w:val="16"/>
                <w:szCs w:val="16"/>
              </w:rPr>
            </w:pPr>
            <w:r>
              <w:rPr>
                <w:rFonts w:ascii="Calibri" w:hAnsi="Calibri" w:cs="Calibri"/>
                <w:b/>
                <w:bCs/>
                <w:color w:val="000000"/>
                <w:sz w:val="16"/>
                <w:szCs w:val="16"/>
              </w:rPr>
              <w:t>91.355.332</w:t>
            </w:r>
          </w:p>
        </w:tc>
        <w:tc>
          <w:tcPr>
            <w:tcW w:w="767" w:type="pct"/>
            <w:tcBorders>
              <w:top w:val="nil"/>
              <w:left w:val="nil"/>
              <w:bottom w:val="single" w:sz="8" w:space="0" w:color="auto"/>
              <w:right w:val="nil"/>
            </w:tcBorders>
            <w:shd w:val="clear" w:color="auto" w:fill="auto"/>
            <w:vAlign w:val="center"/>
            <w:hideMark/>
          </w:tcPr>
          <w:p w14:paraId="40AB8C83" w14:textId="5FB6998D" w:rsidR="006F322E" w:rsidRPr="00411555" w:rsidRDefault="00552122" w:rsidP="00937ED9">
            <w:pPr>
              <w:spacing w:after="120"/>
              <w:jc w:val="right"/>
              <w:rPr>
                <w:rFonts w:ascii="Calibri" w:hAnsi="Calibri" w:cs="Calibri"/>
                <w:b/>
                <w:bCs/>
                <w:color w:val="000000"/>
                <w:sz w:val="16"/>
                <w:szCs w:val="16"/>
              </w:rPr>
            </w:pPr>
            <w:r>
              <w:rPr>
                <w:rFonts w:ascii="Calibri" w:hAnsi="Calibri" w:cs="Calibri"/>
                <w:b/>
                <w:bCs/>
                <w:color w:val="000000"/>
                <w:sz w:val="16"/>
                <w:szCs w:val="16"/>
              </w:rPr>
              <w:t>18.063.428</w:t>
            </w:r>
          </w:p>
        </w:tc>
        <w:tc>
          <w:tcPr>
            <w:tcW w:w="983" w:type="pct"/>
            <w:tcBorders>
              <w:top w:val="nil"/>
              <w:left w:val="nil"/>
              <w:bottom w:val="single" w:sz="8" w:space="0" w:color="auto"/>
              <w:right w:val="nil"/>
            </w:tcBorders>
            <w:shd w:val="clear" w:color="auto" w:fill="auto"/>
            <w:vAlign w:val="center"/>
            <w:hideMark/>
          </w:tcPr>
          <w:p w14:paraId="103A4526" w14:textId="71E23C52" w:rsidR="006F322E" w:rsidRPr="00411555" w:rsidRDefault="00552122" w:rsidP="00937ED9">
            <w:pPr>
              <w:spacing w:after="120"/>
              <w:jc w:val="right"/>
              <w:rPr>
                <w:rFonts w:ascii="Calibri" w:hAnsi="Calibri" w:cs="Calibri"/>
                <w:b/>
                <w:bCs/>
                <w:color w:val="000000"/>
                <w:sz w:val="16"/>
                <w:szCs w:val="16"/>
              </w:rPr>
            </w:pPr>
            <w:r>
              <w:rPr>
                <w:rFonts w:ascii="Calibri" w:hAnsi="Calibri" w:cs="Calibri"/>
                <w:b/>
                <w:bCs/>
                <w:color w:val="000000"/>
                <w:sz w:val="16"/>
                <w:szCs w:val="16"/>
              </w:rPr>
              <w:t>109.418.760</w:t>
            </w:r>
          </w:p>
        </w:tc>
        <w:tc>
          <w:tcPr>
            <w:tcW w:w="949" w:type="pct"/>
            <w:tcBorders>
              <w:top w:val="nil"/>
              <w:left w:val="nil"/>
              <w:bottom w:val="single" w:sz="8" w:space="0" w:color="auto"/>
              <w:right w:val="nil"/>
            </w:tcBorders>
            <w:shd w:val="clear" w:color="auto" w:fill="auto"/>
            <w:vAlign w:val="center"/>
            <w:hideMark/>
          </w:tcPr>
          <w:p w14:paraId="267B8831" w14:textId="57770DE8" w:rsidR="006F322E" w:rsidRPr="00411555" w:rsidRDefault="00E541D7" w:rsidP="00937ED9">
            <w:pPr>
              <w:spacing w:after="120"/>
              <w:jc w:val="right"/>
              <w:rPr>
                <w:rFonts w:ascii="Calibri" w:hAnsi="Calibri" w:cs="Calibri"/>
                <w:b/>
                <w:bCs/>
                <w:color w:val="000000"/>
                <w:sz w:val="16"/>
                <w:szCs w:val="16"/>
              </w:rPr>
            </w:pPr>
            <w:r w:rsidRPr="00E541D7">
              <w:rPr>
                <w:rFonts w:ascii="Calibri" w:hAnsi="Calibri" w:cs="Calibri"/>
                <w:b/>
                <w:bCs/>
                <w:color w:val="000000"/>
                <w:sz w:val="16"/>
                <w:szCs w:val="16"/>
              </w:rPr>
              <w:t>102.401.153</w:t>
            </w:r>
          </w:p>
        </w:tc>
      </w:tr>
    </w:tbl>
    <w:p w14:paraId="36C05535" w14:textId="032540EB" w:rsidR="00586348" w:rsidRDefault="00586348" w:rsidP="00586348">
      <w:pPr>
        <w:spacing w:before="120" w:after="120"/>
        <w:ind w:right="-142"/>
        <w:jc w:val="both"/>
        <w:rPr>
          <w:rFonts w:ascii="Calibri" w:hAnsi="Calibri" w:cs="Calibri"/>
          <w:b/>
          <w:sz w:val="22"/>
          <w:szCs w:val="22"/>
        </w:rPr>
      </w:pPr>
      <w:r w:rsidRPr="00411555">
        <w:rPr>
          <w:rFonts w:ascii="Calibri" w:hAnsi="Calibri" w:cs="Calibri"/>
          <w:b/>
          <w:sz w:val="22"/>
          <w:szCs w:val="22"/>
        </w:rPr>
        <w:t>NOTA 2</w:t>
      </w:r>
      <w:r>
        <w:rPr>
          <w:rFonts w:ascii="Calibri" w:hAnsi="Calibri" w:cs="Calibri"/>
          <w:b/>
          <w:sz w:val="22"/>
          <w:szCs w:val="22"/>
        </w:rPr>
        <w:t>3</w:t>
      </w:r>
      <w:r w:rsidRPr="00411555">
        <w:rPr>
          <w:rFonts w:ascii="Calibri" w:hAnsi="Calibri" w:cs="Calibri"/>
          <w:b/>
          <w:sz w:val="22"/>
          <w:szCs w:val="22"/>
        </w:rPr>
        <w:t xml:space="preserve"> – </w:t>
      </w:r>
      <w:r>
        <w:rPr>
          <w:rFonts w:ascii="Calibri" w:hAnsi="Calibri" w:cs="Calibri"/>
          <w:b/>
          <w:sz w:val="22"/>
          <w:szCs w:val="22"/>
        </w:rPr>
        <w:t>IMPOSTO DE RENDA E CONTRIBUIÇÃO SOCIAL</w:t>
      </w:r>
    </w:p>
    <w:p w14:paraId="4738277A" w14:textId="5552EB60" w:rsidR="00586348" w:rsidRDefault="00D17B5E" w:rsidP="00586348">
      <w:pPr>
        <w:spacing w:before="120" w:after="120"/>
        <w:ind w:right="-142"/>
        <w:jc w:val="both"/>
        <w:rPr>
          <w:rFonts w:ascii="Calibri" w:hAnsi="Calibri" w:cs="Calibri"/>
          <w:sz w:val="22"/>
          <w:szCs w:val="22"/>
        </w:rPr>
      </w:pPr>
      <w:r>
        <w:rPr>
          <w:rFonts w:ascii="Calibri" w:hAnsi="Calibri" w:cs="Calibri"/>
          <w:sz w:val="22"/>
          <w:szCs w:val="22"/>
        </w:rPr>
        <w:t xml:space="preserve">No ano de 2021 a então Valec apurou lucro real tributável no 2º trimestre, o que ensejou o pagamento </w:t>
      </w:r>
      <w:r w:rsidR="004F3BC8">
        <w:rPr>
          <w:rFonts w:ascii="Calibri" w:hAnsi="Calibri" w:cs="Calibri"/>
          <w:sz w:val="22"/>
          <w:szCs w:val="22"/>
        </w:rPr>
        <w:t>das obrigações tributárias</w:t>
      </w:r>
      <w:r w:rsidR="00AA0B77">
        <w:rPr>
          <w:rFonts w:ascii="Calibri" w:hAnsi="Calibri" w:cs="Calibri"/>
          <w:sz w:val="22"/>
          <w:szCs w:val="22"/>
        </w:rPr>
        <w:t xml:space="preserve"> no</w:t>
      </w:r>
      <w:r w:rsidR="00AA0B77" w:rsidRPr="00AA0B77">
        <w:rPr>
          <w:rFonts w:ascii="Calibri" w:hAnsi="Calibri" w:cs="Calibri"/>
          <w:sz w:val="22"/>
          <w:szCs w:val="22"/>
        </w:rPr>
        <w:t xml:space="preserve"> valor de R$ 169.037 de Imposto de Renda e R$ 65.563 de CSLL</w:t>
      </w:r>
      <w:r w:rsidR="00AA0B77">
        <w:rPr>
          <w:rFonts w:ascii="Calibri" w:hAnsi="Calibri" w:cs="Calibri"/>
          <w:sz w:val="22"/>
          <w:szCs w:val="22"/>
        </w:rPr>
        <w:t>,</w:t>
      </w:r>
      <w:r w:rsidR="004F3BC8">
        <w:rPr>
          <w:rFonts w:ascii="Calibri" w:hAnsi="Calibri" w:cs="Calibri"/>
          <w:sz w:val="22"/>
          <w:szCs w:val="22"/>
        </w:rPr>
        <w:t xml:space="preserve"> por ocasião da entrega da Escrituração Contábil Fiscal (ECF) em 2022.</w:t>
      </w:r>
    </w:p>
    <w:p w14:paraId="2DB1171A" w14:textId="71F0DAF6" w:rsidR="000570AA" w:rsidRPr="00411555" w:rsidRDefault="000570AA" w:rsidP="00586348">
      <w:pPr>
        <w:spacing w:before="120" w:after="120"/>
        <w:ind w:right="-142"/>
        <w:jc w:val="both"/>
        <w:rPr>
          <w:rFonts w:ascii="Calibri" w:hAnsi="Calibri" w:cs="Calibri"/>
          <w:b/>
          <w:sz w:val="22"/>
          <w:szCs w:val="22"/>
        </w:rPr>
      </w:pPr>
      <w:r>
        <w:rPr>
          <w:rFonts w:ascii="Calibri" w:hAnsi="Calibri" w:cs="Calibri"/>
          <w:sz w:val="22"/>
          <w:szCs w:val="22"/>
        </w:rPr>
        <w:t>Tal situação é inédita para a empresa, não tendo ocorrido uma vez sequer, no período de dez anos analisados.</w:t>
      </w:r>
    </w:p>
    <w:p w14:paraId="118B09E7" w14:textId="0B16E02E" w:rsidR="000C065B" w:rsidRPr="00411555" w:rsidRDefault="0006483C" w:rsidP="000B3A75">
      <w:pPr>
        <w:spacing w:before="120" w:after="120"/>
        <w:ind w:right="-142"/>
        <w:jc w:val="both"/>
        <w:rPr>
          <w:rFonts w:ascii="Calibri" w:hAnsi="Calibri" w:cs="Calibri"/>
          <w:b/>
          <w:sz w:val="22"/>
          <w:szCs w:val="22"/>
        </w:rPr>
      </w:pPr>
      <w:r w:rsidRPr="00411555">
        <w:rPr>
          <w:rFonts w:ascii="Calibri" w:hAnsi="Calibri" w:cs="Calibri"/>
          <w:b/>
          <w:sz w:val="22"/>
          <w:szCs w:val="22"/>
        </w:rPr>
        <w:t>NOTA 2</w:t>
      </w:r>
      <w:r w:rsidR="00586348">
        <w:rPr>
          <w:rFonts w:ascii="Calibri" w:hAnsi="Calibri" w:cs="Calibri"/>
          <w:b/>
          <w:sz w:val="22"/>
          <w:szCs w:val="22"/>
        </w:rPr>
        <w:t>4</w:t>
      </w:r>
      <w:r w:rsidRPr="00411555">
        <w:rPr>
          <w:rFonts w:ascii="Calibri" w:hAnsi="Calibri" w:cs="Calibri"/>
          <w:b/>
          <w:sz w:val="22"/>
          <w:szCs w:val="22"/>
        </w:rPr>
        <w:t xml:space="preserve"> – RESULTADO DO EXERCÍCIO</w:t>
      </w:r>
    </w:p>
    <w:p w14:paraId="26A5ED8B" w14:textId="35F60543" w:rsidR="002D2F93" w:rsidRPr="00411555" w:rsidRDefault="005C7859" w:rsidP="003E0C6C">
      <w:pPr>
        <w:spacing w:after="120"/>
        <w:ind w:right="-142"/>
        <w:jc w:val="both"/>
        <w:rPr>
          <w:rFonts w:ascii="Calibri" w:hAnsi="Calibri" w:cs="Calibri"/>
          <w:b/>
          <w:sz w:val="22"/>
          <w:szCs w:val="22"/>
        </w:rPr>
      </w:pPr>
      <w:r>
        <w:rPr>
          <w:rFonts w:ascii="Calibri" w:hAnsi="Calibri" w:cs="Calibri"/>
          <w:bCs/>
          <w:sz w:val="22"/>
          <w:szCs w:val="22"/>
        </w:rPr>
        <w:t xml:space="preserve">Até </w:t>
      </w:r>
      <w:r w:rsidR="000C05F8" w:rsidRPr="00411555">
        <w:rPr>
          <w:rFonts w:ascii="Calibri" w:hAnsi="Calibri" w:cs="Calibri"/>
          <w:bCs/>
          <w:sz w:val="22"/>
          <w:szCs w:val="22"/>
        </w:rPr>
        <w:t xml:space="preserve">o </w:t>
      </w:r>
      <w:r w:rsidR="00CF0501">
        <w:rPr>
          <w:rFonts w:ascii="Calibri" w:hAnsi="Calibri" w:cs="Calibri"/>
          <w:bCs/>
          <w:sz w:val="22"/>
          <w:szCs w:val="22"/>
        </w:rPr>
        <w:t>3</w:t>
      </w:r>
      <w:r w:rsidR="00BD5174">
        <w:rPr>
          <w:rFonts w:ascii="Calibri" w:hAnsi="Calibri" w:cs="Calibri"/>
          <w:bCs/>
          <w:sz w:val="22"/>
          <w:szCs w:val="22"/>
        </w:rPr>
        <w:t>º trimestre de 2022</w:t>
      </w:r>
      <w:r w:rsidR="000C05F8" w:rsidRPr="00411555">
        <w:rPr>
          <w:rFonts w:ascii="Calibri" w:hAnsi="Calibri" w:cs="Calibri"/>
          <w:bCs/>
          <w:sz w:val="22"/>
          <w:szCs w:val="22"/>
        </w:rPr>
        <w:t>,</w:t>
      </w:r>
      <w:r w:rsidR="00B915D2" w:rsidRPr="00411555">
        <w:rPr>
          <w:rFonts w:ascii="Calibri" w:hAnsi="Calibri" w:cs="Calibri"/>
          <w:bCs/>
          <w:sz w:val="22"/>
          <w:szCs w:val="22"/>
        </w:rPr>
        <w:t xml:space="preserve"> </w:t>
      </w:r>
      <w:r w:rsidR="000C05F8" w:rsidRPr="00411555">
        <w:rPr>
          <w:rFonts w:ascii="Calibri" w:hAnsi="Calibri" w:cs="Calibri"/>
          <w:bCs/>
          <w:sz w:val="22"/>
          <w:szCs w:val="22"/>
        </w:rPr>
        <w:t xml:space="preserve">a </w:t>
      </w:r>
      <w:r w:rsidR="00E11BEF">
        <w:rPr>
          <w:rFonts w:ascii="Calibri" w:hAnsi="Calibri" w:cs="Calibri"/>
          <w:bCs/>
          <w:sz w:val="22"/>
          <w:szCs w:val="22"/>
        </w:rPr>
        <w:t>Infra</w:t>
      </w:r>
      <w:r w:rsidR="00CF0501">
        <w:rPr>
          <w:rFonts w:ascii="Calibri" w:hAnsi="Calibri" w:cs="Calibri"/>
          <w:bCs/>
          <w:sz w:val="22"/>
          <w:szCs w:val="22"/>
        </w:rPr>
        <w:t xml:space="preserve"> S.A.</w:t>
      </w:r>
      <w:r w:rsidR="000C05F8" w:rsidRPr="00411555">
        <w:rPr>
          <w:rFonts w:ascii="Calibri" w:hAnsi="Calibri" w:cs="Calibri"/>
          <w:bCs/>
          <w:sz w:val="22"/>
          <w:szCs w:val="22"/>
        </w:rPr>
        <w:t xml:space="preserve"> apresentou um resultado </w:t>
      </w:r>
      <w:r>
        <w:rPr>
          <w:rFonts w:ascii="Calibri" w:hAnsi="Calibri" w:cs="Calibri"/>
          <w:bCs/>
          <w:sz w:val="22"/>
          <w:szCs w:val="22"/>
        </w:rPr>
        <w:t>positivo de</w:t>
      </w:r>
      <w:r w:rsidR="00CA15BC">
        <w:rPr>
          <w:rFonts w:ascii="Calibri" w:hAnsi="Calibri" w:cs="Calibri"/>
          <w:bCs/>
          <w:sz w:val="22"/>
          <w:szCs w:val="22"/>
        </w:rPr>
        <w:t xml:space="preserve"> </w:t>
      </w:r>
      <w:r>
        <w:rPr>
          <w:rFonts w:ascii="Calibri" w:hAnsi="Calibri" w:cs="Calibri"/>
          <w:bCs/>
          <w:sz w:val="22"/>
          <w:szCs w:val="22"/>
        </w:rPr>
        <w:t>4,9</w:t>
      </w:r>
      <w:r w:rsidR="00CF0501">
        <w:rPr>
          <w:rFonts w:ascii="Calibri" w:hAnsi="Calibri" w:cs="Calibri"/>
          <w:bCs/>
          <w:sz w:val="22"/>
          <w:szCs w:val="22"/>
        </w:rPr>
        <w:t>9</w:t>
      </w:r>
      <w:r w:rsidR="00BD5174">
        <w:rPr>
          <w:rFonts w:ascii="Calibri" w:hAnsi="Calibri" w:cs="Calibri"/>
          <w:bCs/>
          <w:sz w:val="22"/>
          <w:szCs w:val="22"/>
        </w:rPr>
        <w:t xml:space="preserve"> m</w:t>
      </w:r>
      <w:r w:rsidR="007449DE" w:rsidRPr="00411555">
        <w:rPr>
          <w:rFonts w:ascii="Calibri" w:hAnsi="Calibri" w:cs="Calibri"/>
          <w:bCs/>
          <w:sz w:val="22"/>
          <w:szCs w:val="22"/>
        </w:rPr>
        <w:t>ilhões</w:t>
      </w:r>
      <w:r w:rsidR="00061B92">
        <w:rPr>
          <w:rFonts w:ascii="Calibri" w:hAnsi="Calibri" w:cs="Calibri"/>
          <w:bCs/>
          <w:sz w:val="22"/>
          <w:szCs w:val="22"/>
        </w:rPr>
        <w:t>,</w:t>
      </w:r>
      <w:r w:rsidR="00061B92" w:rsidRPr="00061B92">
        <w:rPr>
          <w:rFonts w:ascii="Calibri" w:hAnsi="Calibri" w:cs="Calibri"/>
          <w:bCs/>
          <w:sz w:val="22"/>
          <w:szCs w:val="22"/>
        </w:rPr>
        <w:t xml:space="preserve"> </w:t>
      </w:r>
      <w:r w:rsidR="00061B92" w:rsidRPr="003C3F27">
        <w:rPr>
          <w:rFonts w:ascii="Calibri" w:hAnsi="Calibri" w:cs="Calibri"/>
          <w:bCs/>
          <w:sz w:val="22"/>
          <w:szCs w:val="22"/>
        </w:rPr>
        <w:t xml:space="preserve">influenciado principalmente </w:t>
      </w:r>
      <w:r w:rsidR="00F22275">
        <w:rPr>
          <w:rFonts w:ascii="Calibri" w:hAnsi="Calibri" w:cs="Calibri"/>
          <w:bCs/>
          <w:sz w:val="22"/>
          <w:szCs w:val="22"/>
        </w:rPr>
        <w:t xml:space="preserve">pela </w:t>
      </w:r>
      <w:r>
        <w:rPr>
          <w:rFonts w:ascii="Calibri" w:hAnsi="Calibri" w:cs="Calibri"/>
          <w:bCs/>
          <w:sz w:val="22"/>
          <w:szCs w:val="22"/>
        </w:rPr>
        <w:t xml:space="preserve">reversão </w:t>
      </w:r>
      <w:r w:rsidRPr="005C7859">
        <w:rPr>
          <w:rFonts w:ascii="Calibri" w:hAnsi="Calibri" w:cs="Calibri"/>
          <w:bCs/>
          <w:sz w:val="22"/>
          <w:szCs w:val="22"/>
        </w:rPr>
        <w:t>de provisões para contingências</w:t>
      </w:r>
      <w:r>
        <w:rPr>
          <w:rFonts w:ascii="Calibri" w:hAnsi="Calibri" w:cs="Calibri"/>
          <w:bCs/>
          <w:sz w:val="22"/>
          <w:szCs w:val="22"/>
        </w:rPr>
        <w:t xml:space="preserve"> judiciais.</w:t>
      </w:r>
    </w:p>
    <w:p w14:paraId="41C73B18" w14:textId="1237B9B1" w:rsidR="005B70D8" w:rsidRPr="00411555" w:rsidRDefault="00434FB3" w:rsidP="00937ED9">
      <w:pPr>
        <w:spacing w:after="120"/>
        <w:ind w:right="-142"/>
        <w:rPr>
          <w:rFonts w:ascii="Calibri" w:hAnsi="Calibri" w:cs="Calibri"/>
          <w:b/>
          <w:sz w:val="22"/>
          <w:szCs w:val="22"/>
        </w:rPr>
      </w:pPr>
      <w:r w:rsidRPr="00411555">
        <w:rPr>
          <w:rFonts w:ascii="Calibri" w:hAnsi="Calibri" w:cs="Calibri"/>
          <w:b/>
          <w:sz w:val="22"/>
          <w:szCs w:val="22"/>
        </w:rPr>
        <w:t>NOTA 2</w:t>
      </w:r>
      <w:r w:rsidR="00586348">
        <w:rPr>
          <w:rFonts w:ascii="Calibri" w:hAnsi="Calibri" w:cs="Calibri"/>
          <w:b/>
          <w:sz w:val="22"/>
          <w:szCs w:val="22"/>
        </w:rPr>
        <w:t>5</w:t>
      </w:r>
      <w:r w:rsidR="004E146F" w:rsidRPr="00411555">
        <w:rPr>
          <w:rFonts w:ascii="Calibri" w:hAnsi="Calibri" w:cs="Calibri"/>
          <w:b/>
          <w:sz w:val="22"/>
          <w:szCs w:val="22"/>
        </w:rPr>
        <w:t xml:space="preserve"> – INFORMAÇÕES COMPLEMENTARES ÀS DEMONSTRAÇÕES CONTÁBEIS </w:t>
      </w:r>
    </w:p>
    <w:p w14:paraId="1332CF5A" w14:textId="2EB0187D" w:rsidR="00332A42" w:rsidRPr="00411555" w:rsidRDefault="004E146F" w:rsidP="00937ED9">
      <w:pPr>
        <w:spacing w:after="120"/>
        <w:ind w:right="57"/>
        <w:jc w:val="both"/>
        <w:rPr>
          <w:rFonts w:ascii="Calibri" w:hAnsi="Calibri" w:cs="Calibri"/>
          <w:sz w:val="22"/>
          <w:szCs w:val="22"/>
        </w:rPr>
      </w:pPr>
      <w:r w:rsidRPr="00411555">
        <w:rPr>
          <w:rFonts w:ascii="Calibri" w:hAnsi="Calibri" w:cs="Calibri"/>
          <w:sz w:val="22"/>
          <w:szCs w:val="22"/>
        </w:rPr>
        <w:t>As informações complementares são informações que não são apresentadas nas demonstrações contábeis, mas que são consideradas relevantes para divulgação.</w:t>
      </w:r>
    </w:p>
    <w:p w14:paraId="3FF8C730" w14:textId="23645782" w:rsidR="00693972" w:rsidRPr="00411555" w:rsidRDefault="00117714" w:rsidP="00937ED9">
      <w:pPr>
        <w:spacing w:after="120"/>
        <w:ind w:right="-142"/>
        <w:rPr>
          <w:rFonts w:ascii="Calibri" w:hAnsi="Calibri" w:cs="Calibri"/>
          <w:b/>
          <w:sz w:val="22"/>
          <w:szCs w:val="22"/>
        </w:rPr>
      </w:pPr>
      <w:r w:rsidRPr="00411555">
        <w:rPr>
          <w:rFonts w:ascii="Calibri" w:hAnsi="Calibri" w:cs="Calibri"/>
          <w:b/>
          <w:sz w:val="22"/>
          <w:szCs w:val="22"/>
        </w:rPr>
        <w:t xml:space="preserve">I - </w:t>
      </w:r>
      <w:r w:rsidR="00CF6A42" w:rsidRPr="00411555">
        <w:rPr>
          <w:rFonts w:ascii="Calibri" w:hAnsi="Calibri" w:cs="Calibri"/>
          <w:b/>
          <w:sz w:val="22"/>
          <w:szCs w:val="22"/>
        </w:rPr>
        <w:t>Transações com partes relacionadas</w:t>
      </w:r>
    </w:p>
    <w:p w14:paraId="71D03A1E" w14:textId="4CC289E5" w:rsidR="004E146F" w:rsidRPr="00411555" w:rsidRDefault="00117714" w:rsidP="00937ED9">
      <w:pPr>
        <w:spacing w:after="120"/>
        <w:ind w:right="-142"/>
        <w:rPr>
          <w:rFonts w:ascii="Calibri" w:hAnsi="Calibri" w:cs="Calibri"/>
          <w:b/>
          <w:sz w:val="22"/>
          <w:szCs w:val="22"/>
        </w:rPr>
      </w:pPr>
      <w:r w:rsidRPr="00411555">
        <w:rPr>
          <w:rFonts w:ascii="Calibri" w:hAnsi="Calibri" w:cs="Calibri"/>
          <w:b/>
          <w:sz w:val="22"/>
          <w:szCs w:val="22"/>
        </w:rPr>
        <w:t xml:space="preserve">a) </w:t>
      </w:r>
      <w:r w:rsidR="001D6DEE" w:rsidRPr="00411555">
        <w:rPr>
          <w:rFonts w:ascii="Calibri" w:hAnsi="Calibri" w:cs="Calibri"/>
          <w:b/>
          <w:sz w:val="22"/>
          <w:szCs w:val="22"/>
        </w:rPr>
        <w:t>Remuneração de Diretores, Empregados</w:t>
      </w:r>
      <w:r w:rsidR="00E11BEF">
        <w:rPr>
          <w:rFonts w:ascii="Calibri" w:hAnsi="Calibri" w:cs="Calibri"/>
          <w:b/>
          <w:sz w:val="22"/>
          <w:szCs w:val="22"/>
        </w:rPr>
        <w:t>, Conselheiros</w:t>
      </w:r>
      <w:r w:rsidR="001D6DEE" w:rsidRPr="00411555">
        <w:rPr>
          <w:rFonts w:ascii="Calibri" w:hAnsi="Calibri" w:cs="Calibri"/>
          <w:b/>
          <w:sz w:val="22"/>
          <w:szCs w:val="22"/>
        </w:rPr>
        <w:t xml:space="preserve"> e Comissionados</w:t>
      </w:r>
    </w:p>
    <w:p w14:paraId="5C528EC7" w14:textId="4C50F106" w:rsidR="004E146F" w:rsidRDefault="004A67ED" w:rsidP="00937ED9">
      <w:pPr>
        <w:spacing w:after="120"/>
        <w:ind w:right="-142"/>
        <w:jc w:val="both"/>
        <w:rPr>
          <w:rFonts w:ascii="Calibri" w:hAnsi="Calibri" w:cs="Calibri"/>
          <w:sz w:val="22"/>
          <w:szCs w:val="22"/>
        </w:rPr>
      </w:pPr>
      <w:r w:rsidRPr="00411555">
        <w:rPr>
          <w:rFonts w:ascii="Calibri" w:hAnsi="Calibri" w:cs="Calibri"/>
          <w:sz w:val="22"/>
          <w:szCs w:val="22"/>
        </w:rPr>
        <w:t xml:space="preserve">As remunerações </w:t>
      </w:r>
      <w:r w:rsidR="007F4918" w:rsidRPr="00411555">
        <w:rPr>
          <w:rFonts w:ascii="Calibri" w:hAnsi="Calibri" w:cs="Calibri"/>
          <w:sz w:val="22"/>
          <w:szCs w:val="22"/>
        </w:rPr>
        <w:t xml:space="preserve">médias </w:t>
      </w:r>
      <w:r w:rsidRPr="00411555">
        <w:rPr>
          <w:rFonts w:ascii="Calibri" w:hAnsi="Calibri" w:cs="Calibri"/>
          <w:sz w:val="22"/>
          <w:szCs w:val="22"/>
        </w:rPr>
        <w:t>pagas</w:t>
      </w:r>
      <w:r w:rsidRPr="002E2B5B">
        <w:rPr>
          <w:rFonts w:ascii="Calibri" w:hAnsi="Calibri" w:cs="Calibri"/>
          <w:sz w:val="22"/>
          <w:szCs w:val="22"/>
        </w:rPr>
        <w:t xml:space="preserve"> aos d</w:t>
      </w:r>
      <w:r w:rsidR="004E146F" w:rsidRPr="002E2B5B">
        <w:rPr>
          <w:rFonts w:ascii="Calibri" w:hAnsi="Calibri" w:cs="Calibri"/>
          <w:sz w:val="22"/>
          <w:szCs w:val="22"/>
        </w:rPr>
        <w:t>iretores,</w:t>
      </w:r>
      <w:r w:rsidRPr="002E2B5B">
        <w:rPr>
          <w:rFonts w:ascii="Calibri" w:hAnsi="Calibri" w:cs="Calibri"/>
          <w:sz w:val="22"/>
          <w:szCs w:val="22"/>
        </w:rPr>
        <w:t xml:space="preserve"> aos empregados</w:t>
      </w:r>
      <w:r w:rsidR="00526976">
        <w:rPr>
          <w:rFonts w:ascii="Calibri" w:hAnsi="Calibri" w:cs="Calibri"/>
          <w:sz w:val="22"/>
          <w:szCs w:val="22"/>
        </w:rPr>
        <w:t>, aos conselheiros</w:t>
      </w:r>
      <w:r w:rsidRPr="002E2B5B">
        <w:rPr>
          <w:rFonts w:ascii="Calibri" w:hAnsi="Calibri" w:cs="Calibri"/>
          <w:sz w:val="22"/>
          <w:szCs w:val="22"/>
        </w:rPr>
        <w:t xml:space="preserve"> e aos comissionados</w:t>
      </w:r>
      <w:r w:rsidR="007F4918" w:rsidRPr="002E2B5B">
        <w:rPr>
          <w:rFonts w:ascii="Calibri" w:hAnsi="Calibri" w:cs="Calibri"/>
          <w:sz w:val="22"/>
          <w:szCs w:val="22"/>
        </w:rPr>
        <w:t>,</w:t>
      </w:r>
      <w:r w:rsidR="004E146F" w:rsidRPr="002E2B5B">
        <w:rPr>
          <w:rFonts w:ascii="Calibri" w:hAnsi="Calibri" w:cs="Calibri"/>
          <w:sz w:val="22"/>
          <w:szCs w:val="22"/>
        </w:rPr>
        <w:t xml:space="preserve"> </w:t>
      </w:r>
      <w:r w:rsidR="001D6DEE" w:rsidRPr="002E2B5B">
        <w:rPr>
          <w:rFonts w:ascii="Calibri" w:hAnsi="Calibri" w:cs="Calibri"/>
          <w:sz w:val="22"/>
          <w:szCs w:val="22"/>
        </w:rPr>
        <w:t xml:space="preserve">em </w:t>
      </w:r>
      <w:r w:rsidR="00526976">
        <w:rPr>
          <w:rFonts w:ascii="Calibri" w:hAnsi="Calibri" w:cs="Calibri"/>
          <w:sz w:val="22"/>
          <w:szCs w:val="22"/>
        </w:rPr>
        <w:t>setembr</w:t>
      </w:r>
      <w:r w:rsidR="00DE66B0">
        <w:rPr>
          <w:rFonts w:ascii="Calibri" w:hAnsi="Calibri" w:cs="Calibri"/>
          <w:sz w:val="22"/>
          <w:szCs w:val="22"/>
        </w:rPr>
        <w:t>o</w:t>
      </w:r>
      <w:r w:rsidR="00C16F07" w:rsidRPr="002E2B5B">
        <w:rPr>
          <w:rFonts w:ascii="Calibri" w:hAnsi="Calibri" w:cs="Calibri"/>
          <w:sz w:val="22"/>
          <w:szCs w:val="22"/>
        </w:rPr>
        <w:t xml:space="preserve"> </w:t>
      </w:r>
      <w:r w:rsidR="001D6DEE" w:rsidRPr="002E2B5B">
        <w:rPr>
          <w:rFonts w:ascii="Calibri" w:hAnsi="Calibri" w:cs="Calibri"/>
          <w:sz w:val="22"/>
          <w:szCs w:val="22"/>
        </w:rPr>
        <w:t>de</w:t>
      </w:r>
      <w:r w:rsidR="00C16F07" w:rsidRPr="002E2B5B">
        <w:rPr>
          <w:rFonts w:ascii="Calibri" w:hAnsi="Calibri" w:cs="Calibri"/>
          <w:sz w:val="22"/>
          <w:szCs w:val="22"/>
        </w:rPr>
        <w:t xml:space="preserve"> 20</w:t>
      </w:r>
      <w:r w:rsidR="00F8592A" w:rsidRPr="002E2B5B">
        <w:rPr>
          <w:rFonts w:ascii="Calibri" w:hAnsi="Calibri" w:cs="Calibri"/>
          <w:sz w:val="22"/>
          <w:szCs w:val="22"/>
        </w:rPr>
        <w:t>2</w:t>
      </w:r>
      <w:r w:rsidR="000E00FF">
        <w:rPr>
          <w:rFonts w:ascii="Calibri" w:hAnsi="Calibri" w:cs="Calibri"/>
          <w:sz w:val="22"/>
          <w:szCs w:val="22"/>
        </w:rPr>
        <w:t>2</w:t>
      </w:r>
      <w:r w:rsidR="004E146F" w:rsidRPr="002E2B5B">
        <w:rPr>
          <w:rFonts w:ascii="Calibri" w:hAnsi="Calibri" w:cs="Calibri"/>
          <w:sz w:val="22"/>
          <w:szCs w:val="22"/>
        </w:rPr>
        <w:t>, foram de:</w:t>
      </w:r>
    </w:p>
    <w:p w14:paraId="583B46B9" w14:textId="77777777" w:rsidR="00683B08" w:rsidRDefault="00683B08" w:rsidP="00937ED9">
      <w:pPr>
        <w:spacing w:after="120"/>
        <w:ind w:right="-142"/>
        <w:jc w:val="both"/>
        <w:rPr>
          <w:rFonts w:ascii="Calibri" w:hAnsi="Calibri" w:cs="Calibri"/>
          <w:sz w:val="22"/>
          <w:szCs w:val="22"/>
        </w:rPr>
      </w:pPr>
    </w:p>
    <w:tbl>
      <w:tblPr>
        <w:tblW w:w="5000" w:type="pct"/>
        <w:tblCellMar>
          <w:left w:w="70" w:type="dxa"/>
          <w:right w:w="70" w:type="dxa"/>
        </w:tblCellMar>
        <w:tblLook w:val="04A0" w:firstRow="1" w:lastRow="0" w:firstColumn="1" w:lastColumn="0" w:noHBand="0" w:noVBand="1"/>
      </w:tblPr>
      <w:tblGrid>
        <w:gridCol w:w="4798"/>
        <w:gridCol w:w="1972"/>
        <w:gridCol w:w="2156"/>
        <w:gridCol w:w="1541"/>
      </w:tblGrid>
      <w:tr w:rsidR="00AA3934" w:rsidRPr="002E2B5B" w14:paraId="78C70EFE" w14:textId="77777777" w:rsidTr="00AA3934">
        <w:trPr>
          <w:trHeight w:val="227"/>
        </w:trPr>
        <w:tc>
          <w:tcPr>
            <w:tcW w:w="2292" w:type="pct"/>
            <w:tcBorders>
              <w:bottom w:val="single" w:sz="4" w:space="0" w:color="auto"/>
            </w:tcBorders>
            <w:shd w:val="clear" w:color="auto" w:fill="auto"/>
            <w:noWrap/>
            <w:vAlign w:val="bottom"/>
            <w:hideMark/>
          </w:tcPr>
          <w:p w14:paraId="31A7D9AE" w14:textId="77777777" w:rsidR="00AA3934" w:rsidRPr="002E2B5B" w:rsidRDefault="00AA3934" w:rsidP="00937ED9">
            <w:pPr>
              <w:spacing w:after="120"/>
              <w:rPr>
                <w:rFonts w:ascii="Calibri" w:hAnsi="Calibri" w:cs="Calibri"/>
                <w:b/>
                <w:sz w:val="16"/>
                <w:szCs w:val="16"/>
              </w:rPr>
            </w:pPr>
            <w:r w:rsidRPr="002E2B5B">
              <w:rPr>
                <w:rFonts w:ascii="Calibri" w:hAnsi="Calibri" w:cs="Calibri"/>
                <w:b/>
                <w:sz w:val="16"/>
                <w:szCs w:val="16"/>
              </w:rPr>
              <w:lastRenderedPageBreak/>
              <w:t>REMUNERAÇÃO</w:t>
            </w:r>
          </w:p>
        </w:tc>
        <w:tc>
          <w:tcPr>
            <w:tcW w:w="942" w:type="pct"/>
            <w:tcBorders>
              <w:bottom w:val="single" w:sz="4" w:space="0" w:color="auto"/>
            </w:tcBorders>
            <w:shd w:val="clear" w:color="auto" w:fill="auto"/>
            <w:noWrap/>
            <w:vAlign w:val="bottom"/>
            <w:hideMark/>
          </w:tcPr>
          <w:p w14:paraId="0F56AAD3" w14:textId="77777777" w:rsidR="00AA3934" w:rsidRPr="002E2B5B" w:rsidRDefault="00AA3934" w:rsidP="00937ED9">
            <w:pPr>
              <w:spacing w:after="120"/>
              <w:jc w:val="right"/>
              <w:rPr>
                <w:rFonts w:ascii="Calibri" w:hAnsi="Calibri" w:cs="Calibri"/>
                <w:b/>
                <w:sz w:val="16"/>
                <w:szCs w:val="16"/>
              </w:rPr>
            </w:pPr>
            <w:r w:rsidRPr="002E2B5B">
              <w:rPr>
                <w:rFonts w:ascii="Calibri" w:hAnsi="Calibri" w:cs="Calibri"/>
                <w:b/>
                <w:sz w:val="16"/>
                <w:szCs w:val="16"/>
              </w:rPr>
              <w:t>MAIOR</w:t>
            </w:r>
          </w:p>
        </w:tc>
        <w:tc>
          <w:tcPr>
            <w:tcW w:w="1030" w:type="pct"/>
            <w:tcBorders>
              <w:bottom w:val="single" w:sz="4" w:space="0" w:color="auto"/>
            </w:tcBorders>
            <w:shd w:val="clear" w:color="auto" w:fill="auto"/>
            <w:noWrap/>
            <w:vAlign w:val="bottom"/>
            <w:hideMark/>
          </w:tcPr>
          <w:p w14:paraId="0AE4267D" w14:textId="77777777" w:rsidR="00AA3934" w:rsidRPr="002E2B5B" w:rsidRDefault="00AA3934" w:rsidP="00937ED9">
            <w:pPr>
              <w:spacing w:after="120"/>
              <w:jc w:val="right"/>
              <w:rPr>
                <w:rFonts w:ascii="Calibri" w:hAnsi="Calibri" w:cs="Calibri"/>
                <w:b/>
                <w:sz w:val="16"/>
                <w:szCs w:val="16"/>
              </w:rPr>
            </w:pPr>
            <w:r w:rsidRPr="002E2B5B">
              <w:rPr>
                <w:rFonts w:ascii="Calibri" w:hAnsi="Calibri" w:cs="Calibri"/>
                <w:b/>
                <w:sz w:val="16"/>
                <w:szCs w:val="16"/>
              </w:rPr>
              <w:t>MENOR</w:t>
            </w:r>
          </w:p>
        </w:tc>
        <w:tc>
          <w:tcPr>
            <w:tcW w:w="736" w:type="pct"/>
            <w:tcBorders>
              <w:bottom w:val="single" w:sz="4" w:space="0" w:color="auto"/>
            </w:tcBorders>
            <w:shd w:val="clear" w:color="auto" w:fill="auto"/>
            <w:noWrap/>
            <w:vAlign w:val="bottom"/>
            <w:hideMark/>
          </w:tcPr>
          <w:p w14:paraId="6DA547F9" w14:textId="77777777" w:rsidR="00AA3934" w:rsidRPr="002E2B5B" w:rsidRDefault="00AA3934" w:rsidP="00937ED9">
            <w:pPr>
              <w:spacing w:after="120"/>
              <w:jc w:val="right"/>
              <w:rPr>
                <w:rFonts w:ascii="Calibri" w:hAnsi="Calibri" w:cs="Calibri"/>
                <w:b/>
                <w:sz w:val="16"/>
                <w:szCs w:val="16"/>
              </w:rPr>
            </w:pPr>
            <w:r w:rsidRPr="002E2B5B">
              <w:rPr>
                <w:rFonts w:ascii="Calibri" w:hAnsi="Calibri" w:cs="Calibri"/>
                <w:b/>
                <w:sz w:val="16"/>
                <w:szCs w:val="16"/>
              </w:rPr>
              <w:t>MÉDIA</w:t>
            </w:r>
          </w:p>
        </w:tc>
      </w:tr>
      <w:tr w:rsidR="00AA3934" w:rsidRPr="002E2B5B" w14:paraId="60EA8036" w14:textId="77777777" w:rsidTr="00AA3934">
        <w:trPr>
          <w:trHeight w:val="227"/>
        </w:trPr>
        <w:tc>
          <w:tcPr>
            <w:tcW w:w="2292" w:type="pct"/>
            <w:tcBorders>
              <w:top w:val="single" w:sz="4" w:space="0" w:color="auto"/>
            </w:tcBorders>
            <w:shd w:val="clear" w:color="auto" w:fill="auto"/>
            <w:noWrap/>
            <w:vAlign w:val="bottom"/>
            <w:hideMark/>
          </w:tcPr>
          <w:p w14:paraId="07972A13" w14:textId="13DE0B51" w:rsidR="00AA3934" w:rsidRPr="002E2B5B" w:rsidRDefault="00AA3934" w:rsidP="00937ED9">
            <w:pPr>
              <w:spacing w:after="120"/>
              <w:rPr>
                <w:rFonts w:ascii="Calibri" w:hAnsi="Calibri" w:cs="Calibri"/>
                <w:sz w:val="16"/>
                <w:szCs w:val="16"/>
              </w:rPr>
            </w:pPr>
            <w:r w:rsidRPr="002E2B5B">
              <w:rPr>
                <w:rFonts w:ascii="Calibri" w:hAnsi="Calibri" w:cs="Calibri"/>
                <w:sz w:val="16"/>
                <w:szCs w:val="16"/>
              </w:rPr>
              <w:t>Diretores</w:t>
            </w:r>
          </w:p>
        </w:tc>
        <w:tc>
          <w:tcPr>
            <w:tcW w:w="942" w:type="pct"/>
            <w:tcBorders>
              <w:top w:val="single" w:sz="4" w:space="0" w:color="auto"/>
            </w:tcBorders>
            <w:shd w:val="clear" w:color="auto" w:fill="auto"/>
            <w:noWrap/>
            <w:vAlign w:val="bottom"/>
          </w:tcPr>
          <w:p w14:paraId="4D35E1DC" w14:textId="77777777" w:rsidR="00AA3934" w:rsidRPr="002E2B5B" w:rsidRDefault="00AA3934" w:rsidP="00937ED9">
            <w:pPr>
              <w:spacing w:after="120"/>
              <w:jc w:val="right"/>
              <w:rPr>
                <w:rFonts w:ascii="Calibri" w:hAnsi="Calibri" w:cs="Calibri"/>
                <w:sz w:val="16"/>
                <w:szCs w:val="16"/>
              </w:rPr>
            </w:pPr>
            <w:r w:rsidRPr="002E2B5B">
              <w:rPr>
                <w:rFonts w:ascii="Calibri" w:hAnsi="Calibri" w:cs="Calibri"/>
                <w:sz w:val="16"/>
                <w:szCs w:val="16"/>
              </w:rPr>
              <w:t>2</w:t>
            </w:r>
            <w:r w:rsidR="00F8592A" w:rsidRPr="002E2B5B">
              <w:rPr>
                <w:rFonts w:ascii="Calibri" w:hAnsi="Calibri" w:cs="Calibri"/>
                <w:sz w:val="16"/>
                <w:szCs w:val="16"/>
              </w:rPr>
              <w:t>6.243</w:t>
            </w:r>
          </w:p>
        </w:tc>
        <w:tc>
          <w:tcPr>
            <w:tcW w:w="1030" w:type="pct"/>
            <w:tcBorders>
              <w:top w:val="single" w:sz="4" w:space="0" w:color="auto"/>
            </w:tcBorders>
            <w:shd w:val="clear" w:color="auto" w:fill="auto"/>
            <w:noWrap/>
            <w:vAlign w:val="bottom"/>
          </w:tcPr>
          <w:p w14:paraId="27268F4A" w14:textId="593290B9" w:rsidR="00AA3934" w:rsidRPr="002E2B5B" w:rsidRDefault="00526976" w:rsidP="00937ED9">
            <w:pPr>
              <w:spacing w:after="120"/>
              <w:jc w:val="right"/>
              <w:rPr>
                <w:rFonts w:ascii="Calibri" w:hAnsi="Calibri" w:cs="Calibri"/>
                <w:sz w:val="16"/>
                <w:szCs w:val="16"/>
              </w:rPr>
            </w:pPr>
            <w:r>
              <w:rPr>
                <w:rFonts w:ascii="Calibri" w:hAnsi="Calibri" w:cs="Calibri"/>
                <w:sz w:val="16"/>
                <w:szCs w:val="16"/>
              </w:rPr>
              <w:t>5.855</w:t>
            </w:r>
          </w:p>
        </w:tc>
        <w:tc>
          <w:tcPr>
            <w:tcW w:w="736" w:type="pct"/>
            <w:tcBorders>
              <w:top w:val="single" w:sz="4" w:space="0" w:color="auto"/>
            </w:tcBorders>
            <w:shd w:val="clear" w:color="auto" w:fill="auto"/>
            <w:noWrap/>
            <w:vAlign w:val="bottom"/>
          </w:tcPr>
          <w:p w14:paraId="0D53BF9C" w14:textId="20EBFFAF" w:rsidR="00AA3934" w:rsidRPr="002E2B5B" w:rsidRDefault="00526976" w:rsidP="00937ED9">
            <w:pPr>
              <w:spacing w:after="120"/>
              <w:jc w:val="right"/>
              <w:rPr>
                <w:rFonts w:ascii="Calibri" w:hAnsi="Calibri" w:cs="Calibri"/>
                <w:sz w:val="16"/>
                <w:szCs w:val="16"/>
              </w:rPr>
            </w:pPr>
            <w:r>
              <w:rPr>
                <w:rFonts w:ascii="Calibri" w:hAnsi="Calibri" w:cs="Calibri"/>
                <w:sz w:val="16"/>
                <w:szCs w:val="16"/>
              </w:rPr>
              <w:t>20.229</w:t>
            </w:r>
          </w:p>
        </w:tc>
      </w:tr>
      <w:tr w:rsidR="00AA3934" w:rsidRPr="002E2B5B" w14:paraId="2015CADE" w14:textId="77777777" w:rsidTr="00AA3934">
        <w:trPr>
          <w:trHeight w:val="227"/>
        </w:trPr>
        <w:tc>
          <w:tcPr>
            <w:tcW w:w="2292" w:type="pct"/>
            <w:shd w:val="clear" w:color="auto" w:fill="auto"/>
            <w:noWrap/>
            <w:vAlign w:val="bottom"/>
            <w:hideMark/>
          </w:tcPr>
          <w:p w14:paraId="1F458ED5" w14:textId="2BD134A9" w:rsidR="00AA3934" w:rsidRPr="002E2B5B" w:rsidRDefault="00AA3934" w:rsidP="00937ED9">
            <w:pPr>
              <w:spacing w:after="120"/>
              <w:rPr>
                <w:rFonts w:ascii="Calibri" w:hAnsi="Calibri" w:cs="Calibri"/>
                <w:sz w:val="16"/>
                <w:szCs w:val="16"/>
              </w:rPr>
            </w:pPr>
            <w:r w:rsidRPr="002E2B5B">
              <w:rPr>
                <w:rFonts w:ascii="Calibri" w:hAnsi="Calibri" w:cs="Calibri"/>
                <w:sz w:val="16"/>
                <w:szCs w:val="16"/>
              </w:rPr>
              <w:t>Empregados</w:t>
            </w:r>
          </w:p>
        </w:tc>
        <w:tc>
          <w:tcPr>
            <w:tcW w:w="942" w:type="pct"/>
            <w:shd w:val="clear" w:color="auto" w:fill="auto"/>
            <w:noWrap/>
            <w:vAlign w:val="bottom"/>
          </w:tcPr>
          <w:p w14:paraId="4A85347B" w14:textId="7C0D97FA" w:rsidR="00AA3934" w:rsidRPr="002E2B5B" w:rsidRDefault="00526976" w:rsidP="00937ED9">
            <w:pPr>
              <w:spacing w:after="120"/>
              <w:jc w:val="right"/>
              <w:rPr>
                <w:rFonts w:ascii="Calibri" w:hAnsi="Calibri" w:cs="Calibri"/>
                <w:sz w:val="16"/>
                <w:szCs w:val="16"/>
              </w:rPr>
            </w:pPr>
            <w:r>
              <w:rPr>
                <w:rFonts w:ascii="Calibri" w:hAnsi="Calibri" w:cs="Calibri"/>
                <w:sz w:val="16"/>
                <w:szCs w:val="16"/>
              </w:rPr>
              <w:t>35.236</w:t>
            </w:r>
          </w:p>
        </w:tc>
        <w:tc>
          <w:tcPr>
            <w:tcW w:w="1030" w:type="pct"/>
            <w:shd w:val="clear" w:color="auto" w:fill="auto"/>
            <w:noWrap/>
            <w:vAlign w:val="bottom"/>
          </w:tcPr>
          <w:p w14:paraId="733B27E0" w14:textId="40D9FF97" w:rsidR="00AA3934" w:rsidRPr="002E2B5B" w:rsidRDefault="00526976" w:rsidP="00937ED9">
            <w:pPr>
              <w:spacing w:after="120"/>
              <w:jc w:val="right"/>
              <w:rPr>
                <w:rFonts w:ascii="Calibri" w:hAnsi="Calibri" w:cs="Calibri"/>
                <w:sz w:val="16"/>
                <w:szCs w:val="16"/>
              </w:rPr>
            </w:pPr>
            <w:r>
              <w:rPr>
                <w:rFonts w:ascii="Calibri" w:hAnsi="Calibri" w:cs="Calibri"/>
                <w:sz w:val="16"/>
                <w:szCs w:val="16"/>
              </w:rPr>
              <w:t>1.498</w:t>
            </w:r>
          </w:p>
        </w:tc>
        <w:tc>
          <w:tcPr>
            <w:tcW w:w="736" w:type="pct"/>
            <w:shd w:val="clear" w:color="auto" w:fill="auto"/>
            <w:noWrap/>
            <w:vAlign w:val="bottom"/>
          </w:tcPr>
          <w:p w14:paraId="3F75AA5F" w14:textId="707B8D52" w:rsidR="00AA3934" w:rsidRPr="002E2B5B" w:rsidRDefault="00526976" w:rsidP="00937ED9">
            <w:pPr>
              <w:spacing w:after="120"/>
              <w:jc w:val="right"/>
              <w:rPr>
                <w:rFonts w:ascii="Calibri" w:hAnsi="Calibri" w:cs="Calibri"/>
                <w:sz w:val="16"/>
                <w:szCs w:val="16"/>
              </w:rPr>
            </w:pPr>
            <w:r>
              <w:rPr>
                <w:rFonts w:ascii="Calibri" w:hAnsi="Calibri" w:cs="Calibri"/>
                <w:sz w:val="16"/>
                <w:szCs w:val="16"/>
              </w:rPr>
              <w:t>10.276</w:t>
            </w:r>
          </w:p>
        </w:tc>
      </w:tr>
      <w:tr w:rsidR="00526976" w:rsidRPr="002E2B5B" w14:paraId="5AF5A7F4" w14:textId="77777777" w:rsidTr="00AA3934">
        <w:trPr>
          <w:trHeight w:val="227"/>
        </w:trPr>
        <w:tc>
          <w:tcPr>
            <w:tcW w:w="2292" w:type="pct"/>
            <w:shd w:val="clear" w:color="auto" w:fill="auto"/>
            <w:noWrap/>
            <w:vAlign w:val="bottom"/>
          </w:tcPr>
          <w:p w14:paraId="7609ED43" w14:textId="3DB91E85" w:rsidR="00526976" w:rsidRPr="002E2B5B" w:rsidRDefault="00526976" w:rsidP="00937ED9">
            <w:pPr>
              <w:spacing w:after="120"/>
              <w:rPr>
                <w:rFonts w:ascii="Calibri" w:hAnsi="Calibri" w:cs="Calibri"/>
                <w:sz w:val="16"/>
                <w:szCs w:val="16"/>
              </w:rPr>
            </w:pPr>
            <w:r>
              <w:rPr>
                <w:rFonts w:ascii="Calibri" w:hAnsi="Calibri" w:cs="Calibri"/>
                <w:sz w:val="16"/>
                <w:szCs w:val="16"/>
              </w:rPr>
              <w:t>Conselheiros</w:t>
            </w:r>
          </w:p>
        </w:tc>
        <w:tc>
          <w:tcPr>
            <w:tcW w:w="942" w:type="pct"/>
            <w:shd w:val="clear" w:color="auto" w:fill="auto"/>
            <w:noWrap/>
            <w:vAlign w:val="bottom"/>
          </w:tcPr>
          <w:p w14:paraId="75E0232A" w14:textId="0C35F7C1" w:rsidR="00526976" w:rsidRDefault="00B87406" w:rsidP="00937ED9">
            <w:pPr>
              <w:spacing w:after="120"/>
              <w:jc w:val="right"/>
              <w:rPr>
                <w:rFonts w:ascii="Calibri" w:hAnsi="Calibri" w:cs="Calibri"/>
                <w:sz w:val="16"/>
                <w:szCs w:val="16"/>
              </w:rPr>
            </w:pPr>
            <w:r>
              <w:rPr>
                <w:rFonts w:ascii="Calibri" w:hAnsi="Calibri" w:cs="Calibri"/>
                <w:sz w:val="16"/>
                <w:szCs w:val="16"/>
              </w:rPr>
              <w:t>3.171</w:t>
            </w:r>
          </w:p>
        </w:tc>
        <w:tc>
          <w:tcPr>
            <w:tcW w:w="1030" w:type="pct"/>
            <w:shd w:val="clear" w:color="auto" w:fill="auto"/>
            <w:noWrap/>
            <w:vAlign w:val="bottom"/>
          </w:tcPr>
          <w:p w14:paraId="32B1FDF7" w14:textId="485F0CF4" w:rsidR="00526976" w:rsidRPr="002E2B5B" w:rsidRDefault="00B87406" w:rsidP="00937ED9">
            <w:pPr>
              <w:spacing w:after="120"/>
              <w:jc w:val="right"/>
              <w:rPr>
                <w:rFonts w:ascii="Calibri" w:hAnsi="Calibri" w:cs="Calibri"/>
                <w:sz w:val="16"/>
                <w:szCs w:val="16"/>
              </w:rPr>
            </w:pPr>
            <w:r>
              <w:rPr>
                <w:rFonts w:ascii="Calibri" w:hAnsi="Calibri" w:cs="Calibri"/>
                <w:sz w:val="16"/>
                <w:szCs w:val="16"/>
              </w:rPr>
              <w:t>2.607</w:t>
            </w:r>
          </w:p>
        </w:tc>
        <w:tc>
          <w:tcPr>
            <w:tcW w:w="736" w:type="pct"/>
            <w:shd w:val="clear" w:color="auto" w:fill="auto"/>
            <w:noWrap/>
            <w:vAlign w:val="bottom"/>
          </w:tcPr>
          <w:p w14:paraId="7168C25F" w14:textId="669EAA8D" w:rsidR="00526976" w:rsidRPr="002E2B5B" w:rsidRDefault="00B87406" w:rsidP="00937ED9">
            <w:pPr>
              <w:spacing w:after="120"/>
              <w:jc w:val="right"/>
              <w:rPr>
                <w:rFonts w:ascii="Calibri" w:hAnsi="Calibri" w:cs="Calibri"/>
                <w:sz w:val="16"/>
                <w:szCs w:val="16"/>
              </w:rPr>
            </w:pPr>
            <w:r>
              <w:rPr>
                <w:rFonts w:ascii="Calibri" w:hAnsi="Calibri" w:cs="Calibri"/>
                <w:sz w:val="16"/>
                <w:szCs w:val="16"/>
              </w:rPr>
              <w:t>3.398</w:t>
            </w:r>
          </w:p>
        </w:tc>
      </w:tr>
      <w:tr w:rsidR="00AA3934" w:rsidRPr="002E2B5B" w14:paraId="0A02B70F" w14:textId="77777777" w:rsidTr="00AA3934">
        <w:trPr>
          <w:trHeight w:val="227"/>
        </w:trPr>
        <w:tc>
          <w:tcPr>
            <w:tcW w:w="2292" w:type="pct"/>
            <w:shd w:val="clear" w:color="auto" w:fill="auto"/>
            <w:noWrap/>
            <w:vAlign w:val="bottom"/>
            <w:hideMark/>
          </w:tcPr>
          <w:p w14:paraId="7F145DA4" w14:textId="77777777" w:rsidR="00AA3934" w:rsidRPr="002E2B5B" w:rsidRDefault="00AA3934" w:rsidP="00937ED9">
            <w:pPr>
              <w:spacing w:after="120"/>
              <w:rPr>
                <w:rFonts w:ascii="Calibri" w:hAnsi="Calibri" w:cs="Calibri"/>
                <w:sz w:val="16"/>
                <w:szCs w:val="16"/>
              </w:rPr>
            </w:pPr>
            <w:r w:rsidRPr="002E2B5B">
              <w:rPr>
                <w:rFonts w:ascii="Calibri" w:hAnsi="Calibri" w:cs="Calibri"/>
                <w:sz w:val="16"/>
                <w:szCs w:val="16"/>
              </w:rPr>
              <w:t xml:space="preserve"> Comissionados</w:t>
            </w:r>
          </w:p>
        </w:tc>
        <w:tc>
          <w:tcPr>
            <w:tcW w:w="942" w:type="pct"/>
            <w:shd w:val="clear" w:color="auto" w:fill="auto"/>
            <w:noWrap/>
            <w:vAlign w:val="bottom"/>
          </w:tcPr>
          <w:p w14:paraId="4B596938" w14:textId="519EF81E" w:rsidR="00AA3934" w:rsidRPr="002E2B5B" w:rsidRDefault="00B87406" w:rsidP="00937ED9">
            <w:pPr>
              <w:spacing w:after="120"/>
              <w:jc w:val="right"/>
              <w:rPr>
                <w:rFonts w:ascii="Calibri" w:hAnsi="Calibri" w:cs="Calibri"/>
                <w:sz w:val="16"/>
                <w:szCs w:val="16"/>
              </w:rPr>
            </w:pPr>
            <w:r>
              <w:rPr>
                <w:rFonts w:ascii="Calibri" w:hAnsi="Calibri" w:cs="Calibri"/>
                <w:sz w:val="16"/>
                <w:szCs w:val="16"/>
              </w:rPr>
              <w:t>24.623</w:t>
            </w:r>
          </w:p>
        </w:tc>
        <w:tc>
          <w:tcPr>
            <w:tcW w:w="1030" w:type="pct"/>
            <w:shd w:val="clear" w:color="auto" w:fill="auto"/>
            <w:noWrap/>
            <w:vAlign w:val="bottom"/>
          </w:tcPr>
          <w:p w14:paraId="402660EF" w14:textId="4525209F" w:rsidR="00AA3934" w:rsidRPr="002E2B5B" w:rsidRDefault="00B87406" w:rsidP="00937ED9">
            <w:pPr>
              <w:spacing w:after="120"/>
              <w:jc w:val="right"/>
              <w:rPr>
                <w:rFonts w:ascii="Calibri" w:hAnsi="Calibri" w:cs="Calibri"/>
                <w:sz w:val="16"/>
                <w:szCs w:val="16"/>
              </w:rPr>
            </w:pPr>
            <w:r>
              <w:rPr>
                <w:rFonts w:ascii="Calibri" w:hAnsi="Calibri" w:cs="Calibri"/>
                <w:sz w:val="16"/>
                <w:szCs w:val="16"/>
              </w:rPr>
              <w:t>2.355</w:t>
            </w:r>
          </w:p>
        </w:tc>
        <w:tc>
          <w:tcPr>
            <w:tcW w:w="736" w:type="pct"/>
            <w:shd w:val="clear" w:color="auto" w:fill="auto"/>
            <w:noWrap/>
            <w:vAlign w:val="bottom"/>
          </w:tcPr>
          <w:p w14:paraId="1B6197A1" w14:textId="123C51B2" w:rsidR="00AA3934" w:rsidRPr="002E2B5B" w:rsidRDefault="00B87406" w:rsidP="00937ED9">
            <w:pPr>
              <w:spacing w:after="120"/>
              <w:jc w:val="right"/>
              <w:rPr>
                <w:rFonts w:ascii="Calibri" w:hAnsi="Calibri" w:cs="Calibri"/>
                <w:sz w:val="16"/>
                <w:szCs w:val="16"/>
              </w:rPr>
            </w:pPr>
            <w:r>
              <w:rPr>
                <w:rFonts w:ascii="Calibri" w:hAnsi="Calibri" w:cs="Calibri"/>
                <w:sz w:val="16"/>
                <w:szCs w:val="16"/>
              </w:rPr>
              <w:t>12.261</w:t>
            </w:r>
          </w:p>
        </w:tc>
      </w:tr>
    </w:tbl>
    <w:p w14:paraId="1019F401" w14:textId="1256CB1F" w:rsidR="006A24D4" w:rsidRDefault="006A24D4" w:rsidP="00937ED9">
      <w:pPr>
        <w:spacing w:before="120" w:after="120"/>
        <w:ind w:right="57"/>
        <w:jc w:val="both"/>
        <w:rPr>
          <w:rFonts w:ascii="Calibri" w:hAnsi="Calibri" w:cs="Calibri"/>
          <w:sz w:val="22"/>
          <w:szCs w:val="22"/>
        </w:rPr>
      </w:pPr>
      <w:r w:rsidRPr="002E2B5B">
        <w:rPr>
          <w:rFonts w:ascii="Calibri" w:hAnsi="Calibri" w:cs="Calibri"/>
          <w:sz w:val="22"/>
          <w:szCs w:val="22"/>
        </w:rPr>
        <w:t>O total da remuneração dos administradores na Demonstração do Resultado do Exercício</w:t>
      </w:r>
      <w:r w:rsidR="004019E4" w:rsidRPr="002E2B5B">
        <w:rPr>
          <w:rFonts w:ascii="Calibri" w:hAnsi="Calibri" w:cs="Calibri"/>
          <w:sz w:val="22"/>
          <w:szCs w:val="22"/>
        </w:rPr>
        <w:t xml:space="preserve">, no valor de R$ </w:t>
      </w:r>
      <w:r w:rsidR="00094EB5">
        <w:rPr>
          <w:rFonts w:ascii="Calibri" w:hAnsi="Calibri" w:cs="Calibri"/>
          <w:sz w:val="22"/>
          <w:szCs w:val="22"/>
        </w:rPr>
        <w:t>1,12</w:t>
      </w:r>
      <w:r w:rsidR="00C22D12">
        <w:rPr>
          <w:rFonts w:ascii="Calibri" w:hAnsi="Calibri" w:cs="Calibri"/>
          <w:sz w:val="22"/>
          <w:szCs w:val="22"/>
        </w:rPr>
        <w:t xml:space="preserve"> </w:t>
      </w:r>
      <w:r w:rsidR="000E00FF">
        <w:rPr>
          <w:rFonts w:ascii="Calibri" w:hAnsi="Calibri" w:cs="Calibri"/>
          <w:sz w:val="22"/>
          <w:szCs w:val="22"/>
        </w:rPr>
        <w:t>mil</w:t>
      </w:r>
      <w:r w:rsidR="00094EB5">
        <w:rPr>
          <w:rFonts w:ascii="Calibri" w:hAnsi="Calibri" w:cs="Calibri"/>
          <w:sz w:val="22"/>
          <w:szCs w:val="22"/>
        </w:rPr>
        <w:t>hão</w:t>
      </w:r>
      <w:r w:rsidR="004019E4" w:rsidRPr="002E2B5B">
        <w:rPr>
          <w:rFonts w:ascii="Calibri" w:hAnsi="Calibri" w:cs="Calibri"/>
          <w:sz w:val="22"/>
          <w:szCs w:val="22"/>
        </w:rPr>
        <w:t>,</w:t>
      </w:r>
      <w:r w:rsidRPr="002E2B5B">
        <w:rPr>
          <w:rFonts w:ascii="Calibri" w:hAnsi="Calibri" w:cs="Calibri"/>
          <w:sz w:val="22"/>
          <w:szCs w:val="22"/>
        </w:rPr>
        <w:t xml:space="preserve"> contempla a remuneração paga aos diretores e conselheiros. </w:t>
      </w:r>
    </w:p>
    <w:p w14:paraId="26BB241A" w14:textId="1FE72835" w:rsidR="00AD3658" w:rsidRDefault="00AD3658" w:rsidP="00937ED9">
      <w:pPr>
        <w:spacing w:before="120" w:after="120"/>
        <w:ind w:right="57"/>
        <w:jc w:val="both"/>
        <w:rPr>
          <w:rFonts w:ascii="Calibri" w:hAnsi="Calibri" w:cs="Calibri"/>
          <w:color w:val="000000"/>
        </w:rPr>
      </w:pPr>
      <w:r>
        <w:rPr>
          <w:rFonts w:ascii="Calibri" w:hAnsi="Calibri" w:cs="Calibri"/>
          <w:sz w:val="22"/>
          <w:szCs w:val="22"/>
        </w:rPr>
        <w:t xml:space="preserve">O total </w:t>
      </w:r>
      <w:r w:rsidR="00016D17">
        <w:rPr>
          <w:rFonts w:ascii="Calibri" w:hAnsi="Calibri" w:cs="Calibri"/>
          <w:sz w:val="22"/>
          <w:szCs w:val="22"/>
        </w:rPr>
        <w:t>d</w:t>
      </w:r>
      <w:r>
        <w:rPr>
          <w:rFonts w:ascii="Calibri" w:hAnsi="Calibri" w:cs="Calibri"/>
          <w:color w:val="000000"/>
        </w:rPr>
        <w:t>os benefícios oferecidos pela empresa, especialmente assistências médica e odontológica, auxílios alimentação e refeição, auxílio creche, auxílio educação e previdência complementar, bem como o valor médio, por empregado, em setembro de 2022 está demonstrado a seguir:</w:t>
      </w:r>
    </w:p>
    <w:tbl>
      <w:tblPr>
        <w:tblW w:w="5000" w:type="pct"/>
        <w:tblCellMar>
          <w:left w:w="70" w:type="dxa"/>
          <w:right w:w="70" w:type="dxa"/>
        </w:tblCellMar>
        <w:tblLook w:val="04A0" w:firstRow="1" w:lastRow="0" w:firstColumn="1" w:lastColumn="0" w:noHBand="0" w:noVBand="1"/>
      </w:tblPr>
      <w:tblGrid>
        <w:gridCol w:w="4798"/>
        <w:gridCol w:w="1972"/>
        <w:gridCol w:w="2156"/>
        <w:gridCol w:w="1541"/>
      </w:tblGrid>
      <w:tr w:rsidR="00AD3658" w:rsidRPr="002E2B5B" w14:paraId="33E1218C" w14:textId="77777777" w:rsidTr="00AD3658">
        <w:trPr>
          <w:trHeight w:val="227"/>
        </w:trPr>
        <w:tc>
          <w:tcPr>
            <w:tcW w:w="2292" w:type="pct"/>
            <w:tcBorders>
              <w:bottom w:val="single" w:sz="4" w:space="0" w:color="auto"/>
            </w:tcBorders>
            <w:shd w:val="clear" w:color="auto" w:fill="auto"/>
            <w:noWrap/>
            <w:vAlign w:val="bottom"/>
            <w:hideMark/>
          </w:tcPr>
          <w:p w14:paraId="304B2693" w14:textId="38BF3327" w:rsidR="00AD3658" w:rsidRPr="002E2B5B" w:rsidRDefault="00AD3658" w:rsidP="007D40EC">
            <w:pPr>
              <w:spacing w:after="120"/>
              <w:rPr>
                <w:rFonts w:ascii="Calibri" w:hAnsi="Calibri" w:cs="Calibri"/>
                <w:b/>
                <w:sz w:val="16"/>
                <w:szCs w:val="16"/>
              </w:rPr>
            </w:pPr>
            <w:r>
              <w:rPr>
                <w:rFonts w:ascii="Calibri" w:hAnsi="Calibri" w:cs="Calibri"/>
                <w:b/>
                <w:sz w:val="16"/>
                <w:szCs w:val="16"/>
              </w:rPr>
              <w:t>BENEFÍCIOS</w:t>
            </w:r>
          </w:p>
        </w:tc>
        <w:tc>
          <w:tcPr>
            <w:tcW w:w="942" w:type="pct"/>
            <w:tcBorders>
              <w:bottom w:val="single" w:sz="4" w:space="0" w:color="auto"/>
            </w:tcBorders>
            <w:shd w:val="clear" w:color="auto" w:fill="auto"/>
            <w:noWrap/>
            <w:vAlign w:val="bottom"/>
          </w:tcPr>
          <w:p w14:paraId="4E13B2D6" w14:textId="208336C8" w:rsidR="00AD3658" w:rsidRPr="002E2B5B" w:rsidRDefault="00AD3658" w:rsidP="007D40EC">
            <w:pPr>
              <w:spacing w:after="120"/>
              <w:jc w:val="right"/>
              <w:rPr>
                <w:rFonts w:ascii="Calibri" w:hAnsi="Calibri" w:cs="Calibri"/>
                <w:b/>
                <w:sz w:val="16"/>
                <w:szCs w:val="16"/>
              </w:rPr>
            </w:pPr>
          </w:p>
        </w:tc>
        <w:tc>
          <w:tcPr>
            <w:tcW w:w="1030" w:type="pct"/>
            <w:tcBorders>
              <w:bottom w:val="single" w:sz="4" w:space="0" w:color="auto"/>
            </w:tcBorders>
            <w:shd w:val="clear" w:color="auto" w:fill="auto"/>
            <w:noWrap/>
            <w:vAlign w:val="bottom"/>
          </w:tcPr>
          <w:p w14:paraId="64C0A8FC" w14:textId="226A9C9D" w:rsidR="00AD3658" w:rsidRPr="002E2B5B" w:rsidRDefault="00AD3658" w:rsidP="007D40EC">
            <w:pPr>
              <w:spacing w:after="120"/>
              <w:jc w:val="right"/>
              <w:rPr>
                <w:rFonts w:ascii="Calibri" w:hAnsi="Calibri" w:cs="Calibri"/>
                <w:b/>
                <w:sz w:val="16"/>
                <w:szCs w:val="16"/>
              </w:rPr>
            </w:pPr>
          </w:p>
        </w:tc>
        <w:tc>
          <w:tcPr>
            <w:tcW w:w="736" w:type="pct"/>
            <w:tcBorders>
              <w:bottom w:val="single" w:sz="4" w:space="0" w:color="auto"/>
            </w:tcBorders>
            <w:shd w:val="clear" w:color="auto" w:fill="auto"/>
            <w:noWrap/>
            <w:vAlign w:val="bottom"/>
            <w:hideMark/>
          </w:tcPr>
          <w:p w14:paraId="4E1FC54E" w14:textId="3AFC8EB1" w:rsidR="00AD3658" w:rsidRPr="002E2B5B" w:rsidRDefault="00AD3658" w:rsidP="007D40EC">
            <w:pPr>
              <w:spacing w:after="120"/>
              <w:jc w:val="right"/>
              <w:rPr>
                <w:rFonts w:ascii="Calibri" w:hAnsi="Calibri" w:cs="Calibri"/>
                <w:b/>
                <w:sz w:val="16"/>
                <w:szCs w:val="16"/>
              </w:rPr>
            </w:pPr>
            <w:r>
              <w:rPr>
                <w:rFonts w:ascii="Calibri" w:hAnsi="Calibri" w:cs="Calibri"/>
                <w:b/>
                <w:sz w:val="16"/>
                <w:szCs w:val="16"/>
              </w:rPr>
              <w:t>VALOR</w:t>
            </w:r>
          </w:p>
        </w:tc>
      </w:tr>
      <w:tr w:rsidR="00AD3658" w:rsidRPr="002E2B5B" w14:paraId="244160B7" w14:textId="77777777" w:rsidTr="007D40EC">
        <w:trPr>
          <w:trHeight w:val="227"/>
        </w:trPr>
        <w:tc>
          <w:tcPr>
            <w:tcW w:w="2292" w:type="pct"/>
            <w:tcBorders>
              <w:top w:val="single" w:sz="4" w:space="0" w:color="auto"/>
            </w:tcBorders>
            <w:shd w:val="clear" w:color="auto" w:fill="auto"/>
            <w:noWrap/>
            <w:vAlign w:val="bottom"/>
            <w:hideMark/>
          </w:tcPr>
          <w:p w14:paraId="5ED0B406" w14:textId="247673F0" w:rsidR="00AD3658" w:rsidRPr="00AD3658" w:rsidRDefault="00AD3658" w:rsidP="007D40EC">
            <w:pPr>
              <w:spacing w:after="120"/>
              <w:rPr>
                <w:rFonts w:ascii="Calibri" w:hAnsi="Calibri" w:cs="Calibri"/>
                <w:sz w:val="16"/>
                <w:szCs w:val="16"/>
              </w:rPr>
            </w:pPr>
            <w:r w:rsidRPr="00AD3658">
              <w:rPr>
                <w:rFonts w:ascii="Calibri" w:hAnsi="Calibri" w:cs="Calibri"/>
                <w:color w:val="000000"/>
                <w:sz w:val="16"/>
                <w:szCs w:val="16"/>
              </w:rPr>
              <w:t>Assistência Médica/Odontológica</w:t>
            </w:r>
          </w:p>
        </w:tc>
        <w:tc>
          <w:tcPr>
            <w:tcW w:w="942" w:type="pct"/>
            <w:tcBorders>
              <w:top w:val="single" w:sz="4" w:space="0" w:color="auto"/>
            </w:tcBorders>
            <w:shd w:val="clear" w:color="auto" w:fill="auto"/>
            <w:noWrap/>
            <w:vAlign w:val="bottom"/>
          </w:tcPr>
          <w:p w14:paraId="079744EA" w14:textId="64D96C13" w:rsidR="00AD3658" w:rsidRPr="00AD3658" w:rsidRDefault="00AD3658" w:rsidP="007D40EC">
            <w:pPr>
              <w:spacing w:after="120"/>
              <w:jc w:val="right"/>
              <w:rPr>
                <w:rFonts w:ascii="Calibri" w:hAnsi="Calibri" w:cs="Calibri"/>
                <w:sz w:val="16"/>
                <w:szCs w:val="16"/>
              </w:rPr>
            </w:pPr>
          </w:p>
        </w:tc>
        <w:tc>
          <w:tcPr>
            <w:tcW w:w="1030" w:type="pct"/>
            <w:tcBorders>
              <w:top w:val="single" w:sz="4" w:space="0" w:color="auto"/>
            </w:tcBorders>
            <w:shd w:val="clear" w:color="auto" w:fill="auto"/>
            <w:noWrap/>
            <w:vAlign w:val="bottom"/>
          </w:tcPr>
          <w:p w14:paraId="513B8CB7" w14:textId="6F06F319" w:rsidR="00AD3658" w:rsidRPr="00AD3658" w:rsidRDefault="00AD3658" w:rsidP="007D40EC">
            <w:pPr>
              <w:spacing w:after="120"/>
              <w:jc w:val="right"/>
              <w:rPr>
                <w:rFonts w:ascii="Calibri" w:hAnsi="Calibri" w:cs="Calibri"/>
                <w:sz w:val="16"/>
                <w:szCs w:val="16"/>
              </w:rPr>
            </w:pPr>
          </w:p>
        </w:tc>
        <w:tc>
          <w:tcPr>
            <w:tcW w:w="736" w:type="pct"/>
            <w:tcBorders>
              <w:top w:val="single" w:sz="4" w:space="0" w:color="auto"/>
            </w:tcBorders>
            <w:shd w:val="clear" w:color="auto" w:fill="auto"/>
            <w:noWrap/>
            <w:vAlign w:val="bottom"/>
          </w:tcPr>
          <w:p w14:paraId="74921BCC" w14:textId="492EC2A4" w:rsidR="00AD3658" w:rsidRPr="00AD3658" w:rsidRDefault="00AD3658" w:rsidP="007D40EC">
            <w:pPr>
              <w:spacing w:after="120"/>
              <w:jc w:val="right"/>
              <w:rPr>
                <w:rFonts w:ascii="Calibri" w:hAnsi="Calibri" w:cs="Calibri"/>
                <w:sz w:val="16"/>
                <w:szCs w:val="16"/>
              </w:rPr>
            </w:pPr>
            <w:r>
              <w:rPr>
                <w:rFonts w:ascii="Calibri" w:hAnsi="Calibri" w:cs="Calibri"/>
                <w:color w:val="000000"/>
                <w:sz w:val="16"/>
                <w:szCs w:val="16"/>
              </w:rPr>
              <w:t>525.655</w:t>
            </w:r>
          </w:p>
        </w:tc>
      </w:tr>
      <w:tr w:rsidR="00AD3658" w:rsidRPr="002E2B5B" w14:paraId="05B55FF8" w14:textId="77777777" w:rsidTr="007D40EC">
        <w:trPr>
          <w:trHeight w:val="227"/>
        </w:trPr>
        <w:tc>
          <w:tcPr>
            <w:tcW w:w="2292" w:type="pct"/>
            <w:shd w:val="clear" w:color="auto" w:fill="auto"/>
            <w:noWrap/>
            <w:vAlign w:val="bottom"/>
            <w:hideMark/>
          </w:tcPr>
          <w:p w14:paraId="7B280CD7" w14:textId="1004D545" w:rsidR="00AD3658" w:rsidRPr="00AD3658" w:rsidRDefault="00AD3658" w:rsidP="007D40EC">
            <w:pPr>
              <w:spacing w:after="120"/>
              <w:rPr>
                <w:rFonts w:ascii="Calibri" w:hAnsi="Calibri" w:cs="Calibri"/>
                <w:sz w:val="16"/>
                <w:szCs w:val="16"/>
              </w:rPr>
            </w:pPr>
            <w:r w:rsidRPr="00AD3658">
              <w:rPr>
                <w:rFonts w:ascii="Calibri" w:hAnsi="Calibri" w:cs="Calibri"/>
                <w:color w:val="000000"/>
                <w:sz w:val="16"/>
                <w:szCs w:val="16"/>
              </w:rPr>
              <w:t>Auxílio Alimentação/Refeição</w:t>
            </w:r>
          </w:p>
        </w:tc>
        <w:tc>
          <w:tcPr>
            <w:tcW w:w="942" w:type="pct"/>
            <w:shd w:val="clear" w:color="auto" w:fill="auto"/>
            <w:noWrap/>
            <w:vAlign w:val="bottom"/>
          </w:tcPr>
          <w:p w14:paraId="4A81956E" w14:textId="0413F171" w:rsidR="00AD3658" w:rsidRPr="00AD3658" w:rsidRDefault="00AD3658" w:rsidP="007D40EC">
            <w:pPr>
              <w:spacing w:after="120"/>
              <w:jc w:val="right"/>
              <w:rPr>
                <w:rFonts w:ascii="Calibri" w:hAnsi="Calibri" w:cs="Calibri"/>
                <w:sz w:val="16"/>
                <w:szCs w:val="16"/>
              </w:rPr>
            </w:pPr>
          </w:p>
        </w:tc>
        <w:tc>
          <w:tcPr>
            <w:tcW w:w="1030" w:type="pct"/>
            <w:shd w:val="clear" w:color="auto" w:fill="auto"/>
            <w:noWrap/>
            <w:vAlign w:val="bottom"/>
          </w:tcPr>
          <w:p w14:paraId="684E8A94" w14:textId="78A8EB88" w:rsidR="00AD3658" w:rsidRPr="00AD3658" w:rsidRDefault="00AD3658" w:rsidP="007D40EC">
            <w:pPr>
              <w:spacing w:after="120"/>
              <w:jc w:val="right"/>
              <w:rPr>
                <w:rFonts w:ascii="Calibri" w:hAnsi="Calibri" w:cs="Calibri"/>
                <w:sz w:val="16"/>
                <w:szCs w:val="16"/>
              </w:rPr>
            </w:pPr>
          </w:p>
        </w:tc>
        <w:tc>
          <w:tcPr>
            <w:tcW w:w="736" w:type="pct"/>
            <w:shd w:val="clear" w:color="auto" w:fill="auto"/>
            <w:noWrap/>
            <w:vAlign w:val="bottom"/>
          </w:tcPr>
          <w:p w14:paraId="28274601" w14:textId="6DCB879C" w:rsidR="00AD3658" w:rsidRPr="00AD3658" w:rsidRDefault="00AD3658" w:rsidP="007D40EC">
            <w:pPr>
              <w:spacing w:after="120"/>
              <w:jc w:val="right"/>
              <w:rPr>
                <w:rFonts w:ascii="Calibri" w:hAnsi="Calibri" w:cs="Calibri"/>
                <w:sz w:val="16"/>
                <w:szCs w:val="16"/>
              </w:rPr>
            </w:pPr>
            <w:r>
              <w:rPr>
                <w:rFonts w:ascii="Calibri" w:hAnsi="Calibri" w:cs="Calibri"/>
                <w:sz w:val="16"/>
                <w:szCs w:val="16"/>
              </w:rPr>
              <w:t>577.997</w:t>
            </w:r>
          </w:p>
        </w:tc>
      </w:tr>
      <w:tr w:rsidR="00AD3658" w:rsidRPr="002E2B5B" w14:paraId="19850E53" w14:textId="77777777" w:rsidTr="007D40EC">
        <w:trPr>
          <w:trHeight w:val="227"/>
        </w:trPr>
        <w:tc>
          <w:tcPr>
            <w:tcW w:w="2292" w:type="pct"/>
            <w:shd w:val="clear" w:color="auto" w:fill="auto"/>
            <w:noWrap/>
            <w:vAlign w:val="bottom"/>
          </w:tcPr>
          <w:p w14:paraId="6BE600EA" w14:textId="3262B6A0" w:rsidR="00AD3658" w:rsidRPr="00AD3658" w:rsidRDefault="00AD3658" w:rsidP="007D40EC">
            <w:pPr>
              <w:spacing w:after="120"/>
              <w:rPr>
                <w:rFonts w:ascii="Calibri" w:hAnsi="Calibri" w:cs="Calibri"/>
                <w:sz w:val="16"/>
                <w:szCs w:val="16"/>
              </w:rPr>
            </w:pPr>
            <w:r w:rsidRPr="00AD3658">
              <w:rPr>
                <w:rFonts w:ascii="Calibri" w:hAnsi="Calibri" w:cs="Calibri"/>
                <w:color w:val="000000"/>
                <w:sz w:val="16"/>
                <w:szCs w:val="16"/>
              </w:rPr>
              <w:t>Auxílio Creche</w:t>
            </w:r>
          </w:p>
        </w:tc>
        <w:tc>
          <w:tcPr>
            <w:tcW w:w="942" w:type="pct"/>
            <w:shd w:val="clear" w:color="auto" w:fill="auto"/>
            <w:noWrap/>
            <w:vAlign w:val="bottom"/>
          </w:tcPr>
          <w:p w14:paraId="71BDF110" w14:textId="77777777" w:rsidR="00AD3658" w:rsidRPr="00AD3658" w:rsidRDefault="00AD3658" w:rsidP="007D40EC">
            <w:pPr>
              <w:spacing w:after="120"/>
              <w:jc w:val="right"/>
              <w:rPr>
                <w:rFonts w:ascii="Calibri" w:hAnsi="Calibri" w:cs="Calibri"/>
                <w:sz w:val="16"/>
                <w:szCs w:val="16"/>
              </w:rPr>
            </w:pPr>
          </w:p>
        </w:tc>
        <w:tc>
          <w:tcPr>
            <w:tcW w:w="1030" w:type="pct"/>
            <w:shd w:val="clear" w:color="auto" w:fill="auto"/>
            <w:noWrap/>
            <w:vAlign w:val="bottom"/>
          </w:tcPr>
          <w:p w14:paraId="1ED5EDEC" w14:textId="77777777" w:rsidR="00AD3658" w:rsidRPr="00AD3658" w:rsidRDefault="00AD3658" w:rsidP="007D40EC">
            <w:pPr>
              <w:spacing w:after="120"/>
              <w:jc w:val="right"/>
              <w:rPr>
                <w:rFonts w:ascii="Calibri" w:hAnsi="Calibri" w:cs="Calibri"/>
                <w:sz w:val="16"/>
                <w:szCs w:val="16"/>
              </w:rPr>
            </w:pPr>
          </w:p>
        </w:tc>
        <w:tc>
          <w:tcPr>
            <w:tcW w:w="736" w:type="pct"/>
            <w:shd w:val="clear" w:color="auto" w:fill="auto"/>
            <w:noWrap/>
            <w:vAlign w:val="bottom"/>
          </w:tcPr>
          <w:p w14:paraId="10153AFF" w14:textId="0921AE3E" w:rsidR="00AD3658" w:rsidRPr="00AD3658" w:rsidRDefault="00AD3658" w:rsidP="007D40EC">
            <w:pPr>
              <w:spacing w:after="120"/>
              <w:jc w:val="right"/>
              <w:rPr>
                <w:rFonts w:ascii="Calibri" w:hAnsi="Calibri" w:cs="Calibri"/>
                <w:sz w:val="16"/>
                <w:szCs w:val="16"/>
              </w:rPr>
            </w:pPr>
            <w:r>
              <w:rPr>
                <w:rFonts w:ascii="Calibri" w:hAnsi="Calibri" w:cs="Calibri"/>
                <w:sz w:val="16"/>
                <w:szCs w:val="16"/>
              </w:rPr>
              <w:t>44.957</w:t>
            </w:r>
          </w:p>
        </w:tc>
      </w:tr>
      <w:tr w:rsidR="00AD3658" w:rsidRPr="002E2B5B" w14:paraId="42E8D097" w14:textId="77777777" w:rsidTr="007D40EC">
        <w:trPr>
          <w:trHeight w:val="227"/>
        </w:trPr>
        <w:tc>
          <w:tcPr>
            <w:tcW w:w="2292" w:type="pct"/>
            <w:shd w:val="clear" w:color="auto" w:fill="auto"/>
            <w:noWrap/>
            <w:vAlign w:val="bottom"/>
          </w:tcPr>
          <w:p w14:paraId="12BBA028" w14:textId="16B7EFC5" w:rsidR="00AD3658" w:rsidRPr="00AD3658" w:rsidRDefault="00AD3658" w:rsidP="007D40EC">
            <w:pPr>
              <w:spacing w:after="120"/>
              <w:rPr>
                <w:rFonts w:ascii="Calibri" w:hAnsi="Calibri" w:cs="Calibri"/>
                <w:sz w:val="16"/>
                <w:szCs w:val="16"/>
              </w:rPr>
            </w:pPr>
            <w:r w:rsidRPr="00AD3658">
              <w:rPr>
                <w:rFonts w:ascii="Calibri" w:hAnsi="Calibri" w:cs="Calibri"/>
                <w:color w:val="000000"/>
                <w:sz w:val="16"/>
                <w:szCs w:val="16"/>
              </w:rPr>
              <w:t>Auxílio Educação</w:t>
            </w:r>
          </w:p>
        </w:tc>
        <w:tc>
          <w:tcPr>
            <w:tcW w:w="942" w:type="pct"/>
            <w:shd w:val="clear" w:color="auto" w:fill="auto"/>
            <w:noWrap/>
            <w:vAlign w:val="bottom"/>
          </w:tcPr>
          <w:p w14:paraId="42FBD60E" w14:textId="77777777" w:rsidR="00AD3658" w:rsidRPr="00AD3658" w:rsidRDefault="00AD3658" w:rsidP="007D40EC">
            <w:pPr>
              <w:spacing w:after="120"/>
              <w:jc w:val="right"/>
              <w:rPr>
                <w:rFonts w:ascii="Calibri" w:hAnsi="Calibri" w:cs="Calibri"/>
                <w:sz w:val="16"/>
                <w:szCs w:val="16"/>
              </w:rPr>
            </w:pPr>
          </w:p>
        </w:tc>
        <w:tc>
          <w:tcPr>
            <w:tcW w:w="1030" w:type="pct"/>
            <w:shd w:val="clear" w:color="auto" w:fill="auto"/>
            <w:noWrap/>
            <w:vAlign w:val="bottom"/>
          </w:tcPr>
          <w:p w14:paraId="524FA16A" w14:textId="77777777" w:rsidR="00AD3658" w:rsidRPr="00AD3658" w:rsidRDefault="00AD3658" w:rsidP="007D40EC">
            <w:pPr>
              <w:spacing w:after="120"/>
              <w:jc w:val="right"/>
              <w:rPr>
                <w:rFonts w:ascii="Calibri" w:hAnsi="Calibri" w:cs="Calibri"/>
                <w:sz w:val="16"/>
                <w:szCs w:val="16"/>
              </w:rPr>
            </w:pPr>
          </w:p>
        </w:tc>
        <w:tc>
          <w:tcPr>
            <w:tcW w:w="736" w:type="pct"/>
            <w:shd w:val="clear" w:color="auto" w:fill="auto"/>
            <w:noWrap/>
            <w:vAlign w:val="bottom"/>
          </w:tcPr>
          <w:p w14:paraId="53F0408A" w14:textId="768846A0" w:rsidR="00AD3658" w:rsidRPr="00AD3658" w:rsidRDefault="00AD3658" w:rsidP="007D40EC">
            <w:pPr>
              <w:spacing w:after="120"/>
              <w:jc w:val="right"/>
              <w:rPr>
                <w:rFonts w:ascii="Calibri" w:hAnsi="Calibri" w:cs="Calibri"/>
                <w:sz w:val="16"/>
                <w:szCs w:val="16"/>
              </w:rPr>
            </w:pPr>
            <w:r>
              <w:rPr>
                <w:rFonts w:ascii="Calibri" w:hAnsi="Calibri" w:cs="Calibri"/>
                <w:sz w:val="16"/>
                <w:szCs w:val="16"/>
              </w:rPr>
              <w:t>6.801</w:t>
            </w:r>
          </w:p>
        </w:tc>
      </w:tr>
      <w:tr w:rsidR="00AD3658" w:rsidRPr="002E2B5B" w14:paraId="42B382ED" w14:textId="77777777" w:rsidTr="00AD3658">
        <w:trPr>
          <w:trHeight w:val="227"/>
        </w:trPr>
        <w:tc>
          <w:tcPr>
            <w:tcW w:w="2292" w:type="pct"/>
            <w:tcBorders>
              <w:bottom w:val="single" w:sz="12" w:space="0" w:color="auto"/>
            </w:tcBorders>
            <w:shd w:val="clear" w:color="auto" w:fill="auto"/>
            <w:noWrap/>
            <w:vAlign w:val="bottom"/>
          </w:tcPr>
          <w:p w14:paraId="1A2F6B23" w14:textId="15CE70FC" w:rsidR="00AD3658" w:rsidRPr="00AD3658" w:rsidRDefault="00AD3658" w:rsidP="007D40EC">
            <w:pPr>
              <w:spacing w:after="120"/>
              <w:rPr>
                <w:rFonts w:ascii="Calibri" w:hAnsi="Calibri" w:cs="Calibri"/>
                <w:sz w:val="16"/>
                <w:szCs w:val="16"/>
              </w:rPr>
            </w:pPr>
            <w:r w:rsidRPr="00AD3658">
              <w:rPr>
                <w:rFonts w:ascii="Calibri" w:hAnsi="Calibri" w:cs="Calibri"/>
                <w:color w:val="000000"/>
                <w:sz w:val="16"/>
                <w:szCs w:val="16"/>
              </w:rPr>
              <w:t>Previdência Complementar</w:t>
            </w:r>
          </w:p>
        </w:tc>
        <w:tc>
          <w:tcPr>
            <w:tcW w:w="942" w:type="pct"/>
            <w:tcBorders>
              <w:bottom w:val="single" w:sz="12" w:space="0" w:color="auto"/>
            </w:tcBorders>
            <w:shd w:val="clear" w:color="auto" w:fill="auto"/>
            <w:noWrap/>
            <w:vAlign w:val="bottom"/>
          </w:tcPr>
          <w:p w14:paraId="282DE07A" w14:textId="0C223C0B" w:rsidR="00AD3658" w:rsidRPr="00AD3658" w:rsidRDefault="00AD3658" w:rsidP="007D40EC">
            <w:pPr>
              <w:spacing w:after="120"/>
              <w:jc w:val="right"/>
              <w:rPr>
                <w:rFonts w:ascii="Calibri" w:hAnsi="Calibri" w:cs="Calibri"/>
                <w:sz w:val="16"/>
                <w:szCs w:val="16"/>
              </w:rPr>
            </w:pPr>
          </w:p>
        </w:tc>
        <w:tc>
          <w:tcPr>
            <w:tcW w:w="1030" w:type="pct"/>
            <w:tcBorders>
              <w:bottom w:val="single" w:sz="12" w:space="0" w:color="auto"/>
            </w:tcBorders>
            <w:shd w:val="clear" w:color="auto" w:fill="auto"/>
            <w:noWrap/>
            <w:vAlign w:val="bottom"/>
          </w:tcPr>
          <w:p w14:paraId="03097C18" w14:textId="0360BE84" w:rsidR="00AD3658" w:rsidRPr="00AD3658" w:rsidRDefault="00AD3658" w:rsidP="007D40EC">
            <w:pPr>
              <w:spacing w:after="120"/>
              <w:jc w:val="right"/>
              <w:rPr>
                <w:rFonts w:ascii="Calibri" w:hAnsi="Calibri" w:cs="Calibri"/>
                <w:sz w:val="16"/>
                <w:szCs w:val="16"/>
              </w:rPr>
            </w:pPr>
          </w:p>
        </w:tc>
        <w:tc>
          <w:tcPr>
            <w:tcW w:w="736" w:type="pct"/>
            <w:tcBorders>
              <w:bottom w:val="single" w:sz="12" w:space="0" w:color="auto"/>
            </w:tcBorders>
            <w:shd w:val="clear" w:color="auto" w:fill="auto"/>
            <w:noWrap/>
            <w:vAlign w:val="bottom"/>
          </w:tcPr>
          <w:p w14:paraId="1DEA5B0B" w14:textId="03CDF60D" w:rsidR="00AD3658" w:rsidRPr="00AD3658" w:rsidRDefault="00AD3658" w:rsidP="007D40EC">
            <w:pPr>
              <w:spacing w:after="120"/>
              <w:jc w:val="right"/>
              <w:rPr>
                <w:rFonts w:ascii="Calibri" w:hAnsi="Calibri" w:cs="Calibri"/>
                <w:sz w:val="16"/>
                <w:szCs w:val="16"/>
              </w:rPr>
            </w:pPr>
            <w:r>
              <w:rPr>
                <w:rFonts w:ascii="Calibri" w:hAnsi="Calibri" w:cs="Calibri"/>
                <w:sz w:val="16"/>
                <w:szCs w:val="16"/>
              </w:rPr>
              <w:t>43.740</w:t>
            </w:r>
          </w:p>
        </w:tc>
      </w:tr>
      <w:tr w:rsidR="00AD3658" w:rsidRPr="00AD3658" w14:paraId="4F957B2B" w14:textId="77777777" w:rsidTr="00AD3658">
        <w:trPr>
          <w:trHeight w:val="227"/>
        </w:trPr>
        <w:tc>
          <w:tcPr>
            <w:tcW w:w="2292" w:type="pct"/>
            <w:tcBorders>
              <w:top w:val="single" w:sz="12" w:space="0" w:color="auto"/>
              <w:bottom w:val="single" w:sz="12" w:space="0" w:color="auto"/>
            </w:tcBorders>
            <w:shd w:val="clear" w:color="auto" w:fill="auto"/>
            <w:noWrap/>
            <w:vAlign w:val="bottom"/>
            <w:hideMark/>
          </w:tcPr>
          <w:p w14:paraId="7BB284FA" w14:textId="68589F39" w:rsidR="00AD3658" w:rsidRPr="00AD3658" w:rsidRDefault="00AD3658" w:rsidP="007D40EC">
            <w:pPr>
              <w:spacing w:after="120"/>
              <w:rPr>
                <w:rFonts w:ascii="Calibri" w:hAnsi="Calibri" w:cs="Calibri"/>
                <w:b/>
                <w:bCs/>
                <w:sz w:val="16"/>
                <w:szCs w:val="16"/>
              </w:rPr>
            </w:pPr>
            <w:r>
              <w:rPr>
                <w:rFonts w:ascii="Calibri" w:hAnsi="Calibri" w:cs="Calibri"/>
                <w:b/>
                <w:bCs/>
                <w:sz w:val="16"/>
                <w:szCs w:val="16"/>
              </w:rPr>
              <w:t>Média Global (</w:t>
            </w:r>
            <w:r w:rsidR="00C447F1">
              <w:rPr>
                <w:rFonts w:ascii="Calibri" w:hAnsi="Calibri" w:cs="Calibri"/>
                <w:b/>
                <w:bCs/>
                <w:sz w:val="16"/>
                <w:szCs w:val="16"/>
              </w:rPr>
              <w:t>por empregado)</w:t>
            </w:r>
          </w:p>
        </w:tc>
        <w:tc>
          <w:tcPr>
            <w:tcW w:w="942" w:type="pct"/>
            <w:tcBorders>
              <w:top w:val="single" w:sz="12" w:space="0" w:color="auto"/>
              <w:bottom w:val="single" w:sz="12" w:space="0" w:color="auto"/>
            </w:tcBorders>
            <w:shd w:val="clear" w:color="auto" w:fill="auto"/>
            <w:noWrap/>
            <w:vAlign w:val="bottom"/>
          </w:tcPr>
          <w:p w14:paraId="0AA46495" w14:textId="18662A1F" w:rsidR="00AD3658" w:rsidRPr="00AD3658" w:rsidRDefault="00AD3658" w:rsidP="007D40EC">
            <w:pPr>
              <w:spacing w:after="120"/>
              <w:jc w:val="right"/>
              <w:rPr>
                <w:rFonts w:ascii="Calibri" w:hAnsi="Calibri" w:cs="Calibri"/>
                <w:b/>
                <w:bCs/>
                <w:sz w:val="16"/>
                <w:szCs w:val="16"/>
              </w:rPr>
            </w:pPr>
          </w:p>
        </w:tc>
        <w:tc>
          <w:tcPr>
            <w:tcW w:w="1030" w:type="pct"/>
            <w:tcBorders>
              <w:top w:val="single" w:sz="12" w:space="0" w:color="auto"/>
              <w:bottom w:val="single" w:sz="12" w:space="0" w:color="auto"/>
            </w:tcBorders>
            <w:shd w:val="clear" w:color="auto" w:fill="auto"/>
            <w:noWrap/>
            <w:vAlign w:val="bottom"/>
          </w:tcPr>
          <w:p w14:paraId="5FB3620C" w14:textId="3179760A" w:rsidR="00AD3658" w:rsidRPr="00AD3658" w:rsidRDefault="00AD3658" w:rsidP="007D40EC">
            <w:pPr>
              <w:spacing w:after="120"/>
              <w:jc w:val="right"/>
              <w:rPr>
                <w:rFonts w:ascii="Calibri" w:hAnsi="Calibri" w:cs="Calibri"/>
                <w:b/>
                <w:bCs/>
                <w:sz w:val="16"/>
                <w:szCs w:val="16"/>
              </w:rPr>
            </w:pPr>
          </w:p>
        </w:tc>
        <w:tc>
          <w:tcPr>
            <w:tcW w:w="736" w:type="pct"/>
            <w:tcBorders>
              <w:top w:val="single" w:sz="12" w:space="0" w:color="auto"/>
              <w:bottom w:val="single" w:sz="12" w:space="0" w:color="auto"/>
            </w:tcBorders>
            <w:shd w:val="clear" w:color="auto" w:fill="auto"/>
            <w:noWrap/>
            <w:vAlign w:val="bottom"/>
          </w:tcPr>
          <w:p w14:paraId="7FC54FDB" w14:textId="0134AE0E" w:rsidR="00AD3658" w:rsidRPr="00AD3658" w:rsidRDefault="00C447F1" w:rsidP="007D40EC">
            <w:pPr>
              <w:spacing w:after="120"/>
              <w:jc w:val="right"/>
              <w:rPr>
                <w:rFonts w:ascii="Calibri" w:hAnsi="Calibri" w:cs="Calibri"/>
                <w:b/>
                <w:bCs/>
                <w:sz w:val="16"/>
                <w:szCs w:val="16"/>
              </w:rPr>
            </w:pPr>
            <w:r>
              <w:rPr>
                <w:rFonts w:ascii="Calibri" w:hAnsi="Calibri" w:cs="Calibri"/>
                <w:b/>
                <w:bCs/>
                <w:sz w:val="16"/>
                <w:szCs w:val="16"/>
              </w:rPr>
              <w:t>2.675</w:t>
            </w:r>
          </w:p>
        </w:tc>
      </w:tr>
    </w:tbl>
    <w:p w14:paraId="2F256334" w14:textId="690F9CCB" w:rsidR="004E146F" w:rsidRPr="002E2B5B" w:rsidRDefault="00117714" w:rsidP="0046789C">
      <w:pPr>
        <w:spacing w:before="120" w:after="120"/>
        <w:ind w:right="-142"/>
        <w:rPr>
          <w:rFonts w:ascii="Calibri" w:hAnsi="Calibri" w:cs="Calibri"/>
          <w:b/>
          <w:sz w:val="22"/>
          <w:szCs w:val="22"/>
        </w:rPr>
      </w:pPr>
      <w:r w:rsidRPr="002E2B5B">
        <w:rPr>
          <w:rFonts w:ascii="Calibri" w:hAnsi="Calibri" w:cs="Calibri"/>
          <w:b/>
          <w:sz w:val="22"/>
          <w:szCs w:val="22"/>
        </w:rPr>
        <w:t xml:space="preserve">b) </w:t>
      </w:r>
      <w:r w:rsidR="00561E8E" w:rsidRPr="002E2B5B">
        <w:rPr>
          <w:rFonts w:ascii="Calibri" w:hAnsi="Calibri" w:cs="Calibri"/>
          <w:b/>
          <w:sz w:val="22"/>
          <w:szCs w:val="22"/>
        </w:rPr>
        <w:t>Recursos Recebidos para Pagamento de Investimento, Pessoal e Custeio</w:t>
      </w:r>
      <w:r w:rsidR="00954343" w:rsidRPr="002E2B5B">
        <w:rPr>
          <w:rFonts w:ascii="Calibri" w:hAnsi="Calibri" w:cs="Calibri"/>
          <w:b/>
          <w:sz w:val="22"/>
          <w:szCs w:val="22"/>
        </w:rPr>
        <w:t xml:space="preserve"> </w:t>
      </w:r>
    </w:p>
    <w:p w14:paraId="7B52DF0B" w14:textId="7C0E5D1F" w:rsidR="006C2FC4" w:rsidRDefault="004E146F" w:rsidP="00937ED9">
      <w:pPr>
        <w:spacing w:after="120"/>
        <w:ind w:right="57"/>
        <w:jc w:val="both"/>
        <w:rPr>
          <w:rFonts w:ascii="Calibri" w:hAnsi="Calibri" w:cs="Calibri"/>
          <w:sz w:val="22"/>
          <w:szCs w:val="22"/>
        </w:rPr>
      </w:pPr>
      <w:r w:rsidRPr="002E2B5B">
        <w:rPr>
          <w:rFonts w:ascii="Calibri" w:hAnsi="Calibri" w:cs="Calibri"/>
          <w:sz w:val="22"/>
          <w:szCs w:val="22"/>
        </w:rPr>
        <w:t xml:space="preserve">Os recursos recebidos da União (Cotas Financeiras Recebidas e Cotas Financeiras de Restos a Pagar Recebidas), </w:t>
      </w:r>
      <w:r w:rsidR="00C22D12">
        <w:rPr>
          <w:rFonts w:ascii="Calibri" w:hAnsi="Calibri" w:cs="Calibri"/>
          <w:sz w:val="22"/>
          <w:szCs w:val="22"/>
        </w:rPr>
        <w:t xml:space="preserve">até </w:t>
      </w:r>
      <w:r w:rsidR="00432864">
        <w:rPr>
          <w:rFonts w:ascii="Calibri" w:hAnsi="Calibri" w:cs="Calibri"/>
          <w:sz w:val="22"/>
          <w:szCs w:val="22"/>
        </w:rPr>
        <w:t>o</w:t>
      </w:r>
      <w:r w:rsidR="00DE4DFB">
        <w:rPr>
          <w:rFonts w:ascii="Calibri" w:hAnsi="Calibri" w:cs="Calibri"/>
          <w:sz w:val="22"/>
          <w:szCs w:val="22"/>
        </w:rPr>
        <w:t xml:space="preserve"> </w:t>
      </w:r>
      <w:r w:rsidR="00CF0501">
        <w:rPr>
          <w:rFonts w:ascii="Calibri" w:hAnsi="Calibri" w:cs="Calibri"/>
          <w:sz w:val="22"/>
          <w:szCs w:val="22"/>
        </w:rPr>
        <w:t>3</w:t>
      </w:r>
      <w:r w:rsidR="00F35D86">
        <w:rPr>
          <w:rFonts w:ascii="Calibri" w:hAnsi="Calibri" w:cs="Calibri"/>
          <w:sz w:val="22"/>
          <w:szCs w:val="22"/>
        </w:rPr>
        <w:t>º trimestre</w:t>
      </w:r>
      <w:r w:rsidR="00DE4DFB">
        <w:rPr>
          <w:rFonts w:ascii="Calibri" w:hAnsi="Calibri" w:cs="Calibri"/>
          <w:sz w:val="22"/>
          <w:szCs w:val="22"/>
        </w:rPr>
        <w:t xml:space="preserve"> de 202</w:t>
      </w:r>
      <w:r w:rsidR="00F35D86">
        <w:rPr>
          <w:rFonts w:ascii="Calibri" w:hAnsi="Calibri" w:cs="Calibri"/>
          <w:sz w:val="22"/>
          <w:szCs w:val="22"/>
        </w:rPr>
        <w:t>2</w:t>
      </w:r>
      <w:r w:rsidR="00DE4DFB">
        <w:rPr>
          <w:rFonts w:ascii="Calibri" w:hAnsi="Calibri" w:cs="Calibri"/>
          <w:sz w:val="22"/>
          <w:szCs w:val="22"/>
        </w:rPr>
        <w:t xml:space="preserve">, </w:t>
      </w:r>
      <w:r w:rsidRPr="002E2B5B">
        <w:rPr>
          <w:rFonts w:ascii="Calibri" w:hAnsi="Calibri" w:cs="Calibri"/>
          <w:sz w:val="22"/>
          <w:szCs w:val="22"/>
        </w:rPr>
        <w:t>para pagamentos de investimentos, despesas com pessoal e custeio estão descritos abaixo:</w:t>
      </w:r>
    </w:p>
    <w:tbl>
      <w:tblPr>
        <w:tblW w:w="5000" w:type="pct"/>
        <w:tblCellMar>
          <w:left w:w="70" w:type="dxa"/>
          <w:right w:w="70" w:type="dxa"/>
        </w:tblCellMar>
        <w:tblLook w:val="04A0" w:firstRow="1" w:lastRow="0" w:firstColumn="1" w:lastColumn="0" w:noHBand="0" w:noVBand="1"/>
      </w:tblPr>
      <w:tblGrid>
        <w:gridCol w:w="6726"/>
        <w:gridCol w:w="469"/>
        <w:gridCol w:w="1608"/>
        <w:gridCol w:w="1664"/>
      </w:tblGrid>
      <w:tr w:rsidR="00DE4DFB" w14:paraId="18F6889A"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0DE28258" w14:textId="77777777" w:rsidR="00DE4DFB" w:rsidRDefault="00DE4DFB" w:rsidP="00937ED9">
            <w:pPr>
              <w:spacing w:after="120"/>
              <w:rPr>
                <w:rFonts w:ascii="Calibri" w:hAnsi="Calibri" w:cs="Calibri"/>
                <w:b/>
                <w:bCs/>
                <w:color w:val="000000"/>
                <w:sz w:val="16"/>
                <w:szCs w:val="16"/>
              </w:rPr>
            </w:pPr>
            <w:r>
              <w:rPr>
                <w:rFonts w:ascii="Calibri" w:hAnsi="Calibri" w:cs="Calibri"/>
                <w:b/>
                <w:bCs/>
                <w:color w:val="000000"/>
                <w:sz w:val="16"/>
                <w:szCs w:val="16"/>
              </w:rPr>
              <w:t xml:space="preserve">Recursos recebidos para pagamento de investimento, pessoal e custeio </w:t>
            </w:r>
          </w:p>
        </w:tc>
        <w:tc>
          <w:tcPr>
            <w:tcW w:w="768" w:type="pct"/>
            <w:tcBorders>
              <w:top w:val="nil"/>
              <w:left w:val="nil"/>
              <w:bottom w:val="single" w:sz="8" w:space="0" w:color="auto"/>
              <w:right w:val="nil"/>
            </w:tcBorders>
            <w:shd w:val="clear" w:color="auto" w:fill="auto"/>
            <w:noWrap/>
            <w:vAlign w:val="center"/>
            <w:hideMark/>
          </w:tcPr>
          <w:p w14:paraId="45AF1880" w14:textId="70D0C130" w:rsidR="00DE4DFB" w:rsidRDefault="00DE4DFB"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C22D12">
              <w:rPr>
                <w:rFonts w:ascii="Calibri" w:hAnsi="Calibri" w:cs="Calibri"/>
                <w:b/>
                <w:bCs/>
                <w:color w:val="000000"/>
                <w:sz w:val="16"/>
                <w:szCs w:val="16"/>
              </w:rPr>
              <w:t>0</w:t>
            </w:r>
            <w:r>
              <w:rPr>
                <w:rFonts w:ascii="Calibri" w:hAnsi="Calibri" w:cs="Calibri"/>
                <w:b/>
                <w:bCs/>
                <w:color w:val="000000"/>
                <w:sz w:val="16"/>
                <w:szCs w:val="16"/>
              </w:rPr>
              <w:t>/</w:t>
            </w:r>
            <w:r w:rsidR="00F35D86">
              <w:rPr>
                <w:rFonts w:ascii="Calibri" w:hAnsi="Calibri" w:cs="Calibri"/>
                <w:b/>
                <w:bCs/>
                <w:color w:val="000000"/>
                <w:sz w:val="16"/>
                <w:szCs w:val="16"/>
              </w:rPr>
              <w:t>0</w:t>
            </w:r>
            <w:r w:rsidR="00CF0501">
              <w:rPr>
                <w:rFonts w:ascii="Calibri" w:hAnsi="Calibri" w:cs="Calibri"/>
                <w:b/>
                <w:bCs/>
                <w:color w:val="000000"/>
                <w:sz w:val="16"/>
                <w:szCs w:val="16"/>
              </w:rPr>
              <w:t>9</w:t>
            </w:r>
            <w:r>
              <w:rPr>
                <w:rFonts w:ascii="Calibri" w:hAnsi="Calibri" w:cs="Calibri"/>
                <w:b/>
                <w:bCs/>
                <w:color w:val="000000"/>
                <w:sz w:val="16"/>
                <w:szCs w:val="16"/>
              </w:rPr>
              <w:t>/202</w:t>
            </w:r>
            <w:r w:rsidR="00F35D86">
              <w:rPr>
                <w:rFonts w:ascii="Calibri" w:hAnsi="Calibri" w:cs="Calibri"/>
                <w:b/>
                <w:bCs/>
                <w:color w:val="000000"/>
                <w:sz w:val="16"/>
                <w:szCs w:val="16"/>
              </w:rPr>
              <w:t>2</w:t>
            </w:r>
          </w:p>
        </w:tc>
        <w:tc>
          <w:tcPr>
            <w:tcW w:w="795" w:type="pct"/>
            <w:tcBorders>
              <w:top w:val="nil"/>
              <w:left w:val="nil"/>
              <w:bottom w:val="single" w:sz="8" w:space="0" w:color="auto"/>
              <w:right w:val="nil"/>
            </w:tcBorders>
            <w:shd w:val="clear" w:color="auto" w:fill="auto"/>
            <w:vAlign w:val="center"/>
            <w:hideMark/>
          </w:tcPr>
          <w:p w14:paraId="694BB89F" w14:textId="1DD30D31" w:rsidR="00DE4DFB" w:rsidRPr="00D05194" w:rsidRDefault="00DE4DFB" w:rsidP="00937ED9">
            <w:pPr>
              <w:spacing w:after="120"/>
              <w:jc w:val="right"/>
              <w:rPr>
                <w:rFonts w:ascii="Calibri" w:hAnsi="Calibri" w:cs="Calibri"/>
                <w:b/>
                <w:bCs/>
                <w:color w:val="000000"/>
                <w:sz w:val="16"/>
                <w:szCs w:val="16"/>
              </w:rPr>
            </w:pPr>
            <w:r w:rsidRPr="00D05194">
              <w:rPr>
                <w:rFonts w:ascii="Calibri" w:hAnsi="Calibri" w:cs="Calibri"/>
                <w:b/>
                <w:bCs/>
                <w:color w:val="000000"/>
                <w:sz w:val="16"/>
                <w:szCs w:val="16"/>
              </w:rPr>
              <w:t>3</w:t>
            </w:r>
            <w:r w:rsidR="00C22D12">
              <w:rPr>
                <w:rFonts w:ascii="Calibri" w:hAnsi="Calibri" w:cs="Calibri"/>
                <w:b/>
                <w:bCs/>
                <w:color w:val="000000"/>
                <w:sz w:val="16"/>
                <w:szCs w:val="16"/>
              </w:rPr>
              <w:t>0</w:t>
            </w:r>
            <w:r w:rsidRPr="00D05194">
              <w:rPr>
                <w:rFonts w:ascii="Calibri" w:hAnsi="Calibri" w:cs="Calibri"/>
                <w:b/>
                <w:bCs/>
                <w:color w:val="000000"/>
                <w:sz w:val="16"/>
                <w:szCs w:val="16"/>
              </w:rPr>
              <w:t>/</w:t>
            </w:r>
            <w:r w:rsidR="00F35D86">
              <w:rPr>
                <w:rFonts w:ascii="Calibri" w:hAnsi="Calibri" w:cs="Calibri"/>
                <w:b/>
                <w:bCs/>
                <w:color w:val="000000"/>
                <w:sz w:val="16"/>
                <w:szCs w:val="16"/>
              </w:rPr>
              <w:t>0</w:t>
            </w:r>
            <w:r w:rsidR="00CF0501">
              <w:rPr>
                <w:rFonts w:ascii="Calibri" w:hAnsi="Calibri" w:cs="Calibri"/>
                <w:b/>
                <w:bCs/>
                <w:color w:val="000000"/>
                <w:sz w:val="16"/>
                <w:szCs w:val="16"/>
              </w:rPr>
              <w:t>9</w:t>
            </w:r>
            <w:r w:rsidRPr="00D05194">
              <w:rPr>
                <w:rFonts w:ascii="Calibri" w:hAnsi="Calibri" w:cs="Calibri"/>
                <w:b/>
                <w:bCs/>
                <w:color w:val="000000"/>
                <w:sz w:val="16"/>
                <w:szCs w:val="16"/>
              </w:rPr>
              <w:t>/202</w:t>
            </w:r>
            <w:r w:rsidR="00F35D86">
              <w:rPr>
                <w:rFonts w:ascii="Calibri" w:hAnsi="Calibri" w:cs="Calibri"/>
                <w:b/>
                <w:bCs/>
                <w:color w:val="000000"/>
                <w:sz w:val="16"/>
                <w:szCs w:val="16"/>
              </w:rPr>
              <w:t>1</w:t>
            </w:r>
          </w:p>
        </w:tc>
      </w:tr>
      <w:tr w:rsidR="00F35D86" w14:paraId="3C5930D5" w14:textId="77777777" w:rsidTr="00DE4DFB">
        <w:trPr>
          <w:trHeight w:hRule="exact" w:val="227"/>
        </w:trPr>
        <w:tc>
          <w:tcPr>
            <w:tcW w:w="3213" w:type="pct"/>
            <w:tcBorders>
              <w:top w:val="nil"/>
              <w:left w:val="nil"/>
              <w:bottom w:val="nil"/>
              <w:right w:val="nil"/>
            </w:tcBorders>
            <w:shd w:val="clear" w:color="auto" w:fill="auto"/>
            <w:noWrap/>
            <w:vAlign w:val="center"/>
            <w:hideMark/>
          </w:tcPr>
          <w:p w14:paraId="44E33172" w14:textId="77777777" w:rsidR="00F35D86" w:rsidRDefault="00F35D86" w:rsidP="00F35D86">
            <w:pPr>
              <w:spacing w:after="120"/>
              <w:rPr>
                <w:rFonts w:ascii="Calibri" w:hAnsi="Calibri" w:cs="Calibri"/>
                <w:color w:val="000000"/>
                <w:sz w:val="16"/>
                <w:szCs w:val="16"/>
              </w:rPr>
            </w:pPr>
            <w:r>
              <w:rPr>
                <w:rFonts w:ascii="Calibri" w:hAnsi="Calibri" w:cs="Calibri"/>
                <w:color w:val="000000"/>
                <w:sz w:val="16"/>
                <w:szCs w:val="16"/>
              </w:rPr>
              <w:t>Custeio</w:t>
            </w:r>
          </w:p>
        </w:tc>
        <w:tc>
          <w:tcPr>
            <w:tcW w:w="224" w:type="pct"/>
            <w:tcBorders>
              <w:top w:val="nil"/>
              <w:left w:val="nil"/>
              <w:bottom w:val="nil"/>
              <w:right w:val="nil"/>
            </w:tcBorders>
            <w:shd w:val="clear" w:color="auto" w:fill="auto"/>
            <w:noWrap/>
            <w:vAlign w:val="center"/>
            <w:hideMark/>
          </w:tcPr>
          <w:p w14:paraId="5AECB06A" w14:textId="77777777" w:rsidR="00F35D86" w:rsidRDefault="00F35D86" w:rsidP="00F35D86">
            <w:pPr>
              <w:spacing w:after="120"/>
              <w:rPr>
                <w:rFonts w:ascii="Calibri" w:hAnsi="Calibri" w:cs="Calibri"/>
                <w:color w:val="000000"/>
                <w:sz w:val="16"/>
                <w:szCs w:val="16"/>
              </w:rPr>
            </w:pPr>
          </w:p>
        </w:tc>
        <w:tc>
          <w:tcPr>
            <w:tcW w:w="768" w:type="pct"/>
            <w:tcBorders>
              <w:top w:val="nil"/>
              <w:left w:val="nil"/>
              <w:bottom w:val="nil"/>
              <w:right w:val="nil"/>
            </w:tcBorders>
            <w:shd w:val="clear" w:color="auto" w:fill="auto"/>
            <w:vAlign w:val="center"/>
            <w:hideMark/>
          </w:tcPr>
          <w:p w14:paraId="4538AFB8" w14:textId="33D0E6E1" w:rsidR="00F35D86" w:rsidRPr="00DC7041" w:rsidRDefault="00526976" w:rsidP="00F35D86">
            <w:pPr>
              <w:spacing w:after="120"/>
              <w:jc w:val="right"/>
              <w:rPr>
                <w:rFonts w:ascii="Calibri" w:hAnsi="Calibri" w:cs="Calibri"/>
                <w:color w:val="000000"/>
                <w:sz w:val="16"/>
                <w:szCs w:val="16"/>
              </w:rPr>
            </w:pPr>
            <w:r w:rsidRPr="00526976">
              <w:rPr>
                <w:rFonts w:ascii="Calibri" w:hAnsi="Calibri" w:cs="Calibri"/>
                <w:color w:val="000000"/>
                <w:sz w:val="16"/>
                <w:szCs w:val="16"/>
              </w:rPr>
              <w:t>18.063.428</w:t>
            </w:r>
          </w:p>
        </w:tc>
        <w:tc>
          <w:tcPr>
            <w:tcW w:w="795" w:type="pct"/>
            <w:tcBorders>
              <w:top w:val="nil"/>
              <w:left w:val="nil"/>
              <w:bottom w:val="nil"/>
              <w:right w:val="nil"/>
            </w:tcBorders>
            <w:shd w:val="clear" w:color="auto" w:fill="auto"/>
            <w:vAlign w:val="center"/>
            <w:hideMark/>
          </w:tcPr>
          <w:p w14:paraId="2AB9FE30" w14:textId="117405B6" w:rsidR="00F35D86" w:rsidRPr="00D05194" w:rsidRDefault="00CF0501" w:rsidP="00F35D86">
            <w:pPr>
              <w:spacing w:after="120"/>
              <w:jc w:val="right"/>
              <w:rPr>
                <w:rFonts w:ascii="Calibri" w:hAnsi="Calibri" w:cs="Calibri"/>
                <w:color w:val="000000"/>
                <w:sz w:val="16"/>
                <w:szCs w:val="16"/>
              </w:rPr>
            </w:pPr>
            <w:r>
              <w:rPr>
                <w:rFonts w:ascii="Calibri" w:hAnsi="Calibri" w:cs="Calibri"/>
                <w:color w:val="000000"/>
                <w:sz w:val="16"/>
                <w:szCs w:val="16"/>
              </w:rPr>
              <w:t>19.448.377</w:t>
            </w:r>
          </w:p>
        </w:tc>
      </w:tr>
      <w:tr w:rsidR="00F35D86" w14:paraId="24072D40" w14:textId="77777777" w:rsidTr="00DE4DFB">
        <w:trPr>
          <w:trHeight w:hRule="exact" w:val="227"/>
        </w:trPr>
        <w:tc>
          <w:tcPr>
            <w:tcW w:w="3213" w:type="pct"/>
            <w:tcBorders>
              <w:top w:val="nil"/>
              <w:left w:val="nil"/>
              <w:bottom w:val="nil"/>
              <w:right w:val="nil"/>
            </w:tcBorders>
            <w:shd w:val="clear" w:color="auto" w:fill="auto"/>
            <w:noWrap/>
            <w:vAlign w:val="center"/>
            <w:hideMark/>
          </w:tcPr>
          <w:p w14:paraId="44B33A77" w14:textId="77777777" w:rsidR="00F35D86" w:rsidRDefault="00F35D86" w:rsidP="00F35D86">
            <w:pPr>
              <w:spacing w:after="120"/>
              <w:rPr>
                <w:rFonts w:ascii="Calibri" w:hAnsi="Calibri" w:cs="Calibri"/>
                <w:color w:val="000000"/>
                <w:sz w:val="16"/>
                <w:szCs w:val="16"/>
              </w:rPr>
            </w:pPr>
            <w:r>
              <w:rPr>
                <w:rFonts w:ascii="Calibri" w:hAnsi="Calibri" w:cs="Calibri"/>
                <w:color w:val="000000"/>
                <w:sz w:val="16"/>
                <w:szCs w:val="16"/>
              </w:rPr>
              <w:t>Pessoal</w:t>
            </w:r>
          </w:p>
        </w:tc>
        <w:tc>
          <w:tcPr>
            <w:tcW w:w="224" w:type="pct"/>
            <w:tcBorders>
              <w:top w:val="nil"/>
              <w:left w:val="nil"/>
              <w:bottom w:val="nil"/>
              <w:right w:val="nil"/>
            </w:tcBorders>
            <w:shd w:val="clear" w:color="auto" w:fill="auto"/>
            <w:noWrap/>
            <w:vAlign w:val="center"/>
            <w:hideMark/>
          </w:tcPr>
          <w:p w14:paraId="2AD6ADF7" w14:textId="77777777" w:rsidR="00F35D86" w:rsidRDefault="00F35D86" w:rsidP="00F35D86">
            <w:pPr>
              <w:spacing w:after="120"/>
              <w:rPr>
                <w:rFonts w:ascii="Calibri" w:hAnsi="Calibri" w:cs="Calibri"/>
                <w:color w:val="000000"/>
                <w:sz w:val="16"/>
                <w:szCs w:val="16"/>
              </w:rPr>
            </w:pPr>
          </w:p>
        </w:tc>
        <w:tc>
          <w:tcPr>
            <w:tcW w:w="768" w:type="pct"/>
            <w:tcBorders>
              <w:top w:val="nil"/>
              <w:left w:val="nil"/>
              <w:bottom w:val="nil"/>
              <w:right w:val="nil"/>
            </w:tcBorders>
            <w:shd w:val="clear" w:color="auto" w:fill="auto"/>
            <w:vAlign w:val="center"/>
            <w:hideMark/>
          </w:tcPr>
          <w:p w14:paraId="08DCA231" w14:textId="2E2E409C" w:rsidR="00F35D86" w:rsidRPr="00DC7041" w:rsidRDefault="00526976" w:rsidP="00F35D86">
            <w:pPr>
              <w:spacing w:after="120"/>
              <w:jc w:val="right"/>
              <w:rPr>
                <w:rFonts w:ascii="Calibri" w:hAnsi="Calibri" w:cs="Calibri"/>
                <w:color w:val="000000"/>
                <w:sz w:val="16"/>
                <w:szCs w:val="16"/>
              </w:rPr>
            </w:pPr>
            <w:r w:rsidRPr="00526976">
              <w:rPr>
                <w:rFonts w:ascii="Calibri" w:hAnsi="Calibri" w:cs="Calibri"/>
                <w:color w:val="000000"/>
                <w:sz w:val="16"/>
                <w:szCs w:val="16"/>
              </w:rPr>
              <w:t>91.355.332</w:t>
            </w:r>
          </w:p>
        </w:tc>
        <w:tc>
          <w:tcPr>
            <w:tcW w:w="795" w:type="pct"/>
            <w:tcBorders>
              <w:top w:val="nil"/>
              <w:left w:val="nil"/>
              <w:bottom w:val="nil"/>
              <w:right w:val="nil"/>
            </w:tcBorders>
            <w:shd w:val="clear" w:color="auto" w:fill="auto"/>
            <w:vAlign w:val="center"/>
            <w:hideMark/>
          </w:tcPr>
          <w:p w14:paraId="1346F3E4" w14:textId="6A02FD7D" w:rsidR="00F35D86" w:rsidRPr="00D05194" w:rsidRDefault="00CF0501" w:rsidP="00F35D86">
            <w:pPr>
              <w:spacing w:after="120"/>
              <w:jc w:val="right"/>
              <w:rPr>
                <w:rFonts w:ascii="Calibri" w:hAnsi="Calibri" w:cs="Calibri"/>
                <w:color w:val="000000"/>
                <w:sz w:val="16"/>
                <w:szCs w:val="16"/>
              </w:rPr>
            </w:pPr>
            <w:r>
              <w:rPr>
                <w:rFonts w:ascii="Calibri" w:hAnsi="Calibri" w:cs="Calibri"/>
                <w:color w:val="000000"/>
                <w:sz w:val="16"/>
                <w:szCs w:val="16"/>
              </w:rPr>
              <w:t>82.952.777</w:t>
            </w:r>
          </w:p>
        </w:tc>
      </w:tr>
      <w:tr w:rsidR="00F35D86" w14:paraId="4985527E"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425FA54D" w14:textId="77777777" w:rsidR="00F35D86" w:rsidRDefault="00F35D86" w:rsidP="00F35D86">
            <w:pPr>
              <w:spacing w:after="120"/>
              <w:rPr>
                <w:rFonts w:ascii="Calibri" w:hAnsi="Calibri" w:cs="Calibri"/>
                <w:color w:val="000000"/>
                <w:sz w:val="16"/>
                <w:szCs w:val="16"/>
              </w:rPr>
            </w:pPr>
            <w:r>
              <w:rPr>
                <w:rFonts w:ascii="Calibri" w:hAnsi="Calibri" w:cs="Calibri"/>
                <w:color w:val="000000"/>
                <w:sz w:val="16"/>
                <w:szCs w:val="16"/>
              </w:rPr>
              <w:t>Investimento</w:t>
            </w:r>
          </w:p>
        </w:tc>
        <w:tc>
          <w:tcPr>
            <w:tcW w:w="768" w:type="pct"/>
            <w:tcBorders>
              <w:top w:val="nil"/>
              <w:left w:val="nil"/>
              <w:bottom w:val="single" w:sz="8" w:space="0" w:color="auto"/>
              <w:right w:val="nil"/>
            </w:tcBorders>
            <w:shd w:val="clear" w:color="auto" w:fill="auto"/>
            <w:noWrap/>
            <w:vAlign w:val="bottom"/>
            <w:hideMark/>
          </w:tcPr>
          <w:p w14:paraId="6A554586" w14:textId="73DBD2E6" w:rsidR="00F35D86" w:rsidRPr="00DC7041" w:rsidRDefault="00526976" w:rsidP="00F35D86">
            <w:pPr>
              <w:spacing w:after="120"/>
              <w:jc w:val="right"/>
              <w:rPr>
                <w:rFonts w:ascii="Calibri" w:hAnsi="Calibri" w:cs="Calibri"/>
                <w:color w:val="000000"/>
                <w:sz w:val="16"/>
                <w:szCs w:val="16"/>
              </w:rPr>
            </w:pPr>
            <w:r>
              <w:rPr>
                <w:rFonts w:ascii="Calibri" w:hAnsi="Calibri" w:cs="Calibri"/>
                <w:color w:val="000000"/>
                <w:sz w:val="16"/>
                <w:szCs w:val="16"/>
              </w:rPr>
              <w:t>232.110.193</w:t>
            </w:r>
          </w:p>
        </w:tc>
        <w:tc>
          <w:tcPr>
            <w:tcW w:w="795" w:type="pct"/>
            <w:tcBorders>
              <w:top w:val="nil"/>
              <w:left w:val="nil"/>
              <w:bottom w:val="single" w:sz="8" w:space="0" w:color="auto"/>
              <w:right w:val="nil"/>
            </w:tcBorders>
            <w:shd w:val="clear" w:color="auto" w:fill="auto"/>
            <w:vAlign w:val="center"/>
            <w:hideMark/>
          </w:tcPr>
          <w:p w14:paraId="64591B9D" w14:textId="7C3905FB" w:rsidR="00F35D86" w:rsidRPr="00D05194" w:rsidRDefault="00CF0501" w:rsidP="00F35D86">
            <w:pPr>
              <w:spacing w:after="120"/>
              <w:jc w:val="right"/>
              <w:rPr>
                <w:rFonts w:ascii="Calibri" w:hAnsi="Calibri" w:cs="Calibri"/>
                <w:color w:val="000000"/>
                <w:sz w:val="16"/>
                <w:szCs w:val="16"/>
              </w:rPr>
            </w:pPr>
            <w:r>
              <w:rPr>
                <w:rFonts w:ascii="Calibri" w:hAnsi="Calibri" w:cs="Calibri"/>
                <w:color w:val="000000"/>
                <w:sz w:val="16"/>
                <w:szCs w:val="16"/>
              </w:rPr>
              <w:t>277.743.872</w:t>
            </w:r>
          </w:p>
        </w:tc>
      </w:tr>
      <w:tr w:rsidR="00DE4DFB" w14:paraId="1E983133" w14:textId="77777777" w:rsidTr="00DE4DFB">
        <w:trPr>
          <w:trHeight w:hRule="exact" w:val="227"/>
        </w:trPr>
        <w:tc>
          <w:tcPr>
            <w:tcW w:w="3437" w:type="pct"/>
            <w:gridSpan w:val="2"/>
            <w:tcBorders>
              <w:top w:val="nil"/>
              <w:left w:val="nil"/>
              <w:bottom w:val="single" w:sz="8" w:space="0" w:color="auto"/>
              <w:right w:val="nil"/>
            </w:tcBorders>
            <w:shd w:val="clear" w:color="auto" w:fill="auto"/>
            <w:noWrap/>
            <w:vAlign w:val="center"/>
            <w:hideMark/>
          </w:tcPr>
          <w:p w14:paraId="1ABA7A4D" w14:textId="77777777" w:rsidR="00DE4DFB" w:rsidRDefault="00DE4DFB" w:rsidP="00937ED9">
            <w:pPr>
              <w:spacing w:after="120"/>
              <w:rPr>
                <w:rFonts w:ascii="Calibri" w:hAnsi="Calibri" w:cs="Calibri"/>
                <w:b/>
                <w:bCs/>
                <w:color w:val="000000"/>
                <w:sz w:val="16"/>
                <w:szCs w:val="16"/>
              </w:rPr>
            </w:pPr>
            <w:r>
              <w:rPr>
                <w:rFonts w:ascii="Calibri" w:hAnsi="Calibri" w:cs="Calibri"/>
                <w:b/>
                <w:bCs/>
                <w:color w:val="000000"/>
                <w:sz w:val="16"/>
                <w:szCs w:val="16"/>
              </w:rPr>
              <w:t>TOTAL GERAL</w:t>
            </w:r>
          </w:p>
        </w:tc>
        <w:tc>
          <w:tcPr>
            <w:tcW w:w="768" w:type="pct"/>
            <w:tcBorders>
              <w:top w:val="nil"/>
              <w:left w:val="nil"/>
              <w:bottom w:val="single" w:sz="8" w:space="0" w:color="auto"/>
              <w:right w:val="nil"/>
            </w:tcBorders>
            <w:shd w:val="clear" w:color="auto" w:fill="auto"/>
            <w:noWrap/>
            <w:vAlign w:val="center"/>
            <w:hideMark/>
          </w:tcPr>
          <w:p w14:paraId="7EF29D3B" w14:textId="406FA443" w:rsidR="00DE4DFB" w:rsidRDefault="00526976" w:rsidP="00937ED9">
            <w:pPr>
              <w:spacing w:after="120"/>
              <w:jc w:val="right"/>
              <w:rPr>
                <w:rFonts w:ascii="Calibri" w:hAnsi="Calibri" w:cs="Calibri"/>
                <w:b/>
                <w:bCs/>
                <w:color w:val="000000"/>
                <w:sz w:val="16"/>
                <w:szCs w:val="16"/>
              </w:rPr>
            </w:pPr>
            <w:r>
              <w:rPr>
                <w:rFonts w:ascii="Calibri" w:hAnsi="Calibri" w:cs="Calibri"/>
                <w:b/>
                <w:bCs/>
                <w:color w:val="000000"/>
                <w:sz w:val="16"/>
                <w:szCs w:val="16"/>
              </w:rPr>
              <w:t>341.528.953</w:t>
            </w:r>
          </w:p>
        </w:tc>
        <w:tc>
          <w:tcPr>
            <w:tcW w:w="795" w:type="pct"/>
            <w:tcBorders>
              <w:top w:val="nil"/>
              <w:left w:val="nil"/>
              <w:bottom w:val="single" w:sz="8" w:space="0" w:color="auto"/>
              <w:right w:val="nil"/>
            </w:tcBorders>
            <w:shd w:val="clear" w:color="auto" w:fill="auto"/>
            <w:noWrap/>
            <w:vAlign w:val="center"/>
            <w:hideMark/>
          </w:tcPr>
          <w:p w14:paraId="3C86E8A7" w14:textId="4A08D24C" w:rsidR="00DE4DFB" w:rsidRPr="00D05194" w:rsidRDefault="00CF0501" w:rsidP="00937ED9">
            <w:pPr>
              <w:spacing w:after="120"/>
              <w:jc w:val="right"/>
              <w:rPr>
                <w:rFonts w:ascii="Calibri" w:hAnsi="Calibri" w:cs="Calibri"/>
                <w:b/>
                <w:bCs/>
                <w:color w:val="000000"/>
                <w:sz w:val="16"/>
                <w:szCs w:val="16"/>
              </w:rPr>
            </w:pPr>
            <w:r>
              <w:rPr>
                <w:rFonts w:ascii="Calibri" w:hAnsi="Calibri" w:cs="Calibri"/>
                <w:b/>
                <w:bCs/>
                <w:color w:val="000000"/>
                <w:sz w:val="16"/>
                <w:szCs w:val="16"/>
              </w:rPr>
              <w:t>380.145.026</w:t>
            </w:r>
          </w:p>
        </w:tc>
      </w:tr>
    </w:tbl>
    <w:p w14:paraId="72FBF3BC" w14:textId="0062F1BA" w:rsidR="00B57AAF" w:rsidRPr="002E2B5B" w:rsidRDefault="00550ED5" w:rsidP="002D2F93">
      <w:pPr>
        <w:spacing w:before="120" w:after="120"/>
        <w:ind w:right="-142"/>
        <w:rPr>
          <w:rFonts w:ascii="Calibri" w:hAnsi="Calibri" w:cs="Calibri"/>
          <w:sz w:val="22"/>
          <w:szCs w:val="22"/>
        </w:rPr>
      </w:pPr>
      <w:r>
        <w:rPr>
          <w:rFonts w:ascii="Calibri" w:hAnsi="Calibri" w:cs="Calibri"/>
          <w:b/>
          <w:sz w:val="22"/>
          <w:szCs w:val="22"/>
        </w:rPr>
        <w:t xml:space="preserve">c) </w:t>
      </w:r>
      <w:r w:rsidR="00B57AAF" w:rsidRPr="00F47574">
        <w:rPr>
          <w:rFonts w:ascii="Calibri" w:hAnsi="Calibri" w:cs="Calibri"/>
          <w:b/>
          <w:sz w:val="22"/>
          <w:szCs w:val="22"/>
        </w:rPr>
        <w:t>Aplicação dos Recursos</w:t>
      </w:r>
      <w:r w:rsidR="00B57AAF" w:rsidRPr="002E2B5B">
        <w:rPr>
          <w:rFonts w:ascii="Calibri" w:hAnsi="Calibri" w:cs="Calibri"/>
          <w:b/>
          <w:sz w:val="22"/>
          <w:szCs w:val="22"/>
        </w:rPr>
        <w:t xml:space="preserve"> </w:t>
      </w:r>
    </w:p>
    <w:p w14:paraId="741E2CCA" w14:textId="5975B656" w:rsidR="00DE4DFB" w:rsidRDefault="002159E4" w:rsidP="00937ED9">
      <w:pPr>
        <w:spacing w:after="120"/>
        <w:ind w:right="57"/>
        <w:jc w:val="both"/>
        <w:rPr>
          <w:rFonts w:ascii="Calibri" w:hAnsi="Calibri" w:cs="Calibri"/>
          <w:sz w:val="22"/>
          <w:szCs w:val="22"/>
        </w:rPr>
      </w:pPr>
      <w:r w:rsidRPr="002E2B5B">
        <w:rPr>
          <w:rFonts w:ascii="Calibri" w:hAnsi="Calibri" w:cs="Calibri"/>
          <w:sz w:val="22"/>
          <w:szCs w:val="22"/>
        </w:rPr>
        <w:t>P</w:t>
      </w:r>
      <w:r w:rsidR="00B57AAF" w:rsidRPr="002E2B5B">
        <w:rPr>
          <w:rFonts w:ascii="Calibri" w:hAnsi="Calibri" w:cs="Calibri"/>
          <w:sz w:val="22"/>
          <w:szCs w:val="22"/>
        </w:rPr>
        <w:t>or meio da Dotação Orçamentária d</w:t>
      </w:r>
      <w:r w:rsidR="00352C7D">
        <w:rPr>
          <w:rFonts w:ascii="Calibri" w:hAnsi="Calibri" w:cs="Calibri"/>
          <w:sz w:val="22"/>
          <w:szCs w:val="22"/>
        </w:rPr>
        <w:t xml:space="preserve">e </w:t>
      </w:r>
      <w:r w:rsidR="00B57AAF" w:rsidRPr="002E2B5B">
        <w:rPr>
          <w:rFonts w:ascii="Calibri" w:hAnsi="Calibri" w:cs="Calibri"/>
          <w:sz w:val="22"/>
          <w:szCs w:val="22"/>
        </w:rPr>
        <w:t>20</w:t>
      </w:r>
      <w:r w:rsidR="003022B9" w:rsidRPr="002E2B5B">
        <w:rPr>
          <w:rFonts w:ascii="Calibri" w:hAnsi="Calibri" w:cs="Calibri"/>
          <w:sz w:val="22"/>
          <w:szCs w:val="22"/>
        </w:rPr>
        <w:t>2</w:t>
      </w:r>
      <w:r w:rsidR="00F0632B">
        <w:rPr>
          <w:rFonts w:ascii="Calibri" w:hAnsi="Calibri" w:cs="Calibri"/>
          <w:sz w:val="22"/>
          <w:szCs w:val="22"/>
        </w:rPr>
        <w:t>2</w:t>
      </w:r>
      <w:r w:rsidR="00B57AAF" w:rsidRPr="002E2B5B">
        <w:rPr>
          <w:rFonts w:ascii="Calibri" w:hAnsi="Calibri" w:cs="Calibri"/>
          <w:sz w:val="22"/>
          <w:szCs w:val="22"/>
        </w:rPr>
        <w:t xml:space="preserve">, </w:t>
      </w:r>
      <w:r w:rsidR="008B40D3" w:rsidRPr="002E2B5B">
        <w:rPr>
          <w:rFonts w:ascii="Calibri" w:hAnsi="Calibri" w:cs="Calibri"/>
          <w:sz w:val="22"/>
          <w:szCs w:val="22"/>
        </w:rPr>
        <w:t>com base no Sistema Integrado de Planejamento e Orçamento</w:t>
      </w:r>
      <w:r w:rsidR="008F6432" w:rsidRPr="002E2B5B">
        <w:rPr>
          <w:rFonts w:ascii="Calibri" w:hAnsi="Calibri" w:cs="Calibri"/>
          <w:sz w:val="22"/>
          <w:szCs w:val="22"/>
        </w:rPr>
        <w:t xml:space="preserve"> (</w:t>
      </w:r>
      <w:r w:rsidR="00BF55E8" w:rsidRPr="002E2B5B">
        <w:rPr>
          <w:rFonts w:ascii="Calibri" w:hAnsi="Calibri" w:cs="Calibri"/>
          <w:sz w:val="22"/>
          <w:szCs w:val="22"/>
        </w:rPr>
        <w:t>SIOP</w:t>
      </w:r>
      <w:r w:rsidR="008F6432" w:rsidRPr="002E2B5B">
        <w:rPr>
          <w:rFonts w:ascii="Calibri" w:hAnsi="Calibri" w:cs="Calibri"/>
          <w:sz w:val="22"/>
          <w:szCs w:val="22"/>
        </w:rPr>
        <w:t>)</w:t>
      </w:r>
      <w:r w:rsidR="008B40D3" w:rsidRPr="002E2B5B">
        <w:rPr>
          <w:rFonts w:ascii="Calibri" w:hAnsi="Calibri" w:cs="Calibri"/>
          <w:sz w:val="22"/>
          <w:szCs w:val="22"/>
        </w:rPr>
        <w:t xml:space="preserve">, </w:t>
      </w:r>
      <w:r w:rsidR="00B57AAF" w:rsidRPr="002E2B5B">
        <w:rPr>
          <w:rFonts w:ascii="Calibri" w:hAnsi="Calibri" w:cs="Calibri"/>
          <w:sz w:val="22"/>
          <w:szCs w:val="22"/>
        </w:rPr>
        <w:t>foram aplicados os seguintes recursos</w:t>
      </w:r>
      <w:r w:rsidR="00352C7D">
        <w:rPr>
          <w:rFonts w:ascii="Calibri" w:hAnsi="Calibri" w:cs="Calibri"/>
          <w:sz w:val="22"/>
          <w:szCs w:val="22"/>
        </w:rPr>
        <w:t xml:space="preserve"> </w:t>
      </w:r>
      <w:r w:rsidR="00D37153">
        <w:rPr>
          <w:rFonts w:ascii="Calibri" w:hAnsi="Calibri" w:cs="Calibri"/>
          <w:sz w:val="22"/>
          <w:szCs w:val="22"/>
        </w:rPr>
        <w:t xml:space="preserve">até </w:t>
      </w:r>
      <w:r w:rsidR="00ED62F6">
        <w:rPr>
          <w:rFonts w:ascii="Calibri" w:hAnsi="Calibri" w:cs="Calibri"/>
          <w:sz w:val="22"/>
          <w:szCs w:val="22"/>
        </w:rPr>
        <w:t xml:space="preserve">o </w:t>
      </w:r>
      <w:r w:rsidR="0046789C">
        <w:rPr>
          <w:rFonts w:ascii="Calibri" w:hAnsi="Calibri" w:cs="Calibri"/>
          <w:sz w:val="22"/>
          <w:szCs w:val="22"/>
        </w:rPr>
        <w:t>3</w:t>
      </w:r>
      <w:r w:rsidR="00F0632B">
        <w:rPr>
          <w:rFonts w:ascii="Calibri" w:hAnsi="Calibri" w:cs="Calibri"/>
          <w:sz w:val="22"/>
          <w:szCs w:val="22"/>
        </w:rPr>
        <w:t>º trimestre de 2022</w:t>
      </w:r>
      <w:r w:rsidR="00860ECA" w:rsidRPr="002E2B5B">
        <w:rPr>
          <w:rFonts w:ascii="Calibri" w:hAnsi="Calibri" w:cs="Calibri"/>
          <w:sz w:val="22"/>
          <w:szCs w:val="22"/>
        </w:rPr>
        <w:t xml:space="preserve">: </w:t>
      </w:r>
    </w:p>
    <w:tbl>
      <w:tblPr>
        <w:tblW w:w="5000" w:type="pct"/>
        <w:tblCellMar>
          <w:left w:w="70" w:type="dxa"/>
          <w:right w:w="70" w:type="dxa"/>
        </w:tblCellMar>
        <w:tblLook w:val="04A0" w:firstRow="1" w:lastRow="0" w:firstColumn="1" w:lastColumn="0" w:noHBand="0" w:noVBand="1"/>
      </w:tblPr>
      <w:tblGrid>
        <w:gridCol w:w="2242"/>
        <w:gridCol w:w="2213"/>
        <w:gridCol w:w="1871"/>
        <w:gridCol w:w="1811"/>
        <w:gridCol w:w="2330"/>
      </w:tblGrid>
      <w:tr w:rsidR="00473D2F" w14:paraId="4B6253C4" w14:textId="77777777" w:rsidTr="000B3A75">
        <w:trPr>
          <w:trHeight w:hRule="exact" w:val="227"/>
        </w:trPr>
        <w:tc>
          <w:tcPr>
            <w:tcW w:w="1071" w:type="pct"/>
            <w:tcBorders>
              <w:top w:val="nil"/>
              <w:left w:val="nil"/>
              <w:bottom w:val="single" w:sz="8" w:space="0" w:color="auto"/>
              <w:right w:val="nil"/>
            </w:tcBorders>
            <w:shd w:val="clear" w:color="auto" w:fill="auto"/>
            <w:noWrap/>
            <w:vAlign w:val="center"/>
            <w:hideMark/>
          </w:tcPr>
          <w:p w14:paraId="08935A6C" w14:textId="77777777" w:rsidR="00473D2F" w:rsidRDefault="00473D2F" w:rsidP="00937ED9">
            <w:pPr>
              <w:spacing w:after="120"/>
              <w:rPr>
                <w:rFonts w:ascii="Calibri" w:hAnsi="Calibri" w:cs="Calibri"/>
                <w:b/>
                <w:bCs/>
                <w:color w:val="000000"/>
                <w:sz w:val="16"/>
                <w:szCs w:val="16"/>
              </w:rPr>
            </w:pPr>
            <w:r>
              <w:rPr>
                <w:rFonts w:ascii="Calibri" w:hAnsi="Calibri" w:cs="Calibri"/>
                <w:b/>
                <w:bCs/>
                <w:color w:val="000000"/>
                <w:sz w:val="16"/>
                <w:szCs w:val="16"/>
              </w:rPr>
              <w:t>LOA</w:t>
            </w:r>
          </w:p>
        </w:tc>
        <w:tc>
          <w:tcPr>
            <w:tcW w:w="1057" w:type="pct"/>
            <w:tcBorders>
              <w:top w:val="nil"/>
              <w:left w:val="nil"/>
              <w:bottom w:val="single" w:sz="8" w:space="0" w:color="auto"/>
              <w:right w:val="nil"/>
            </w:tcBorders>
            <w:shd w:val="clear" w:color="auto" w:fill="auto"/>
            <w:noWrap/>
            <w:vAlign w:val="center"/>
            <w:hideMark/>
          </w:tcPr>
          <w:p w14:paraId="18009FCD" w14:textId="4CD0F5B2"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DOTAÇÃO 202</w:t>
            </w:r>
            <w:r w:rsidR="00F0632B">
              <w:rPr>
                <w:rFonts w:ascii="Calibri" w:hAnsi="Calibri" w:cs="Calibri"/>
                <w:b/>
                <w:bCs/>
                <w:color w:val="000000"/>
                <w:sz w:val="16"/>
                <w:szCs w:val="16"/>
              </w:rPr>
              <w:t>2</w:t>
            </w:r>
          </w:p>
        </w:tc>
        <w:tc>
          <w:tcPr>
            <w:tcW w:w="894" w:type="pct"/>
            <w:tcBorders>
              <w:top w:val="nil"/>
              <w:left w:val="nil"/>
              <w:bottom w:val="single" w:sz="8" w:space="0" w:color="auto"/>
              <w:right w:val="nil"/>
            </w:tcBorders>
            <w:shd w:val="clear" w:color="auto" w:fill="auto"/>
            <w:vAlign w:val="center"/>
            <w:hideMark/>
          </w:tcPr>
          <w:p w14:paraId="6AFF48A6" w14:textId="77777777"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EMPENHADO</w:t>
            </w:r>
          </w:p>
        </w:tc>
        <w:tc>
          <w:tcPr>
            <w:tcW w:w="865" w:type="pct"/>
            <w:tcBorders>
              <w:top w:val="nil"/>
              <w:left w:val="nil"/>
              <w:bottom w:val="single" w:sz="8" w:space="0" w:color="auto"/>
              <w:right w:val="nil"/>
            </w:tcBorders>
            <w:shd w:val="clear" w:color="auto" w:fill="auto"/>
            <w:noWrap/>
            <w:vAlign w:val="center"/>
            <w:hideMark/>
          </w:tcPr>
          <w:p w14:paraId="5E92E597" w14:textId="77777777"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LIQUIDADO</w:t>
            </w:r>
          </w:p>
        </w:tc>
        <w:tc>
          <w:tcPr>
            <w:tcW w:w="1114" w:type="pct"/>
            <w:tcBorders>
              <w:top w:val="nil"/>
              <w:left w:val="nil"/>
              <w:bottom w:val="single" w:sz="8" w:space="0" w:color="auto"/>
              <w:right w:val="nil"/>
            </w:tcBorders>
            <w:shd w:val="clear" w:color="auto" w:fill="auto"/>
            <w:noWrap/>
            <w:vAlign w:val="center"/>
            <w:hideMark/>
          </w:tcPr>
          <w:p w14:paraId="447EB13D" w14:textId="77777777" w:rsidR="00473D2F" w:rsidRDefault="00473D2F" w:rsidP="00937ED9">
            <w:pPr>
              <w:spacing w:after="120"/>
              <w:jc w:val="right"/>
              <w:rPr>
                <w:rFonts w:ascii="Calibri" w:hAnsi="Calibri" w:cs="Calibri"/>
                <w:b/>
                <w:bCs/>
                <w:color w:val="000000"/>
                <w:sz w:val="16"/>
                <w:szCs w:val="16"/>
              </w:rPr>
            </w:pPr>
            <w:r>
              <w:rPr>
                <w:rFonts w:ascii="Calibri" w:hAnsi="Calibri" w:cs="Calibri"/>
                <w:b/>
                <w:bCs/>
                <w:color w:val="000000"/>
                <w:sz w:val="16"/>
                <w:szCs w:val="16"/>
              </w:rPr>
              <w:t>PAGO</w:t>
            </w:r>
          </w:p>
        </w:tc>
      </w:tr>
      <w:tr w:rsidR="00473D2F" w14:paraId="0B217715" w14:textId="77777777" w:rsidTr="000B3A75">
        <w:trPr>
          <w:trHeight w:hRule="exact" w:val="227"/>
        </w:trPr>
        <w:tc>
          <w:tcPr>
            <w:tcW w:w="1071" w:type="pct"/>
            <w:tcBorders>
              <w:top w:val="nil"/>
              <w:left w:val="nil"/>
              <w:bottom w:val="nil"/>
              <w:right w:val="nil"/>
            </w:tcBorders>
            <w:shd w:val="clear" w:color="auto" w:fill="auto"/>
            <w:noWrap/>
            <w:vAlign w:val="center"/>
            <w:hideMark/>
          </w:tcPr>
          <w:p w14:paraId="1634618B" w14:textId="77777777" w:rsidR="00473D2F" w:rsidRDefault="00473D2F" w:rsidP="00937ED9">
            <w:pPr>
              <w:spacing w:after="120"/>
              <w:rPr>
                <w:rFonts w:ascii="Calibri" w:hAnsi="Calibri" w:cs="Calibri"/>
                <w:color w:val="000000"/>
                <w:sz w:val="16"/>
                <w:szCs w:val="16"/>
              </w:rPr>
            </w:pPr>
            <w:r>
              <w:rPr>
                <w:rFonts w:ascii="Calibri" w:hAnsi="Calibri" w:cs="Calibri"/>
                <w:color w:val="000000"/>
                <w:sz w:val="16"/>
                <w:szCs w:val="16"/>
              </w:rPr>
              <w:t>Custeio</w:t>
            </w:r>
          </w:p>
        </w:tc>
        <w:tc>
          <w:tcPr>
            <w:tcW w:w="1057" w:type="pct"/>
            <w:tcBorders>
              <w:top w:val="nil"/>
              <w:left w:val="nil"/>
              <w:bottom w:val="nil"/>
              <w:right w:val="nil"/>
            </w:tcBorders>
            <w:shd w:val="clear" w:color="auto" w:fill="auto"/>
            <w:noWrap/>
            <w:vAlign w:val="center"/>
            <w:hideMark/>
          </w:tcPr>
          <w:p w14:paraId="728ED514" w14:textId="043DA367" w:rsidR="00473D2F" w:rsidRDefault="00D37153" w:rsidP="00937ED9">
            <w:pPr>
              <w:spacing w:after="120"/>
              <w:jc w:val="right"/>
              <w:rPr>
                <w:rFonts w:ascii="Calibri" w:hAnsi="Calibri" w:cs="Calibri"/>
                <w:color w:val="000000"/>
                <w:sz w:val="16"/>
                <w:szCs w:val="16"/>
              </w:rPr>
            </w:pPr>
            <w:r>
              <w:rPr>
                <w:rFonts w:ascii="Calibri" w:hAnsi="Calibri" w:cs="Calibri"/>
                <w:color w:val="000000"/>
                <w:sz w:val="16"/>
                <w:szCs w:val="16"/>
              </w:rPr>
              <w:t>46.613.548</w:t>
            </w:r>
          </w:p>
        </w:tc>
        <w:tc>
          <w:tcPr>
            <w:tcW w:w="894" w:type="pct"/>
            <w:tcBorders>
              <w:top w:val="nil"/>
              <w:left w:val="nil"/>
              <w:bottom w:val="nil"/>
              <w:right w:val="nil"/>
            </w:tcBorders>
            <w:shd w:val="clear" w:color="auto" w:fill="auto"/>
            <w:noWrap/>
            <w:vAlign w:val="center"/>
            <w:hideMark/>
          </w:tcPr>
          <w:p w14:paraId="6C915A52" w14:textId="6F607855" w:rsidR="00473D2F" w:rsidRDefault="00F47574" w:rsidP="00937ED9">
            <w:pPr>
              <w:spacing w:after="120"/>
              <w:jc w:val="right"/>
              <w:rPr>
                <w:rFonts w:ascii="Calibri" w:hAnsi="Calibri" w:cs="Calibri"/>
                <w:color w:val="000000"/>
                <w:sz w:val="16"/>
                <w:szCs w:val="16"/>
              </w:rPr>
            </w:pPr>
            <w:r>
              <w:rPr>
                <w:rFonts w:ascii="Calibri" w:hAnsi="Calibri" w:cs="Calibri"/>
                <w:color w:val="000000"/>
                <w:sz w:val="16"/>
                <w:szCs w:val="16"/>
              </w:rPr>
              <w:t>35.017.279</w:t>
            </w:r>
          </w:p>
        </w:tc>
        <w:tc>
          <w:tcPr>
            <w:tcW w:w="865" w:type="pct"/>
            <w:tcBorders>
              <w:top w:val="nil"/>
              <w:left w:val="nil"/>
              <w:bottom w:val="nil"/>
              <w:right w:val="nil"/>
            </w:tcBorders>
            <w:shd w:val="clear" w:color="auto" w:fill="auto"/>
            <w:noWrap/>
            <w:vAlign w:val="center"/>
            <w:hideMark/>
          </w:tcPr>
          <w:p w14:paraId="1F42F7F3" w14:textId="19A26034" w:rsidR="00473D2F" w:rsidRDefault="00F47574" w:rsidP="00937ED9">
            <w:pPr>
              <w:spacing w:after="120"/>
              <w:jc w:val="right"/>
              <w:rPr>
                <w:rFonts w:ascii="Calibri" w:hAnsi="Calibri" w:cs="Calibri"/>
                <w:color w:val="000000"/>
                <w:sz w:val="16"/>
                <w:szCs w:val="16"/>
              </w:rPr>
            </w:pPr>
            <w:r>
              <w:rPr>
                <w:rFonts w:ascii="Calibri" w:hAnsi="Calibri" w:cs="Calibri"/>
                <w:color w:val="000000"/>
                <w:sz w:val="16"/>
                <w:szCs w:val="16"/>
              </w:rPr>
              <w:t>16.732.249</w:t>
            </w:r>
          </w:p>
        </w:tc>
        <w:tc>
          <w:tcPr>
            <w:tcW w:w="1114" w:type="pct"/>
            <w:tcBorders>
              <w:top w:val="nil"/>
              <w:left w:val="nil"/>
              <w:bottom w:val="nil"/>
              <w:right w:val="nil"/>
            </w:tcBorders>
            <w:shd w:val="clear" w:color="auto" w:fill="auto"/>
            <w:noWrap/>
            <w:vAlign w:val="center"/>
            <w:hideMark/>
          </w:tcPr>
          <w:p w14:paraId="672ED800" w14:textId="5658DD37" w:rsidR="00473D2F" w:rsidRDefault="00F47574" w:rsidP="00937ED9">
            <w:pPr>
              <w:spacing w:after="120"/>
              <w:jc w:val="right"/>
              <w:rPr>
                <w:rFonts w:ascii="Calibri" w:hAnsi="Calibri" w:cs="Calibri"/>
                <w:color w:val="000000"/>
                <w:sz w:val="16"/>
                <w:szCs w:val="16"/>
              </w:rPr>
            </w:pPr>
            <w:r>
              <w:rPr>
                <w:rFonts w:ascii="Calibri" w:hAnsi="Calibri" w:cs="Calibri"/>
                <w:color w:val="000000"/>
                <w:sz w:val="16"/>
                <w:szCs w:val="16"/>
              </w:rPr>
              <w:t>16.636.87</w:t>
            </w:r>
            <w:r w:rsidR="00B72DC4">
              <w:rPr>
                <w:rFonts w:ascii="Calibri" w:hAnsi="Calibri" w:cs="Calibri"/>
                <w:color w:val="000000"/>
                <w:sz w:val="16"/>
                <w:szCs w:val="16"/>
              </w:rPr>
              <w:t>8</w:t>
            </w:r>
          </w:p>
        </w:tc>
      </w:tr>
      <w:tr w:rsidR="00473D2F" w14:paraId="208EC302" w14:textId="77777777" w:rsidTr="000B3A75">
        <w:trPr>
          <w:trHeight w:hRule="exact" w:val="227"/>
        </w:trPr>
        <w:tc>
          <w:tcPr>
            <w:tcW w:w="1071" w:type="pct"/>
            <w:tcBorders>
              <w:top w:val="nil"/>
              <w:left w:val="nil"/>
              <w:bottom w:val="nil"/>
              <w:right w:val="nil"/>
            </w:tcBorders>
            <w:shd w:val="clear" w:color="auto" w:fill="auto"/>
            <w:noWrap/>
            <w:vAlign w:val="center"/>
            <w:hideMark/>
          </w:tcPr>
          <w:p w14:paraId="1DE21681" w14:textId="77777777" w:rsidR="00473D2F" w:rsidRDefault="00473D2F" w:rsidP="00937ED9">
            <w:pPr>
              <w:spacing w:after="120"/>
              <w:rPr>
                <w:rFonts w:ascii="Calibri" w:hAnsi="Calibri" w:cs="Calibri"/>
                <w:color w:val="000000"/>
                <w:sz w:val="16"/>
                <w:szCs w:val="16"/>
              </w:rPr>
            </w:pPr>
            <w:r>
              <w:rPr>
                <w:rFonts w:ascii="Calibri" w:hAnsi="Calibri" w:cs="Calibri"/>
                <w:color w:val="000000"/>
                <w:sz w:val="16"/>
                <w:szCs w:val="16"/>
              </w:rPr>
              <w:t>Pessoal e encargos</w:t>
            </w:r>
          </w:p>
        </w:tc>
        <w:tc>
          <w:tcPr>
            <w:tcW w:w="1057" w:type="pct"/>
            <w:tcBorders>
              <w:top w:val="nil"/>
              <w:left w:val="nil"/>
              <w:bottom w:val="nil"/>
              <w:right w:val="nil"/>
            </w:tcBorders>
            <w:shd w:val="clear" w:color="auto" w:fill="auto"/>
            <w:noWrap/>
            <w:vAlign w:val="center"/>
            <w:hideMark/>
          </w:tcPr>
          <w:p w14:paraId="05861D59" w14:textId="4267C769"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11</w:t>
            </w:r>
            <w:r w:rsidR="00D37153">
              <w:rPr>
                <w:rFonts w:ascii="Calibri" w:hAnsi="Calibri" w:cs="Calibri"/>
                <w:color w:val="000000"/>
                <w:sz w:val="16"/>
                <w:szCs w:val="16"/>
              </w:rPr>
              <w:t>7.180.060</w:t>
            </w:r>
          </w:p>
        </w:tc>
        <w:tc>
          <w:tcPr>
            <w:tcW w:w="894" w:type="pct"/>
            <w:tcBorders>
              <w:top w:val="nil"/>
              <w:left w:val="nil"/>
              <w:bottom w:val="nil"/>
              <w:right w:val="nil"/>
            </w:tcBorders>
            <w:shd w:val="clear" w:color="auto" w:fill="auto"/>
            <w:noWrap/>
            <w:vAlign w:val="center"/>
            <w:hideMark/>
          </w:tcPr>
          <w:p w14:paraId="05208194" w14:textId="18F266DF" w:rsidR="00473D2F" w:rsidRDefault="00F47574" w:rsidP="00937ED9">
            <w:pPr>
              <w:spacing w:after="120"/>
              <w:jc w:val="right"/>
              <w:rPr>
                <w:rFonts w:ascii="Calibri" w:hAnsi="Calibri" w:cs="Calibri"/>
                <w:color w:val="000000"/>
                <w:sz w:val="16"/>
                <w:szCs w:val="16"/>
              </w:rPr>
            </w:pPr>
            <w:r>
              <w:rPr>
                <w:rFonts w:ascii="Calibri" w:hAnsi="Calibri" w:cs="Calibri"/>
                <w:color w:val="000000"/>
                <w:sz w:val="16"/>
                <w:szCs w:val="16"/>
              </w:rPr>
              <w:t>112.680.060</w:t>
            </w:r>
          </w:p>
        </w:tc>
        <w:tc>
          <w:tcPr>
            <w:tcW w:w="865" w:type="pct"/>
            <w:tcBorders>
              <w:top w:val="nil"/>
              <w:left w:val="nil"/>
              <w:bottom w:val="nil"/>
              <w:right w:val="nil"/>
            </w:tcBorders>
            <w:shd w:val="clear" w:color="auto" w:fill="auto"/>
            <w:noWrap/>
            <w:vAlign w:val="center"/>
            <w:hideMark/>
          </w:tcPr>
          <w:p w14:paraId="4B17BE9E" w14:textId="06167051" w:rsidR="00473D2F" w:rsidRDefault="00F47574" w:rsidP="00937ED9">
            <w:pPr>
              <w:spacing w:after="120"/>
              <w:jc w:val="right"/>
              <w:rPr>
                <w:rFonts w:ascii="Calibri" w:hAnsi="Calibri" w:cs="Calibri"/>
                <w:color w:val="000000"/>
                <w:sz w:val="16"/>
                <w:szCs w:val="16"/>
              </w:rPr>
            </w:pPr>
            <w:r>
              <w:rPr>
                <w:rFonts w:ascii="Calibri" w:hAnsi="Calibri" w:cs="Calibri"/>
                <w:color w:val="000000"/>
                <w:sz w:val="16"/>
                <w:szCs w:val="16"/>
              </w:rPr>
              <w:t>86.392.262</w:t>
            </w:r>
          </w:p>
        </w:tc>
        <w:tc>
          <w:tcPr>
            <w:tcW w:w="1114" w:type="pct"/>
            <w:tcBorders>
              <w:top w:val="nil"/>
              <w:left w:val="nil"/>
              <w:bottom w:val="nil"/>
              <w:right w:val="nil"/>
            </w:tcBorders>
            <w:shd w:val="clear" w:color="auto" w:fill="auto"/>
            <w:noWrap/>
            <w:vAlign w:val="center"/>
            <w:hideMark/>
          </w:tcPr>
          <w:p w14:paraId="68F8818C" w14:textId="3ADB4A02" w:rsidR="00473D2F" w:rsidRDefault="00F47574" w:rsidP="00937ED9">
            <w:pPr>
              <w:spacing w:after="120"/>
              <w:jc w:val="right"/>
              <w:rPr>
                <w:rFonts w:ascii="Calibri" w:hAnsi="Calibri" w:cs="Calibri"/>
                <w:color w:val="000000"/>
                <w:sz w:val="16"/>
                <w:szCs w:val="16"/>
              </w:rPr>
            </w:pPr>
            <w:r>
              <w:rPr>
                <w:rFonts w:ascii="Calibri" w:hAnsi="Calibri" w:cs="Calibri"/>
                <w:color w:val="000000"/>
                <w:sz w:val="16"/>
                <w:szCs w:val="16"/>
              </w:rPr>
              <w:t>81.216.516</w:t>
            </w:r>
          </w:p>
        </w:tc>
      </w:tr>
      <w:tr w:rsidR="00473D2F" w14:paraId="4FDC367B" w14:textId="77777777" w:rsidTr="000B3A75">
        <w:trPr>
          <w:trHeight w:hRule="exact" w:val="227"/>
        </w:trPr>
        <w:tc>
          <w:tcPr>
            <w:tcW w:w="1071" w:type="pct"/>
            <w:tcBorders>
              <w:top w:val="nil"/>
              <w:left w:val="nil"/>
              <w:bottom w:val="single" w:sz="8" w:space="0" w:color="auto"/>
              <w:right w:val="nil"/>
            </w:tcBorders>
            <w:shd w:val="clear" w:color="auto" w:fill="auto"/>
            <w:noWrap/>
            <w:vAlign w:val="center"/>
            <w:hideMark/>
          </w:tcPr>
          <w:p w14:paraId="1FDBF3D4" w14:textId="77777777" w:rsidR="00473D2F" w:rsidRDefault="00473D2F" w:rsidP="00937ED9">
            <w:pPr>
              <w:spacing w:after="120"/>
              <w:rPr>
                <w:rFonts w:ascii="Calibri" w:hAnsi="Calibri" w:cs="Calibri"/>
                <w:color w:val="000000"/>
                <w:sz w:val="16"/>
                <w:szCs w:val="16"/>
              </w:rPr>
            </w:pPr>
            <w:r>
              <w:rPr>
                <w:rFonts w:ascii="Calibri" w:hAnsi="Calibri" w:cs="Calibri"/>
                <w:color w:val="000000"/>
                <w:sz w:val="16"/>
                <w:szCs w:val="16"/>
              </w:rPr>
              <w:t>Investimento</w:t>
            </w:r>
          </w:p>
        </w:tc>
        <w:tc>
          <w:tcPr>
            <w:tcW w:w="1057" w:type="pct"/>
            <w:tcBorders>
              <w:top w:val="nil"/>
              <w:left w:val="nil"/>
              <w:bottom w:val="single" w:sz="8" w:space="0" w:color="auto"/>
              <w:right w:val="nil"/>
            </w:tcBorders>
            <w:shd w:val="clear" w:color="auto" w:fill="auto"/>
            <w:noWrap/>
            <w:vAlign w:val="center"/>
            <w:hideMark/>
          </w:tcPr>
          <w:p w14:paraId="5425C629" w14:textId="4E059E5F" w:rsidR="00473D2F"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w:t>
            </w:r>
            <w:r w:rsidR="00D37153">
              <w:rPr>
                <w:rFonts w:ascii="Calibri" w:hAnsi="Calibri" w:cs="Calibri"/>
                <w:color w:val="000000"/>
                <w:sz w:val="16"/>
                <w:szCs w:val="16"/>
              </w:rPr>
              <w:t>12.500.397</w:t>
            </w:r>
          </w:p>
        </w:tc>
        <w:tc>
          <w:tcPr>
            <w:tcW w:w="894" w:type="pct"/>
            <w:tcBorders>
              <w:top w:val="nil"/>
              <w:left w:val="nil"/>
              <w:bottom w:val="single" w:sz="8" w:space="0" w:color="auto"/>
              <w:right w:val="nil"/>
            </w:tcBorders>
            <w:shd w:val="clear" w:color="auto" w:fill="auto"/>
            <w:noWrap/>
            <w:vAlign w:val="center"/>
            <w:hideMark/>
          </w:tcPr>
          <w:p w14:paraId="482FEAEF" w14:textId="0BF88567" w:rsidR="00473D2F" w:rsidRDefault="00F47574" w:rsidP="00937ED9">
            <w:pPr>
              <w:spacing w:after="120"/>
              <w:jc w:val="right"/>
              <w:rPr>
                <w:rFonts w:ascii="Calibri" w:hAnsi="Calibri" w:cs="Calibri"/>
                <w:color w:val="000000"/>
                <w:sz w:val="16"/>
                <w:szCs w:val="16"/>
              </w:rPr>
            </w:pPr>
            <w:r>
              <w:rPr>
                <w:rFonts w:ascii="Calibri" w:hAnsi="Calibri" w:cs="Calibri"/>
                <w:color w:val="000000"/>
                <w:sz w:val="16"/>
                <w:szCs w:val="16"/>
              </w:rPr>
              <w:t>225.343.111</w:t>
            </w:r>
          </w:p>
        </w:tc>
        <w:tc>
          <w:tcPr>
            <w:tcW w:w="865" w:type="pct"/>
            <w:tcBorders>
              <w:top w:val="nil"/>
              <w:left w:val="nil"/>
              <w:bottom w:val="single" w:sz="8" w:space="0" w:color="auto"/>
              <w:right w:val="nil"/>
            </w:tcBorders>
            <w:shd w:val="clear" w:color="auto" w:fill="auto"/>
            <w:noWrap/>
            <w:vAlign w:val="center"/>
            <w:hideMark/>
          </w:tcPr>
          <w:p w14:paraId="7154BD12" w14:textId="0B2B9C59" w:rsidR="00473D2F" w:rsidRDefault="00F47574" w:rsidP="00937ED9">
            <w:pPr>
              <w:spacing w:after="120"/>
              <w:jc w:val="right"/>
              <w:rPr>
                <w:rFonts w:ascii="Calibri" w:hAnsi="Calibri" w:cs="Calibri"/>
                <w:color w:val="000000"/>
                <w:sz w:val="16"/>
                <w:szCs w:val="16"/>
              </w:rPr>
            </w:pPr>
            <w:r>
              <w:rPr>
                <w:rFonts w:ascii="Calibri" w:hAnsi="Calibri" w:cs="Calibri"/>
                <w:color w:val="000000"/>
                <w:sz w:val="16"/>
                <w:szCs w:val="16"/>
              </w:rPr>
              <w:t>49.267.383</w:t>
            </w:r>
          </w:p>
        </w:tc>
        <w:tc>
          <w:tcPr>
            <w:tcW w:w="1114" w:type="pct"/>
            <w:tcBorders>
              <w:top w:val="nil"/>
              <w:left w:val="nil"/>
              <w:bottom w:val="single" w:sz="8" w:space="0" w:color="auto"/>
              <w:right w:val="nil"/>
            </w:tcBorders>
            <w:shd w:val="clear" w:color="auto" w:fill="auto"/>
            <w:noWrap/>
            <w:vAlign w:val="center"/>
            <w:hideMark/>
          </w:tcPr>
          <w:p w14:paraId="5AE64B1B" w14:textId="7CA92AEF" w:rsidR="00473D2F" w:rsidRDefault="00B72DC4" w:rsidP="00937ED9">
            <w:pPr>
              <w:spacing w:after="120"/>
              <w:jc w:val="right"/>
              <w:rPr>
                <w:rFonts w:ascii="Calibri" w:hAnsi="Calibri" w:cs="Calibri"/>
                <w:color w:val="000000"/>
                <w:sz w:val="16"/>
                <w:szCs w:val="16"/>
              </w:rPr>
            </w:pPr>
            <w:r>
              <w:rPr>
                <w:rFonts w:ascii="Calibri" w:hAnsi="Calibri" w:cs="Calibri"/>
                <w:color w:val="000000"/>
                <w:sz w:val="16"/>
                <w:szCs w:val="16"/>
              </w:rPr>
              <w:t>49.156.254</w:t>
            </w:r>
          </w:p>
        </w:tc>
      </w:tr>
      <w:tr w:rsidR="00473D2F" w14:paraId="15A50117" w14:textId="77777777" w:rsidTr="000B3A75">
        <w:trPr>
          <w:trHeight w:hRule="exact" w:val="227"/>
        </w:trPr>
        <w:tc>
          <w:tcPr>
            <w:tcW w:w="1071" w:type="pct"/>
            <w:tcBorders>
              <w:top w:val="nil"/>
              <w:left w:val="nil"/>
              <w:bottom w:val="single" w:sz="8" w:space="0" w:color="auto"/>
              <w:right w:val="nil"/>
            </w:tcBorders>
            <w:shd w:val="clear" w:color="auto" w:fill="auto"/>
            <w:noWrap/>
            <w:vAlign w:val="center"/>
            <w:hideMark/>
          </w:tcPr>
          <w:p w14:paraId="4E22E732" w14:textId="77777777" w:rsidR="00473D2F" w:rsidRDefault="00473D2F" w:rsidP="00937ED9">
            <w:pPr>
              <w:spacing w:after="120"/>
              <w:rPr>
                <w:rFonts w:ascii="Calibri" w:hAnsi="Calibri" w:cs="Calibri"/>
                <w:b/>
                <w:bCs/>
                <w:color w:val="000000"/>
                <w:sz w:val="16"/>
                <w:szCs w:val="16"/>
              </w:rPr>
            </w:pPr>
            <w:r>
              <w:rPr>
                <w:rFonts w:ascii="Calibri" w:hAnsi="Calibri" w:cs="Calibri"/>
                <w:b/>
                <w:bCs/>
                <w:color w:val="000000"/>
                <w:sz w:val="16"/>
                <w:szCs w:val="16"/>
              </w:rPr>
              <w:t>TOTAL GERAL</w:t>
            </w:r>
          </w:p>
        </w:tc>
        <w:tc>
          <w:tcPr>
            <w:tcW w:w="1057" w:type="pct"/>
            <w:tcBorders>
              <w:top w:val="nil"/>
              <w:left w:val="nil"/>
              <w:bottom w:val="single" w:sz="8" w:space="0" w:color="auto"/>
              <w:right w:val="nil"/>
            </w:tcBorders>
            <w:shd w:val="clear" w:color="auto" w:fill="auto"/>
            <w:noWrap/>
            <w:vAlign w:val="center"/>
            <w:hideMark/>
          </w:tcPr>
          <w:p w14:paraId="2C0C5330" w14:textId="11C4A0D8" w:rsidR="00473D2F" w:rsidRDefault="00D37153" w:rsidP="00937ED9">
            <w:pPr>
              <w:spacing w:after="120"/>
              <w:jc w:val="right"/>
              <w:rPr>
                <w:rFonts w:ascii="Calibri" w:hAnsi="Calibri" w:cs="Calibri"/>
                <w:b/>
                <w:bCs/>
                <w:color w:val="000000"/>
                <w:sz w:val="16"/>
                <w:szCs w:val="16"/>
              </w:rPr>
            </w:pPr>
            <w:r>
              <w:rPr>
                <w:rFonts w:ascii="Calibri" w:hAnsi="Calibri" w:cs="Calibri"/>
                <w:b/>
                <w:bCs/>
                <w:color w:val="000000"/>
                <w:sz w:val="16"/>
                <w:szCs w:val="16"/>
              </w:rPr>
              <w:t>476.294.005</w:t>
            </w:r>
          </w:p>
        </w:tc>
        <w:tc>
          <w:tcPr>
            <w:tcW w:w="894" w:type="pct"/>
            <w:tcBorders>
              <w:top w:val="nil"/>
              <w:left w:val="nil"/>
              <w:bottom w:val="single" w:sz="8" w:space="0" w:color="auto"/>
              <w:right w:val="nil"/>
            </w:tcBorders>
            <w:shd w:val="clear" w:color="auto" w:fill="auto"/>
            <w:noWrap/>
            <w:vAlign w:val="center"/>
            <w:hideMark/>
          </w:tcPr>
          <w:p w14:paraId="6FE03319" w14:textId="0E2F35BF" w:rsidR="00473D2F" w:rsidRDefault="00F47574" w:rsidP="00937ED9">
            <w:pPr>
              <w:spacing w:after="120"/>
              <w:jc w:val="right"/>
              <w:rPr>
                <w:rFonts w:ascii="Calibri" w:hAnsi="Calibri" w:cs="Calibri"/>
                <w:b/>
                <w:bCs/>
                <w:color w:val="000000"/>
                <w:sz w:val="16"/>
                <w:szCs w:val="16"/>
              </w:rPr>
            </w:pPr>
            <w:r>
              <w:rPr>
                <w:rFonts w:ascii="Calibri" w:hAnsi="Calibri" w:cs="Calibri"/>
                <w:b/>
                <w:bCs/>
                <w:color w:val="000000"/>
                <w:sz w:val="16"/>
                <w:szCs w:val="16"/>
              </w:rPr>
              <w:t>373.040.450</w:t>
            </w:r>
          </w:p>
        </w:tc>
        <w:tc>
          <w:tcPr>
            <w:tcW w:w="865" w:type="pct"/>
            <w:tcBorders>
              <w:top w:val="nil"/>
              <w:left w:val="nil"/>
              <w:bottom w:val="single" w:sz="8" w:space="0" w:color="auto"/>
              <w:right w:val="nil"/>
            </w:tcBorders>
            <w:shd w:val="clear" w:color="auto" w:fill="auto"/>
            <w:noWrap/>
            <w:vAlign w:val="center"/>
            <w:hideMark/>
          </w:tcPr>
          <w:p w14:paraId="07153E0C" w14:textId="6A9ED46E" w:rsidR="00473D2F" w:rsidRDefault="00F47574" w:rsidP="00937ED9">
            <w:pPr>
              <w:spacing w:after="120"/>
              <w:jc w:val="right"/>
              <w:rPr>
                <w:rFonts w:ascii="Calibri" w:hAnsi="Calibri" w:cs="Calibri"/>
                <w:b/>
                <w:bCs/>
                <w:color w:val="000000"/>
                <w:sz w:val="16"/>
                <w:szCs w:val="16"/>
              </w:rPr>
            </w:pPr>
            <w:r>
              <w:rPr>
                <w:rFonts w:ascii="Calibri" w:hAnsi="Calibri" w:cs="Calibri"/>
                <w:b/>
                <w:bCs/>
                <w:color w:val="000000"/>
                <w:sz w:val="16"/>
                <w:szCs w:val="16"/>
              </w:rPr>
              <w:t>152.391.894</w:t>
            </w:r>
          </w:p>
        </w:tc>
        <w:tc>
          <w:tcPr>
            <w:tcW w:w="1114" w:type="pct"/>
            <w:tcBorders>
              <w:top w:val="nil"/>
              <w:left w:val="nil"/>
              <w:bottom w:val="single" w:sz="8" w:space="0" w:color="auto"/>
              <w:right w:val="nil"/>
            </w:tcBorders>
            <w:shd w:val="clear" w:color="auto" w:fill="auto"/>
            <w:noWrap/>
            <w:vAlign w:val="center"/>
            <w:hideMark/>
          </w:tcPr>
          <w:p w14:paraId="54F9FE7E" w14:textId="29A54A35" w:rsidR="00473D2F" w:rsidRDefault="00B72DC4" w:rsidP="00937ED9">
            <w:pPr>
              <w:spacing w:after="120"/>
              <w:jc w:val="right"/>
              <w:rPr>
                <w:rFonts w:ascii="Calibri" w:hAnsi="Calibri" w:cs="Calibri"/>
                <w:b/>
                <w:bCs/>
                <w:color w:val="000000"/>
                <w:sz w:val="16"/>
                <w:szCs w:val="16"/>
              </w:rPr>
            </w:pPr>
            <w:r>
              <w:rPr>
                <w:rFonts w:ascii="Calibri" w:hAnsi="Calibri" w:cs="Calibri"/>
                <w:b/>
                <w:bCs/>
                <w:color w:val="000000"/>
                <w:sz w:val="16"/>
                <w:szCs w:val="16"/>
              </w:rPr>
              <w:t>147.009.648</w:t>
            </w:r>
          </w:p>
        </w:tc>
      </w:tr>
    </w:tbl>
    <w:p w14:paraId="0A9EC8F3" w14:textId="0B19A32B" w:rsidR="00B74DE7" w:rsidRDefault="007224BB" w:rsidP="00937ED9">
      <w:pPr>
        <w:spacing w:before="120" w:after="120"/>
        <w:ind w:right="-142"/>
        <w:jc w:val="both"/>
        <w:rPr>
          <w:rFonts w:ascii="Calibri" w:hAnsi="Calibri" w:cs="Calibri"/>
          <w:sz w:val="22"/>
          <w:szCs w:val="22"/>
        </w:rPr>
      </w:pPr>
      <w:r>
        <w:rPr>
          <w:rFonts w:ascii="Calibri" w:hAnsi="Calibri" w:cs="Calibri"/>
          <w:sz w:val="22"/>
          <w:szCs w:val="22"/>
        </w:rPr>
        <w:t xml:space="preserve">Até </w:t>
      </w:r>
      <w:r w:rsidR="003A29CF">
        <w:rPr>
          <w:rFonts w:ascii="Calibri" w:hAnsi="Calibri" w:cs="Calibri"/>
          <w:sz w:val="22"/>
          <w:szCs w:val="22"/>
        </w:rPr>
        <w:t>o</w:t>
      </w:r>
      <w:r w:rsidR="00ED62F6">
        <w:rPr>
          <w:rFonts w:ascii="Calibri" w:hAnsi="Calibri" w:cs="Calibri"/>
          <w:sz w:val="22"/>
          <w:szCs w:val="22"/>
        </w:rPr>
        <w:t xml:space="preserve"> </w:t>
      </w:r>
      <w:r w:rsidR="0046789C">
        <w:rPr>
          <w:rFonts w:ascii="Calibri" w:hAnsi="Calibri" w:cs="Calibri"/>
          <w:sz w:val="22"/>
          <w:szCs w:val="22"/>
        </w:rPr>
        <w:t>3</w:t>
      </w:r>
      <w:r w:rsidR="00F0632B">
        <w:rPr>
          <w:rFonts w:ascii="Calibri" w:hAnsi="Calibri" w:cs="Calibri"/>
          <w:sz w:val="22"/>
          <w:szCs w:val="22"/>
        </w:rPr>
        <w:t>º trimestre de 2022</w:t>
      </w:r>
      <w:r w:rsidR="00807253" w:rsidRPr="002E2B5B">
        <w:rPr>
          <w:rFonts w:ascii="Calibri" w:hAnsi="Calibri" w:cs="Calibri"/>
          <w:sz w:val="22"/>
          <w:szCs w:val="22"/>
        </w:rPr>
        <w:t xml:space="preserve">, </w:t>
      </w:r>
      <w:r w:rsidR="00B57AAF" w:rsidRPr="002E2B5B">
        <w:rPr>
          <w:rFonts w:ascii="Calibri" w:hAnsi="Calibri" w:cs="Calibri"/>
          <w:sz w:val="22"/>
          <w:szCs w:val="22"/>
        </w:rPr>
        <w:t xml:space="preserve">os recursos aplicados, </w:t>
      </w:r>
      <w:r w:rsidR="001A6BF8" w:rsidRPr="002E2B5B">
        <w:rPr>
          <w:rFonts w:ascii="Calibri" w:hAnsi="Calibri" w:cs="Calibri"/>
          <w:sz w:val="22"/>
          <w:szCs w:val="22"/>
        </w:rPr>
        <w:t xml:space="preserve">segundo o SIOP, </w:t>
      </w:r>
      <w:r w:rsidR="00B57AAF" w:rsidRPr="002E2B5B">
        <w:rPr>
          <w:rFonts w:ascii="Calibri" w:hAnsi="Calibri" w:cs="Calibri"/>
          <w:sz w:val="22"/>
          <w:szCs w:val="22"/>
        </w:rPr>
        <w:t>provindos de Restos a Pagar (RP), foram:</w:t>
      </w:r>
    </w:p>
    <w:tbl>
      <w:tblPr>
        <w:tblW w:w="5000" w:type="pct"/>
        <w:tblCellMar>
          <w:left w:w="70" w:type="dxa"/>
          <w:right w:w="70" w:type="dxa"/>
        </w:tblCellMar>
        <w:tblLook w:val="04A0" w:firstRow="1" w:lastRow="0" w:firstColumn="1" w:lastColumn="0" w:noHBand="0" w:noVBand="1"/>
      </w:tblPr>
      <w:tblGrid>
        <w:gridCol w:w="1785"/>
        <w:gridCol w:w="1761"/>
        <w:gridCol w:w="1761"/>
        <w:gridCol w:w="1442"/>
        <w:gridCol w:w="1859"/>
        <w:gridCol w:w="1859"/>
      </w:tblGrid>
      <w:tr w:rsidR="00B74DE7" w14:paraId="668663E7" w14:textId="77777777" w:rsidTr="003B2E5F">
        <w:trPr>
          <w:trHeight w:val="227"/>
        </w:trPr>
        <w:tc>
          <w:tcPr>
            <w:tcW w:w="853" w:type="pct"/>
            <w:vMerge w:val="restart"/>
            <w:tcBorders>
              <w:top w:val="nil"/>
              <w:left w:val="nil"/>
              <w:bottom w:val="single" w:sz="8" w:space="0" w:color="000000"/>
              <w:right w:val="nil"/>
            </w:tcBorders>
            <w:shd w:val="clear" w:color="auto" w:fill="auto"/>
            <w:noWrap/>
            <w:vAlign w:val="bottom"/>
            <w:hideMark/>
          </w:tcPr>
          <w:p w14:paraId="6706B3EA" w14:textId="77777777" w:rsidR="00B74DE7" w:rsidRDefault="00B74DE7" w:rsidP="00937ED9">
            <w:pPr>
              <w:spacing w:after="120"/>
              <w:rPr>
                <w:rFonts w:ascii="Calibri" w:hAnsi="Calibri" w:cs="Calibri"/>
                <w:b/>
                <w:bCs/>
                <w:color w:val="000000"/>
                <w:sz w:val="16"/>
                <w:szCs w:val="16"/>
              </w:rPr>
            </w:pPr>
            <w:r>
              <w:rPr>
                <w:rFonts w:ascii="Calibri" w:hAnsi="Calibri" w:cs="Calibri"/>
                <w:b/>
                <w:bCs/>
                <w:color w:val="000000"/>
                <w:sz w:val="16"/>
                <w:szCs w:val="16"/>
              </w:rPr>
              <w:t>RESTOS A PAGAR</w:t>
            </w:r>
          </w:p>
        </w:tc>
        <w:tc>
          <w:tcPr>
            <w:tcW w:w="841" w:type="pct"/>
            <w:vMerge w:val="restart"/>
            <w:tcBorders>
              <w:top w:val="nil"/>
              <w:left w:val="nil"/>
              <w:bottom w:val="single" w:sz="8" w:space="0" w:color="000000"/>
              <w:right w:val="nil"/>
            </w:tcBorders>
            <w:shd w:val="clear" w:color="auto" w:fill="auto"/>
            <w:vAlign w:val="bottom"/>
            <w:hideMark/>
          </w:tcPr>
          <w:p w14:paraId="07310CE6"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 xml:space="preserve">   RESTOS A PAGAR</w:t>
            </w:r>
          </w:p>
        </w:tc>
        <w:tc>
          <w:tcPr>
            <w:tcW w:w="841" w:type="pct"/>
            <w:vMerge w:val="restart"/>
            <w:tcBorders>
              <w:top w:val="nil"/>
              <w:left w:val="nil"/>
              <w:bottom w:val="single" w:sz="8" w:space="0" w:color="000000"/>
              <w:right w:val="nil"/>
            </w:tcBorders>
            <w:shd w:val="clear" w:color="auto" w:fill="auto"/>
            <w:vAlign w:val="bottom"/>
            <w:hideMark/>
          </w:tcPr>
          <w:p w14:paraId="7FC894D0"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LIQUIDADO EM EXERCÍCIOS ANTERIORES</w:t>
            </w:r>
          </w:p>
        </w:tc>
        <w:tc>
          <w:tcPr>
            <w:tcW w:w="689" w:type="pct"/>
            <w:vMerge w:val="restart"/>
            <w:tcBorders>
              <w:top w:val="nil"/>
              <w:left w:val="nil"/>
              <w:bottom w:val="single" w:sz="8" w:space="0" w:color="000000"/>
              <w:right w:val="nil"/>
            </w:tcBorders>
            <w:shd w:val="clear" w:color="auto" w:fill="auto"/>
            <w:vAlign w:val="bottom"/>
            <w:hideMark/>
          </w:tcPr>
          <w:p w14:paraId="4D01F7C8"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LIQUIDADO NO EXERCÍCIO</w:t>
            </w:r>
          </w:p>
        </w:tc>
        <w:tc>
          <w:tcPr>
            <w:tcW w:w="888" w:type="pct"/>
            <w:tcBorders>
              <w:top w:val="nil"/>
              <w:left w:val="nil"/>
              <w:bottom w:val="nil"/>
              <w:right w:val="nil"/>
            </w:tcBorders>
            <w:shd w:val="clear" w:color="auto" w:fill="auto"/>
            <w:vAlign w:val="bottom"/>
            <w:hideMark/>
          </w:tcPr>
          <w:p w14:paraId="5F8B962F" w14:textId="22AD631F" w:rsidR="00B74DE7" w:rsidRDefault="00B74DE7" w:rsidP="00937ED9">
            <w:pPr>
              <w:spacing w:after="120"/>
              <w:jc w:val="right"/>
              <w:rPr>
                <w:rFonts w:ascii="Calibri" w:hAnsi="Calibri" w:cs="Calibri"/>
                <w:b/>
                <w:bCs/>
                <w:color w:val="000000"/>
                <w:sz w:val="16"/>
                <w:szCs w:val="16"/>
              </w:rPr>
            </w:pPr>
          </w:p>
        </w:tc>
        <w:tc>
          <w:tcPr>
            <w:tcW w:w="888" w:type="pct"/>
            <w:vMerge w:val="restart"/>
            <w:tcBorders>
              <w:top w:val="nil"/>
              <w:left w:val="nil"/>
              <w:bottom w:val="single" w:sz="8" w:space="0" w:color="000000"/>
              <w:right w:val="nil"/>
            </w:tcBorders>
            <w:shd w:val="clear" w:color="auto" w:fill="auto"/>
            <w:noWrap/>
            <w:vAlign w:val="bottom"/>
            <w:hideMark/>
          </w:tcPr>
          <w:p w14:paraId="090D83CF"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PAGOS</w:t>
            </w:r>
          </w:p>
        </w:tc>
      </w:tr>
      <w:tr w:rsidR="00B74DE7" w14:paraId="6B937AD5" w14:textId="77777777" w:rsidTr="003B2E5F">
        <w:trPr>
          <w:trHeight w:val="227"/>
        </w:trPr>
        <w:tc>
          <w:tcPr>
            <w:tcW w:w="853" w:type="pct"/>
            <w:vMerge/>
            <w:tcBorders>
              <w:top w:val="nil"/>
              <w:left w:val="nil"/>
              <w:bottom w:val="single" w:sz="8" w:space="0" w:color="000000"/>
              <w:right w:val="nil"/>
            </w:tcBorders>
            <w:vAlign w:val="center"/>
            <w:hideMark/>
          </w:tcPr>
          <w:p w14:paraId="4CB38E9A" w14:textId="77777777" w:rsidR="00B74DE7" w:rsidRDefault="00B74DE7" w:rsidP="00937ED9">
            <w:pPr>
              <w:spacing w:after="120"/>
              <w:rPr>
                <w:rFonts w:ascii="Calibri" w:hAnsi="Calibri" w:cs="Calibri"/>
                <w:b/>
                <w:bCs/>
                <w:color w:val="000000"/>
                <w:sz w:val="16"/>
                <w:szCs w:val="16"/>
              </w:rPr>
            </w:pPr>
          </w:p>
        </w:tc>
        <w:tc>
          <w:tcPr>
            <w:tcW w:w="841" w:type="pct"/>
            <w:vMerge/>
            <w:tcBorders>
              <w:top w:val="nil"/>
              <w:left w:val="nil"/>
              <w:bottom w:val="single" w:sz="8" w:space="0" w:color="000000"/>
              <w:right w:val="nil"/>
            </w:tcBorders>
            <w:vAlign w:val="center"/>
            <w:hideMark/>
          </w:tcPr>
          <w:p w14:paraId="1F728330" w14:textId="77777777" w:rsidR="00B74DE7" w:rsidRDefault="00B74DE7" w:rsidP="00937ED9">
            <w:pPr>
              <w:spacing w:after="120"/>
              <w:rPr>
                <w:rFonts w:ascii="Calibri" w:hAnsi="Calibri" w:cs="Calibri"/>
                <w:b/>
                <w:bCs/>
                <w:color w:val="000000"/>
                <w:sz w:val="16"/>
                <w:szCs w:val="16"/>
              </w:rPr>
            </w:pPr>
          </w:p>
        </w:tc>
        <w:tc>
          <w:tcPr>
            <w:tcW w:w="841" w:type="pct"/>
            <w:vMerge/>
            <w:tcBorders>
              <w:top w:val="nil"/>
              <w:left w:val="nil"/>
              <w:bottom w:val="single" w:sz="8" w:space="0" w:color="000000"/>
              <w:right w:val="nil"/>
            </w:tcBorders>
            <w:vAlign w:val="center"/>
            <w:hideMark/>
          </w:tcPr>
          <w:p w14:paraId="071F88BB" w14:textId="77777777" w:rsidR="00B74DE7" w:rsidRDefault="00B74DE7" w:rsidP="00937ED9">
            <w:pPr>
              <w:spacing w:after="120"/>
              <w:rPr>
                <w:rFonts w:ascii="Calibri" w:hAnsi="Calibri" w:cs="Calibri"/>
                <w:b/>
                <w:bCs/>
                <w:color w:val="000000"/>
                <w:sz w:val="16"/>
                <w:szCs w:val="16"/>
              </w:rPr>
            </w:pPr>
          </w:p>
        </w:tc>
        <w:tc>
          <w:tcPr>
            <w:tcW w:w="689" w:type="pct"/>
            <w:vMerge/>
            <w:tcBorders>
              <w:top w:val="nil"/>
              <w:left w:val="nil"/>
              <w:bottom w:val="single" w:sz="8" w:space="0" w:color="000000"/>
              <w:right w:val="nil"/>
            </w:tcBorders>
            <w:vAlign w:val="center"/>
            <w:hideMark/>
          </w:tcPr>
          <w:p w14:paraId="5FCD1B90" w14:textId="77777777" w:rsidR="00B74DE7" w:rsidRDefault="00B74DE7" w:rsidP="00937ED9">
            <w:pPr>
              <w:spacing w:after="120"/>
              <w:rPr>
                <w:rFonts w:ascii="Calibri" w:hAnsi="Calibri" w:cs="Calibri"/>
                <w:b/>
                <w:bCs/>
                <w:color w:val="000000"/>
                <w:sz w:val="16"/>
                <w:szCs w:val="16"/>
              </w:rPr>
            </w:pPr>
          </w:p>
        </w:tc>
        <w:tc>
          <w:tcPr>
            <w:tcW w:w="888" w:type="pct"/>
            <w:tcBorders>
              <w:top w:val="nil"/>
              <w:left w:val="nil"/>
              <w:bottom w:val="single" w:sz="8" w:space="0" w:color="auto"/>
              <w:right w:val="nil"/>
            </w:tcBorders>
            <w:shd w:val="clear" w:color="auto" w:fill="auto"/>
            <w:vAlign w:val="bottom"/>
            <w:hideMark/>
          </w:tcPr>
          <w:p w14:paraId="5AA754E7" w14:textId="77777777" w:rsidR="00B74DE7" w:rsidRDefault="00B74DE7" w:rsidP="00937ED9">
            <w:pPr>
              <w:spacing w:after="120"/>
              <w:jc w:val="right"/>
              <w:rPr>
                <w:rFonts w:ascii="Calibri" w:hAnsi="Calibri" w:cs="Calibri"/>
                <w:b/>
                <w:bCs/>
                <w:color w:val="000000"/>
                <w:sz w:val="16"/>
                <w:szCs w:val="16"/>
              </w:rPr>
            </w:pPr>
            <w:r>
              <w:rPr>
                <w:rFonts w:ascii="Calibri" w:hAnsi="Calibri" w:cs="Calibri"/>
                <w:b/>
                <w:bCs/>
                <w:color w:val="000000"/>
                <w:sz w:val="16"/>
                <w:szCs w:val="16"/>
              </w:rPr>
              <w:t>CANCELADOS</w:t>
            </w:r>
          </w:p>
        </w:tc>
        <w:tc>
          <w:tcPr>
            <w:tcW w:w="888" w:type="pct"/>
            <w:vMerge/>
            <w:tcBorders>
              <w:top w:val="nil"/>
              <w:left w:val="nil"/>
              <w:bottom w:val="single" w:sz="8" w:space="0" w:color="000000"/>
              <w:right w:val="nil"/>
            </w:tcBorders>
            <w:vAlign w:val="center"/>
            <w:hideMark/>
          </w:tcPr>
          <w:p w14:paraId="607109D8" w14:textId="77777777" w:rsidR="00B74DE7" w:rsidRDefault="00B74DE7" w:rsidP="00937ED9">
            <w:pPr>
              <w:spacing w:after="120"/>
              <w:rPr>
                <w:rFonts w:ascii="Calibri" w:hAnsi="Calibri" w:cs="Calibri"/>
                <w:b/>
                <w:bCs/>
                <w:color w:val="000000"/>
                <w:sz w:val="16"/>
                <w:szCs w:val="16"/>
              </w:rPr>
            </w:pPr>
          </w:p>
        </w:tc>
      </w:tr>
      <w:tr w:rsidR="00B74DE7" w14:paraId="5906CAC3" w14:textId="77777777" w:rsidTr="00B74DE7">
        <w:trPr>
          <w:trHeight w:val="227"/>
        </w:trPr>
        <w:tc>
          <w:tcPr>
            <w:tcW w:w="853" w:type="pct"/>
            <w:tcBorders>
              <w:top w:val="nil"/>
              <w:left w:val="nil"/>
              <w:bottom w:val="nil"/>
              <w:right w:val="nil"/>
            </w:tcBorders>
            <w:shd w:val="clear" w:color="auto" w:fill="auto"/>
            <w:noWrap/>
            <w:vAlign w:val="center"/>
            <w:hideMark/>
          </w:tcPr>
          <w:p w14:paraId="13DC35A4" w14:textId="77777777" w:rsidR="00B74DE7" w:rsidRDefault="00B74DE7" w:rsidP="00937ED9">
            <w:pPr>
              <w:spacing w:after="120"/>
              <w:rPr>
                <w:rFonts w:ascii="Calibri" w:hAnsi="Calibri" w:cs="Calibri"/>
                <w:color w:val="000000"/>
                <w:sz w:val="16"/>
                <w:szCs w:val="16"/>
              </w:rPr>
            </w:pPr>
            <w:r>
              <w:rPr>
                <w:rFonts w:ascii="Calibri" w:hAnsi="Calibri" w:cs="Calibri"/>
                <w:color w:val="000000"/>
                <w:sz w:val="16"/>
                <w:szCs w:val="16"/>
              </w:rPr>
              <w:t>Custeio</w:t>
            </w:r>
          </w:p>
        </w:tc>
        <w:tc>
          <w:tcPr>
            <w:tcW w:w="841" w:type="pct"/>
            <w:tcBorders>
              <w:top w:val="nil"/>
              <w:left w:val="nil"/>
              <w:bottom w:val="nil"/>
              <w:right w:val="nil"/>
            </w:tcBorders>
            <w:shd w:val="clear" w:color="auto" w:fill="auto"/>
            <w:noWrap/>
            <w:vAlign w:val="center"/>
            <w:hideMark/>
          </w:tcPr>
          <w:p w14:paraId="02029C97" w14:textId="240B7806"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35.565.042</w:t>
            </w:r>
          </w:p>
        </w:tc>
        <w:tc>
          <w:tcPr>
            <w:tcW w:w="841" w:type="pct"/>
            <w:tcBorders>
              <w:top w:val="nil"/>
              <w:left w:val="nil"/>
              <w:bottom w:val="nil"/>
              <w:right w:val="nil"/>
            </w:tcBorders>
            <w:shd w:val="clear" w:color="auto" w:fill="auto"/>
            <w:noWrap/>
            <w:vAlign w:val="center"/>
            <w:hideMark/>
          </w:tcPr>
          <w:p w14:paraId="393DEF53" w14:textId="1B90AF39"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399.245</w:t>
            </w:r>
          </w:p>
        </w:tc>
        <w:tc>
          <w:tcPr>
            <w:tcW w:w="689" w:type="pct"/>
            <w:tcBorders>
              <w:top w:val="nil"/>
              <w:left w:val="nil"/>
              <w:bottom w:val="nil"/>
              <w:right w:val="nil"/>
            </w:tcBorders>
            <w:shd w:val="clear" w:color="auto" w:fill="auto"/>
            <w:noWrap/>
            <w:vAlign w:val="center"/>
            <w:hideMark/>
          </w:tcPr>
          <w:p w14:paraId="18130BEA" w14:textId="787743CE" w:rsidR="00B74DE7" w:rsidRDefault="00B72DC4" w:rsidP="00937ED9">
            <w:pPr>
              <w:spacing w:after="120"/>
              <w:jc w:val="right"/>
              <w:rPr>
                <w:rFonts w:ascii="Calibri" w:hAnsi="Calibri" w:cs="Calibri"/>
                <w:color w:val="000000"/>
                <w:sz w:val="16"/>
                <w:szCs w:val="16"/>
              </w:rPr>
            </w:pPr>
            <w:r>
              <w:rPr>
                <w:rFonts w:ascii="Calibri" w:hAnsi="Calibri" w:cs="Calibri"/>
                <w:color w:val="000000"/>
                <w:sz w:val="16"/>
                <w:szCs w:val="16"/>
              </w:rPr>
              <w:t>14.916.538</w:t>
            </w:r>
          </w:p>
        </w:tc>
        <w:tc>
          <w:tcPr>
            <w:tcW w:w="888" w:type="pct"/>
            <w:tcBorders>
              <w:top w:val="nil"/>
              <w:left w:val="nil"/>
              <w:bottom w:val="nil"/>
              <w:right w:val="nil"/>
            </w:tcBorders>
            <w:shd w:val="clear" w:color="auto" w:fill="auto"/>
            <w:vAlign w:val="center"/>
            <w:hideMark/>
          </w:tcPr>
          <w:p w14:paraId="2DBCC270" w14:textId="1F17866F" w:rsidR="00B74DE7" w:rsidRDefault="00B72DC4" w:rsidP="00937ED9">
            <w:pPr>
              <w:spacing w:after="120"/>
              <w:jc w:val="right"/>
              <w:rPr>
                <w:rFonts w:ascii="Calibri" w:hAnsi="Calibri" w:cs="Calibri"/>
                <w:color w:val="000000"/>
                <w:sz w:val="16"/>
                <w:szCs w:val="16"/>
              </w:rPr>
            </w:pPr>
            <w:r>
              <w:rPr>
                <w:rFonts w:ascii="Calibri" w:hAnsi="Calibri" w:cs="Calibri"/>
                <w:color w:val="000000"/>
                <w:sz w:val="16"/>
                <w:szCs w:val="16"/>
              </w:rPr>
              <w:t>11.113.382</w:t>
            </w:r>
          </w:p>
        </w:tc>
        <w:tc>
          <w:tcPr>
            <w:tcW w:w="888" w:type="pct"/>
            <w:tcBorders>
              <w:top w:val="nil"/>
              <w:left w:val="nil"/>
              <w:bottom w:val="nil"/>
              <w:right w:val="nil"/>
            </w:tcBorders>
            <w:shd w:val="clear" w:color="auto" w:fill="auto"/>
            <w:noWrap/>
            <w:vAlign w:val="center"/>
            <w:hideMark/>
          </w:tcPr>
          <w:p w14:paraId="3D7BFF88" w14:textId="30CA8A5F" w:rsidR="00B74DE7" w:rsidRDefault="00B72DC4" w:rsidP="00937ED9">
            <w:pPr>
              <w:spacing w:after="120"/>
              <w:jc w:val="right"/>
              <w:rPr>
                <w:rFonts w:ascii="Calibri" w:hAnsi="Calibri" w:cs="Calibri"/>
                <w:color w:val="000000"/>
                <w:sz w:val="16"/>
                <w:szCs w:val="16"/>
              </w:rPr>
            </w:pPr>
            <w:r>
              <w:rPr>
                <w:rFonts w:ascii="Calibri" w:hAnsi="Calibri" w:cs="Calibri"/>
                <w:color w:val="000000"/>
                <w:sz w:val="16"/>
                <w:szCs w:val="16"/>
              </w:rPr>
              <w:t>15.255.465</w:t>
            </w:r>
          </w:p>
        </w:tc>
      </w:tr>
      <w:tr w:rsidR="00B74DE7" w14:paraId="474B10F0" w14:textId="77777777" w:rsidTr="00B74DE7">
        <w:trPr>
          <w:trHeight w:val="227"/>
        </w:trPr>
        <w:tc>
          <w:tcPr>
            <w:tcW w:w="853" w:type="pct"/>
            <w:tcBorders>
              <w:top w:val="nil"/>
              <w:left w:val="nil"/>
              <w:bottom w:val="nil"/>
              <w:right w:val="nil"/>
            </w:tcBorders>
            <w:shd w:val="clear" w:color="auto" w:fill="auto"/>
            <w:noWrap/>
            <w:vAlign w:val="center"/>
            <w:hideMark/>
          </w:tcPr>
          <w:p w14:paraId="749D8A2E" w14:textId="77777777" w:rsidR="00B74DE7" w:rsidRDefault="00B74DE7" w:rsidP="00937ED9">
            <w:pPr>
              <w:spacing w:after="120"/>
              <w:rPr>
                <w:rFonts w:ascii="Calibri" w:hAnsi="Calibri" w:cs="Calibri"/>
                <w:color w:val="000000"/>
                <w:sz w:val="16"/>
                <w:szCs w:val="16"/>
              </w:rPr>
            </w:pPr>
            <w:r>
              <w:rPr>
                <w:rFonts w:ascii="Calibri" w:hAnsi="Calibri" w:cs="Calibri"/>
                <w:color w:val="000000"/>
                <w:sz w:val="16"/>
                <w:szCs w:val="16"/>
              </w:rPr>
              <w:t>Pessoal e encargos</w:t>
            </w:r>
          </w:p>
        </w:tc>
        <w:tc>
          <w:tcPr>
            <w:tcW w:w="841" w:type="pct"/>
            <w:tcBorders>
              <w:top w:val="nil"/>
              <w:left w:val="nil"/>
              <w:bottom w:val="nil"/>
              <w:right w:val="nil"/>
            </w:tcBorders>
            <w:shd w:val="clear" w:color="auto" w:fill="auto"/>
            <w:noWrap/>
            <w:vAlign w:val="center"/>
            <w:hideMark/>
          </w:tcPr>
          <w:p w14:paraId="5ACB03C4" w14:textId="1E0B6F85"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9.467.091</w:t>
            </w:r>
          </w:p>
        </w:tc>
        <w:tc>
          <w:tcPr>
            <w:tcW w:w="841" w:type="pct"/>
            <w:tcBorders>
              <w:top w:val="nil"/>
              <w:left w:val="nil"/>
              <w:bottom w:val="nil"/>
              <w:right w:val="nil"/>
            </w:tcBorders>
            <w:shd w:val="clear" w:color="auto" w:fill="auto"/>
            <w:noWrap/>
            <w:vAlign w:val="center"/>
            <w:hideMark/>
          </w:tcPr>
          <w:p w14:paraId="395C5630" w14:textId="550F50D8"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6.279.624</w:t>
            </w:r>
          </w:p>
        </w:tc>
        <w:tc>
          <w:tcPr>
            <w:tcW w:w="689" w:type="pct"/>
            <w:tcBorders>
              <w:top w:val="nil"/>
              <w:left w:val="nil"/>
              <w:bottom w:val="nil"/>
              <w:right w:val="nil"/>
            </w:tcBorders>
            <w:shd w:val="clear" w:color="auto" w:fill="auto"/>
            <w:noWrap/>
            <w:vAlign w:val="center"/>
            <w:hideMark/>
          </w:tcPr>
          <w:p w14:paraId="26633D11" w14:textId="64334735" w:rsidR="00B74DE7" w:rsidRDefault="00B72DC4" w:rsidP="00937ED9">
            <w:pPr>
              <w:spacing w:after="120"/>
              <w:jc w:val="right"/>
              <w:rPr>
                <w:rFonts w:ascii="Calibri" w:hAnsi="Calibri" w:cs="Calibri"/>
                <w:color w:val="000000"/>
                <w:sz w:val="16"/>
                <w:szCs w:val="16"/>
              </w:rPr>
            </w:pPr>
            <w:r>
              <w:rPr>
                <w:rFonts w:ascii="Calibri" w:hAnsi="Calibri" w:cs="Calibri"/>
                <w:color w:val="000000"/>
                <w:sz w:val="16"/>
                <w:szCs w:val="16"/>
              </w:rPr>
              <w:t>615.776</w:t>
            </w:r>
          </w:p>
        </w:tc>
        <w:tc>
          <w:tcPr>
            <w:tcW w:w="888" w:type="pct"/>
            <w:tcBorders>
              <w:top w:val="nil"/>
              <w:left w:val="nil"/>
              <w:bottom w:val="nil"/>
              <w:right w:val="nil"/>
            </w:tcBorders>
            <w:shd w:val="clear" w:color="auto" w:fill="auto"/>
            <w:vAlign w:val="center"/>
            <w:hideMark/>
          </w:tcPr>
          <w:p w14:paraId="482A6F8B" w14:textId="03DFB5DD" w:rsidR="00B74DE7" w:rsidRDefault="00B71332" w:rsidP="00937ED9">
            <w:pPr>
              <w:spacing w:after="120"/>
              <w:jc w:val="right"/>
              <w:rPr>
                <w:rFonts w:ascii="Calibri" w:hAnsi="Calibri" w:cs="Calibri"/>
                <w:color w:val="000000"/>
                <w:sz w:val="16"/>
                <w:szCs w:val="16"/>
              </w:rPr>
            </w:pPr>
            <w:r>
              <w:rPr>
                <w:rFonts w:ascii="Calibri" w:hAnsi="Calibri" w:cs="Calibri"/>
                <w:color w:val="000000"/>
                <w:sz w:val="16"/>
                <w:szCs w:val="16"/>
              </w:rPr>
              <w:t>2</w:t>
            </w:r>
            <w:r w:rsidR="0036255C">
              <w:rPr>
                <w:rFonts w:ascii="Calibri" w:hAnsi="Calibri" w:cs="Calibri"/>
                <w:color w:val="000000"/>
                <w:sz w:val="16"/>
                <w:szCs w:val="16"/>
              </w:rPr>
              <w:t>.571.691</w:t>
            </w:r>
          </w:p>
        </w:tc>
        <w:tc>
          <w:tcPr>
            <w:tcW w:w="888" w:type="pct"/>
            <w:tcBorders>
              <w:top w:val="nil"/>
              <w:left w:val="nil"/>
              <w:bottom w:val="nil"/>
              <w:right w:val="nil"/>
            </w:tcBorders>
            <w:shd w:val="clear" w:color="auto" w:fill="auto"/>
            <w:noWrap/>
            <w:vAlign w:val="center"/>
            <w:hideMark/>
          </w:tcPr>
          <w:p w14:paraId="1F061472" w14:textId="2B32464A" w:rsidR="00B74DE7" w:rsidRDefault="00B71332" w:rsidP="00937ED9">
            <w:pPr>
              <w:spacing w:after="120"/>
              <w:jc w:val="right"/>
              <w:rPr>
                <w:rFonts w:ascii="Calibri" w:hAnsi="Calibri" w:cs="Calibri"/>
                <w:color w:val="000000"/>
                <w:sz w:val="16"/>
                <w:szCs w:val="16"/>
              </w:rPr>
            </w:pPr>
            <w:r>
              <w:rPr>
                <w:rFonts w:ascii="Calibri" w:hAnsi="Calibri" w:cs="Calibri"/>
                <w:color w:val="000000"/>
                <w:sz w:val="16"/>
                <w:szCs w:val="16"/>
              </w:rPr>
              <w:t>6.</w:t>
            </w:r>
            <w:r w:rsidR="0036255C">
              <w:rPr>
                <w:rFonts w:ascii="Calibri" w:hAnsi="Calibri" w:cs="Calibri"/>
                <w:color w:val="000000"/>
                <w:sz w:val="16"/>
                <w:szCs w:val="16"/>
              </w:rPr>
              <w:t>807.504</w:t>
            </w:r>
          </w:p>
        </w:tc>
      </w:tr>
      <w:tr w:rsidR="00B74DE7" w14:paraId="276111F5" w14:textId="77777777" w:rsidTr="00B74DE7">
        <w:trPr>
          <w:trHeight w:val="227"/>
        </w:trPr>
        <w:tc>
          <w:tcPr>
            <w:tcW w:w="853" w:type="pct"/>
            <w:tcBorders>
              <w:top w:val="nil"/>
              <w:left w:val="nil"/>
              <w:bottom w:val="single" w:sz="8" w:space="0" w:color="auto"/>
              <w:right w:val="nil"/>
            </w:tcBorders>
            <w:shd w:val="clear" w:color="auto" w:fill="auto"/>
            <w:noWrap/>
            <w:vAlign w:val="center"/>
            <w:hideMark/>
          </w:tcPr>
          <w:p w14:paraId="25D59185" w14:textId="77777777" w:rsidR="00B74DE7" w:rsidRDefault="00B74DE7" w:rsidP="00937ED9">
            <w:pPr>
              <w:spacing w:after="120"/>
              <w:rPr>
                <w:rFonts w:ascii="Calibri" w:hAnsi="Calibri" w:cs="Calibri"/>
                <w:color w:val="000000"/>
                <w:sz w:val="16"/>
                <w:szCs w:val="16"/>
              </w:rPr>
            </w:pPr>
            <w:r>
              <w:rPr>
                <w:rFonts w:ascii="Calibri" w:hAnsi="Calibri" w:cs="Calibri"/>
                <w:color w:val="000000"/>
                <w:sz w:val="16"/>
                <w:szCs w:val="16"/>
              </w:rPr>
              <w:t>Investimento</w:t>
            </w:r>
          </w:p>
        </w:tc>
        <w:tc>
          <w:tcPr>
            <w:tcW w:w="841" w:type="pct"/>
            <w:tcBorders>
              <w:top w:val="nil"/>
              <w:left w:val="nil"/>
              <w:bottom w:val="single" w:sz="8" w:space="0" w:color="auto"/>
              <w:right w:val="nil"/>
            </w:tcBorders>
            <w:shd w:val="clear" w:color="auto" w:fill="auto"/>
            <w:noWrap/>
            <w:vAlign w:val="center"/>
            <w:hideMark/>
          </w:tcPr>
          <w:p w14:paraId="0D3C55FD" w14:textId="031BEFE9" w:rsidR="00B74DE7" w:rsidRDefault="00F0632B" w:rsidP="00937ED9">
            <w:pPr>
              <w:spacing w:after="120"/>
              <w:jc w:val="right"/>
              <w:rPr>
                <w:rFonts w:ascii="Calibri" w:hAnsi="Calibri" w:cs="Calibri"/>
                <w:color w:val="000000"/>
                <w:sz w:val="16"/>
                <w:szCs w:val="16"/>
              </w:rPr>
            </w:pPr>
            <w:r>
              <w:rPr>
                <w:rFonts w:ascii="Calibri" w:hAnsi="Calibri" w:cs="Calibri"/>
                <w:color w:val="000000"/>
                <w:sz w:val="16"/>
                <w:szCs w:val="16"/>
              </w:rPr>
              <w:t>308.415.842</w:t>
            </w:r>
          </w:p>
        </w:tc>
        <w:tc>
          <w:tcPr>
            <w:tcW w:w="841" w:type="pct"/>
            <w:tcBorders>
              <w:top w:val="nil"/>
              <w:left w:val="nil"/>
              <w:bottom w:val="single" w:sz="8" w:space="0" w:color="auto"/>
              <w:right w:val="nil"/>
            </w:tcBorders>
            <w:shd w:val="clear" w:color="auto" w:fill="auto"/>
            <w:noWrap/>
            <w:vAlign w:val="center"/>
            <w:hideMark/>
          </w:tcPr>
          <w:p w14:paraId="5EBB8700" w14:textId="46F205DE" w:rsidR="00B74DE7" w:rsidRDefault="00B72DC4" w:rsidP="00937ED9">
            <w:pPr>
              <w:spacing w:after="120"/>
              <w:jc w:val="right"/>
              <w:rPr>
                <w:rFonts w:ascii="Calibri" w:hAnsi="Calibri" w:cs="Calibri"/>
                <w:color w:val="000000"/>
                <w:sz w:val="16"/>
                <w:szCs w:val="16"/>
              </w:rPr>
            </w:pPr>
            <w:r>
              <w:rPr>
                <w:rFonts w:ascii="Calibri" w:hAnsi="Calibri" w:cs="Calibri"/>
                <w:color w:val="000000"/>
                <w:sz w:val="16"/>
                <w:szCs w:val="16"/>
              </w:rPr>
              <w:t>30.021.788</w:t>
            </w:r>
          </w:p>
        </w:tc>
        <w:tc>
          <w:tcPr>
            <w:tcW w:w="689" w:type="pct"/>
            <w:tcBorders>
              <w:top w:val="nil"/>
              <w:left w:val="nil"/>
              <w:bottom w:val="single" w:sz="8" w:space="0" w:color="auto"/>
              <w:right w:val="nil"/>
            </w:tcBorders>
            <w:shd w:val="clear" w:color="auto" w:fill="auto"/>
            <w:noWrap/>
            <w:vAlign w:val="center"/>
            <w:hideMark/>
          </w:tcPr>
          <w:p w14:paraId="5B36FEC3" w14:textId="7B4C36CB" w:rsidR="00B74DE7" w:rsidRDefault="0036255C" w:rsidP="00937ED9">
            <w:pPr>
              <w:spacing w:after="120"/>
              <w:jc w:val="right"/>
              <w:rPr>
                <w:rFonts w:ascii="Calibri" w:hAnsi="Calibri" w:cs="Calibri"/>
                <w:color w:val="000000"/>
                <w:sz w:val="16"/>
                <w:szCs w:val="16"/>
              </w:rPr>
            </w:pPr>
            <w:r>
              <w:rPr>
                <w:rFonts w:ascii="Calibri" w:hAnsi="Calibri" w:cs="Calibri"/>
                <w:color w:val="000000"/>
                <w:sz w:val="16"/>
                <w:szCs w:val="16"/>
              </w:rPr>
              <w:t>1</w:t>
            </w:r>
            <w:r w:rsidR="00B72DC4">
              <w:rPr>
                <w:rFonts w:ascii="Calibri" w:hAnsi="Calibri" w:cs="Calibri"/>
                <w:color w:val="000000"/>
                <w:sz w:val="16"/>
                <w:szCs w:val="16"/>
              </w:rPr>
              <w:t>74.744.860</w:t>
            </w:r>
          </w:p>
        </w:tc>
        <w:tc>
          <w:tcPr>
            <w:tcW w:w="888" w:type="pct"/>
            <w:tcBorders>
              <w:top w:val="nil"/>
              <w:left w:val="nil"/>
              <w:bottom w:val="single" w:sz="8" w:space="0" w:color="auto"/>
              <w:right w:val="nil"/>
            </w:tcBorders>
            <w:shd w:val="clear" w:color="auto" w:fill="auto"/>
            <w:vAlign w:val="center"/>
            <w:hideMark/>
          </w:tcPr>
          <w:p w14:paraId="67D87107" w14:textId="6205B701" w:rsidR="00B74DE7" w:rsidRDefault="003A29CF" w:rsidP="00937ED9">
            <w:pPr>
              <w:spacing w:after="120"/>
              <w:jc w:val="right"/>
              <w:rPr>
                <w:rFonts w:ascii="Calibri" w:hAnsi="Calibri" w:cs="Calibri"/>
                <w:color w:val="000000"/>
                <w:sz w:val="16"/>
                <w:szCs w:val="16"/>
              </w:rPr>
            </w:pPr>
            <w:r>
              <w:rPr>
                <w:rFonts w:ascii="Calibri" w:hAnsi="Calibri" w:cs="Calibri"/>
                <w:color w:val="000000"/>
                <w:sz w:val="16"/>
                <w:szCs w:val="16"/>
              </w:rPr>
              <w:t>1</w:t>
            </w:r>
            <w:r w:rsidR="00B72DC4">
              <w:rPr>
                <w:rFonts w:ascii="Calibri" w:hAnsi="Calibri" w:cs="Calibri"/>
                <w:color w:val="000000"/>
                <w:sz w:val="16"/>
                <w:szCs w:val="16"/>
              </w:rPr>
              <w:t>3.726.266</w:t>
            </w:r>
          </w:p>
        </w:tc>
        <w:tc>
          <w:tcPr>
            <w:tcW w:w="888" w:type="pct"/>
            <w:tcBorders>
              <w:top w:val="nil"/>
              <w:left w:val="nil"/>
              <w:bottom w:val="single" w:sz="8" w:space="0" w:color="auto"/>
              <w:right w:val="nil"/>
            </w:tcBorders>
            <w:shd w:val="clear" w:color="auto" w:fill="auto"/>
            <w:noWrap/>
            <w:vAlign w:val="center"/>
            <w:hideMark/>
          </w:tcPr>
          <w:p w14:paraId="757512D9" w14:textId="0F1774FF" w:rsidR="00B74DE7" w:rsidRDefault="0036255C" w:rsidP="00937ED9">
            <w:pPr>
              <w:spacing w:after="120"/>
              <w:jc w:val="right"/>
              <w:rPr>
                <w:rFonts w:ascii="Calibri" w:hAnsi="Calibri" w:cs="Calibri"/>
                <w:color w:val="000000"/>
                <w:sz w:val="16"/>
                <w:szCs w:val="16"/>
              </w:rPr>
            </w:pPr>
            <w:r>
              <w:rPr>
                <w:rFonts w:ascii="Calibri" w:hAnsi="Calibri" w:cs="Calibri"/>
                <w:color w:val="000000"/>
                <w:sz w:val="16"/>
                <w:szCs w:val="16"/>
              </w:rPr>
              <w:t>1</w:t>
            </w:r>
            <w:r w:rsidR="00B72DC4">
              <w:rPr>
                <w:rFonts w:ascii="Calibri" w:hAnsi="Calibri" w:cs="Calibri"/>
                <w:color w:val="000000"/>
                <w:sz w:val="16"/>
                <w:szCs w:val="16"/>
              </w:rPr>
              <w:t>74.628.645</w:t>
            </w:r>
          </w:p>
        </w:tc>
      </w:tr>
      <w:tr w:rsidR="00B74DE7" w14:paraId="63970874" w14:textId="77777777" w:rsidTr="00B74DE7">
        <w:trPr>
          <w:trHeight w:val="227"/>
        </w:trPr>
        <w:tc>
          <w:tcPr>
            <w:tcW w:w="853" w:type="pct"/>
            <w:tcBorders>
              <w:top w:val="nil"/>
              <w:left w:val="nil"/>
              <w:bottom w:val="single" w:sz="8" w:space="0" w:color="auto"/>
              <w:right w:val="nil"/>
            </w:tcBorders>
            <w:shd w:val="clear" w:color="auto" w:fill="auto"/>
            <w:noWrap/>
            <w:vAlign w:val="center"/>
            <w:hideMark/>
          </w:tcPr>
          <w:p w14:paraId="51FAB90C" w14:textId="77777777" w:rsidR="00B74DE7" w:rsidRDefault="00B74DE7" w:rsidP="00937ED9">
            <w:pPr>
              <w:spacing w:after="120"/>
              <w:rPr>
                <w:rFonts w:ascii="Calibri" w:hAnsi="Calibri" w:cs="Calibri"/>
                <w:b/>
                <w:bCs/>
                <w:color w:val="000000"/>
                <w:sz w:val="16"/>
                <w:szCs w:val="16"/>
              </w:rPr>
            </w:pPr>
            <w:r>
              <w:rPr>
                <w:rFonts w:ascii="Calibri" w:hAnsi="Calibri" w:cs="Calibri"/>
                <w:b/>
                <w:bCs/>
                <w:color w:val="000000"/>
                <w:sz w:val="16"/>
                <w:szCs w:val="16"/>
              </w:rPr>
              <w:t>TOTAL GERAL</w:t>
            </w:r>
          </w:p>
        </w:tc>
        <w:tc>
          <w:tcPr>
            <w:tcW w:w="841" w:type="pct"/>
            <w:tcBorders>
              <w:top w:val="nil"/>
              <w:left w:val="nil"/>
              <w:bottom w:val="single" w:sz="8" w:space="0" w:color="auto"/>
              <w:right w:val="nil"/>
            </w:tcBorders>
            <w:shd w:val="clear" w:color="auto" w:fill="auto"/>
            <w:noWrap/>
            <w:vAlign w:val="center"/>
            <w:hideMark/>
          </w:tcPr>
          <w:p w14:paraId="1A99E16C" w14:textId="00943517" w:rsidR="00B74DE7" w:rsidRDefault="00F0632B" w:rsidP="00937ED9">
            <w:pPr>
              <w:spacing w:after="120"/>
              <w:jc w:val="right"/>
              <w:rPr>
                <w:rFonts w:ascii="Calibri" w:hAnsi="Calibri" w:cs="Calibri"/>
                <w:b/>
                <w:bCs/>
                <w:color w:val="000000"/>
                <w:sz w:val="16"/>
                <w:szCs w:val="16"/>
              </w:rPr>
            </w:pPr>
            <w:r>
              <w:rPr>
                <w:rFonts w:ascii="Calibri" w:hAnsi="Calibri" w:cs="Calibri"/>
                <w:b/>
                <w:bCs/>
                <w:color w:val="000000"/>
                <w:sz w:val="16"/>
                <w:szCs w:val="16"/>
              </w:rPr>
              <w:t>353.447.975</w:t>
            </w:r>
          </w:p>
        </w:tc>
        <w:tc>
          <w:tcPr>
            <w:tcW w:w="841" w:type="pct"/>
            <w:tcBorders>
              <w:top w:val="nil"/>
              <w:left w:val="nil"/>
              <w:bottom w:val="single" w:sz="8" w:space="0" w:color="auto"/>
              <w:right w:val="nil"/>
            </w:tcBorders>
            <w:shd w:val="clear" w:color="auto" w:fill="auto"/>
            <w:noWrap/>
            <w:vAlign w:val="center"/>
            <w:hideMark/>
          </w:tcPr>
          <w:p w14:paraId="1C699A78" w14:textId="69C39FCC" w:rsidR="00B74DE7" w:rsidRDefault="00F0632B" w:rsidP="00937ED9">
            <w:pPr>
              <w:spacing w:after="120"/>
              <w:jc w:val="right"/>
              <w:rPr>
                <w:rFonts w:ascii="Calibri" w:hAnsi="Calibri" w:cs="Calibri"/>
                <w:b/>
                <w:bCs/>
                <w:color w:val="000000"/>
                <w:sz w:val="16"/>
                <w:szCs w:val="16"/>
              </w:rPr>
            </w:pPr>
            <w:r>
              <w:rPr>
                <w:rFonts w:ascii="Calibri" w:hAnsi="Calibri" w:cs="Calibri"/>
                <w:b/>
                <w:bCs/>
                <w:color w:val="000000"/>
                <w:sz w:val="16"/>
                <w:szCs w:val="16"/>
              </w:rPr>
              <w:t>3</w:t>
            </w:r>
            <w:r w:rsidR="00B72DC4">
              <w:rPr>
                <w:rFonts w:ascii="Calibri" w:hAnsi="Calibri" w:cs="Calibri"/>
                <w:b/>
                <w:bCs/>
                <w:color w:val="000000"/>
                <w:sz w:val="16"/>
                <w:szCs w:val="16"/>
              </w:rPr>
              <w:t>6.700.657</w:t>
            </w:r>
          </w:p>
        </w:tc>
        <w:tc>
          <w:tcPr>
            <w:tcW w:w="689" w:type="pct"/>
            <w:tcBorders>
              <w:top w:val="nil"/>
              <w:left w:val="nil"/>
              <w:bottom w:val="single" w:sz="8" w:space="0" w:color="auto"/>
              <w:right w:val="nil"/>
            </w:tcBorders>
            <w:shd w:val="clear" w:color="auto" w:fill="auto"/>
            <w:noWrap/>
            <w:vAlign w:val="center"/>
            <w:hideMark/>
          </w:tcPr>
          <w:p w14:paraId="1A57A3D8" w14:textId="300BE6CA" w:rsidR="00B74DE7" w:rsidRDefault="0036255C" w:rsidP="00937ED9">
            <w:pPr>
              <w:spacing w:after="120"/>
              <w:jc w:val="right"/>
              <w:rPr>
                <w:rFonts w:ascii="Calibri" w:hAnsi="Calibri" w:cs="Calibri"/>
                <w:b/>
                <w:bCs/>
                <w:color w:val="000000"/>
                <w:sz w:val="16"/>
                <w:szCs w:val="16"/>
              </w:rPr>
            </w:pPr>
            <w:r>
              <w:rPr>
                <w:rFonts w:ascii="Calibri" w:hAnsi="Calibri" w:cs="Calibri"/>
                <w:b/>
                <w:bCs/>
                <w:color w:val="000000"/>
                <w:sz w:val="16"/>
                <w:szCs w:val="16"/>
              </w:rPr>
              <w:t>1</w:t>
            </w:r>
            <w:r w:rsidR="00B72DC4">
              <w:rPr>
                <w:rFonts w:ascii="Calibri" w:hAnsi="Calibri" w:cs="Calibri"/>
                <w:b/>
                <w:bCs/>
                <w:color w:val="000000"/>
                <w:sz w:val="16"/>
                <w:szCs w:val="16"/>
              </w:rPr>
              <w:t>90.277.174</w:t>
            </w:r>
          </w:p>
        </w:tc>
        <w:tc>
          <w:tcPr>
            <w:tcW w:w="888" w:type="pct"/>
            <w:tcBorders>
              <w:top w:val="nil"/>
              <w:left w:val="nil"/>
              <w:bottom w:val="single" w:sz="8" w:space="0" w:color="auto"/>
              <w:right w:val="nil"/>
            </w:tcBorders>
            <w:shd w:val="clear" w:color="auto" w:fill="auto"/>
            <w:noWrap/>
            <w:vAlign w:val="center"/>
            <w:hideMark/>
          </w:tcPr>
          <w:p w14:paraId="2F355C6D" w14:textId="11A697D6" w:rsidR="00B74DE7" w:rsidRDefault="00B72DC4" w:rsidP="00937ED9">
            <w:pPr>
              <w:spacing w:after="120"/>
              <w:jc w:val="right"/>
              <w:rPr>
                <w:rFonts w:ascii="Calibri" w:hAnsi="Calibri" w:cs="Calibri"/>
                <w:b/>
                <w:bCs/>
                <w:color w:val="000000"/>
                <w:sz w:val="16"/>
                <w:szCs w:val="16"/>
              </w:rPr>
            </w:pPr>
            <w:r>
              <w:rPr>
                <w:rFonts w:ascii="Calibri" w:hAnsi="Calibri" w:cs="Calibri"/>
                <w:b/>
                <w:bCs/>
                <w:color w:val="000000"/>
                <w:sz w:val="16"/>
                <w:szCs w:val="16"/>
              </w:rPr>
              <w:t>27.411.339</w:t>
            </w:r>
          </w:p>
        </w:tc>
        <w:tc>
          <w:tcPr>
            <w:tcW w:w="888" w:type="pct"/>
            <w:tcBorders>
              <w:top w:val="nil"/>
              <w:left w:val="nil"/>
              <w:bottom w:val="single" w:sz="8" w:space="0" w:color="auto"/>
              <w:right w:val="nil"/>
            </w:tcBorders>
            <w:shd w:val="clear" w:color="auto" w:fill="auto"/>
            <w:noWrap/>
            <w:vAlign w:val="center"/>
            <w:hideMark/>
          </w:tcPr>
          <w:p w14:paraId="2D279BF6" w14:textId="7936E2CB" w:rsidR="00B74DE7" w:rsidRDefault="0036255C" w:rsidP="00937ED9">
            <w:pPr>
              <w:spacing w:after="120"/>
              <w:jc w:val="right"/>
              <w:rPr>
                <w:rFonts w:ascii="Calibri" w:hAnsi="Calibri" w:cs="Calibri"/>
                <w:b/>
                <w:bCs/>
                <w:color w:val="000000"/>
                <w:sz w:val="16"/>
                <w:szCs w:val="16"/>
              </w:rPr>
            </w:pPr>
            <w:r>
              <w:rPr>
                <w:rFonts w:ascii="Calibri" w:hAnsi="Calibri" w:cs="Calibri"/>
                <w:b/>
                <w:bCs/>
                <w:color w:val="000000"/>
                <w:sz w:val="16"/>
                <w:szCs w:val="16"/>
              </w:rPr>
              <w:t>1</w:t>
            </w:r>
            <w:r w:rsidR="00B72DC4">
              <w:rPr>
                <w:rFonts w:ascii="Calibri" w:hAnsi="Calibri" w:cs="Calibri"/>
                <w:b/>
                <w:bCs/>
                <w:color w:val="000000"/>
                <w:sz w:val="16"/>
                <w:szCs w:val="16"/>
              </w:rPr>
              <w:t>96.691.614</w:t>
            </w:r>
          </w:p>
        </w:tc>
      </w:tr>
    </w:tbl>
    <w:p w14:paraId="44E0F7FC" w14:textId="77777777" w:rsidR="00683B08" w:rsidRDefault="00683B08" w:rsidP="003B2914">
      <w:pPr>
        <w:spacing w:before="120"/>
        <w:rPr>
          <w:rFonts w:ascii="Calibri" w:hAnsi="Calibri" w:cs="Calibri"/>
          <w:b/>
          <w:sz w:val="22"/>
          <w:szCs w:val="22"/>
        </w:rPr>
      </w:pPr>
    </w:p>
    <w:p w14:paraId="0AE59FD0" w14:textId="75151559" w:rsidR="005557CC" w:rsidRPr="00654405" w:rsidRDefault="007158EB" w:rsidP="003B2914">
      <w:pPr>
        <w:spacing w:before="120"/>
        <w:rPr>
          <w:rFonts w:ascii="Calibri" w:hAnsi="Calibri" w:cs="Calibri"/>
          <w:b/>
          <w:sz w:val="22"/>
          <w:szCs w:val="22"/>
        </w:rPr>
      </w:pPr>
      <w:r w:rsidRPr="00654405">
        <w:rPr>
          <w:rFonts w:ascii="Calibri" w:hAnsi="Calibri" w:cs="Calibri"/>
          <w:b/>
          <w:sz w:val="22"/>
          <w:szCs w:val="22"/>
        </w:rPr>
        <w:lastRenderedPageBreak/>
        <w:t>NOTA 2</w:t>
      </w:r>
      <w:r w:rsidR="00586348">
        <w:rPr>
          <w:rFonts w:ascii="Calibri" w:hAnsi="Calibri" w:cs="Calibri"/>
          <w:b/>
          <w:sz w:val="22"/>
          <w:szCs w:val="22"/>
        </w:rPr>
        <w:t>6</w:t>
      </w:r>
      <w:r w:rsidRPr="00654405">
        <w:rPr>
          <w:rFonts w:ascii="Calibri" w:hAnsi="Calibri" w:cs="Calibri"/>
          <w:b/>
          <w:sz w:val="22"/>
          <w:szCs w:val="22"/>
        </w:rPr>
        <w:t xml:space="preserve"> </w:t>
      </w:r>
      <w:r w:rsidR="005557CC" w:rsidRPr="00654405">
        <w:rPr>
          <w:rFonts w:ascii="Calibri" w:hAnsi="Calibri" w:cs="Calibri"/>
          <w:b/>
          <w:sz w:val="22"/>
          <w:szCs w:val="22"/>
        </w:rPr>
        <w:t xml:space="preserve">– </w:t>
      </w:r>
      <w:r w:rsidR="00F150CE" w:rsidRPr="00654405">
        <w:rPr>
          <w:rFonts w:ascii="Calibri" w:hAnsi="Calibri" w:cs="Calibri"/>
          <w:b/>
          <w:sz w:val="22"/>
          <w:szCs w:val="22"/>
        </w:rPr>
        <w:t xml:space="preserve">CONCILIAÇÃO ENTRE A LEI Nº 6.404/76 E A LEI Nº 4.320/64 </w:t>
      </w:r>
      <w:r w:rsidR="006E295E" w:rsidRPr="00654405">
        <w:rPr>
          <w:rFonts w:ascii="Calibri" w:hAnsi="Calibri" w:cs="Calibri"/>
          <w:b/>
          <w:sz w:val="22"/>
          <w:szCs w:val="22"/>
        </w:rPr>
        <w:t>(NOTA NÃO AUDITADA)</w:t>
      </w:r>
    </w:p>
    <w:p w14:paraId="4D6C1AF7" w14:textId="469A6443" w:rsidR="00607CC5" w:rsidRDefault="00607CC5" w:rsidP="007D5D69">
      <w:pPr>
        <w:spacing w:before="120" w:after="120"/>
        <w:ind w:right="57"/>
        <w:jc w:val="both"/>
        <w:rPr>
          <w:rFonts w:ascii="Calibri" w:hAnsi="Calibri" w:cs="Calibri"/>
          <w:sz w:val="22"/>
          <w:szCs w:val="22"/>
        </w:rPr>
      </w:pPr>
      <w:r w:rsidRPr="00607CC5">
        <w:rPr>
          <w:rFonts w:ascii="Calibri" w:hAnsi="Calibri" w:cs="Calibri"/>
          <w:sz w:val="22"/>
          <w:szCs w:val="22"/>
        </w:rPr>
        <w:t>Exclusivamente nas Demonstrações Contábeis deste trimestre, tal conciliação não será realizada pois, em que pese a incorporação da EPL ter ocorrido em 30/09/2022, por meio de Assembleia Geral Extraordinária, e nesta data os saldos da EPL terem sido incorporados pela Infra S.A., no SIAFI a transferência de saldos para a Infra</w:t>
      </w:r>
      <w:r>
        <w:rPr>
          <w:rFonts w:ascii="Calibri" w:hAnsi="Calibri" w:cs="Calibri"/>
          <w:sz w:val="22"/>
          <w:szCs w:val="22"/>
        </w:rPr>
        <w:t xml:space="preserve"> S.A.</w:t>
      </w:r>
      <w:r w:rsidRPr="00607CC5">
        <w:rPr>
          <w:rFonts w:ascii="Calibri" w:hAnsi="Calibri" w:cs="Calibri"/>
          <w:sz w:val="22"/>
          <w:szCs w:val="22"/>
        </w:rPr>
        <w:t xml:space="preserve"> ocorreu em 14/10/2022, após o fechamento de setembro. Assim, praticamente todas as contas contábeis apresentariam diferenças significativas entre a Contabilidade Pública e a Contabilidade Societária, fazendo com que essa nota não cumprisse com seu objetivo de demonstrar as diferenças conceituais e temporais dos lançamentos.</w:t>
      </w:r>
    </w:p>
    <w:p w14:paraId="1DF5AFB6" w14:textId="4F962090" w:rsidR="00FA77B3" w:rsidRDefault="007D5D69" w:rsidP="007D5D69">
      <w:pPr>
        <w:spacing w:before="120" w:after="120"/>
        <w:ind w:right="57"/>
        <w:jc w:val="both"/>
        <w:rPr>
          <w:rFonts w:ascii="Calibri" w:hAnsi="Calibri" w:cs="Calibri"/>
          <w:sz w:val="22"/>
          <w:szCs w:val="22"/>
        </w:rPr>
      </w:pPr>
      <w:r w:rsidRPr="007D5D69">
        <w:rPr>
          <w:rFonts w:ascii="Calibri" w:hAnsi="Calibri" w:cs="Calibri"/>
          <w:sz w:val="22"/>
          <w:szCs w:val="22"/>
        </w:rPr>
        <w:t xml:space="preserve">Por ocasião do encerramento do exercício, nas próximas Demonstrações com a data-base </w:t>
      </w:r>
      <w:r w:rsidR="00F3074F">
        <w:rPr>
          <w:rFonts w:ascii="Calibri" w:hAnsi="Calibri" w:cs="Calibri"/>
          <w:sz w:val="22"/>
          <w:szCs w:val="22"/>
        </w:rPr>
        <w:t xml:space="preserve">de </w:t>
      </w:r>
      <w:r w:rsidRPr="007D5D69">
        <w:rPr>
          <w:rFonts w:ascii="Calibri" w:hAnsi="Calibri" w:cs="Calibri"/>
          <w:sz w:val="22"/>
          <w:szCs w:val="22"/>
        </w:rPr>
        <w:t>dezembro de 2022, a conciliação será realizada normalmente.</w:t>
      </w:r>
    </w:p>
    <w:p w14:paraId="7352C7A7" w14:textId="7A8E1738" w:rsidR="00105561" w:rsidRDefault="00105561" w:rsidP="00105561">
      <w:pPr>
        <w:spacing w:after="120"/>
        <w:ind w:left="714" w:right="57"/>
        <w:jc w:val="both"/>
        <w:rPr>
          <w:rFonts w:ascii="Calibri" w:hAnsi="Calibri" w:cs="Calibri"/>
          <w:bCs/>
          <w:sz w:val="18"/>
          <w:szCs w:val="18"/>
        </w:rPr>
      </w:pPr>
    </w:p>
    <w:p w14:paraId="4CE54A4E" w14:textId="77777777" w:rsidR="0087710A" w:rsidRPr="002E2B5B" w:rsidRDefault="0087710A" w:rsidP="0087710A">
      <w:pPr>
        <w:spacing w:after="120"/>
        <w:ind w:left="714" w:right="57"/>
        <w:jc w:val="center"/>
        <w:rPr>
          <w:rFonts w:ascii="Calibri" w:hAnsi="Calibri" w:cs="Calibri"/>
          <w:b/>
          <w:sz w:val="22"/>
          <w:szCs w:val="22"/>
        </w:rPr>
      </w:pPr>
      <w:bookmarkStart w:id="11" w:name="_Hlk126067617"/>
      <w:r w:rsidRPr="00AE4283">
        <w:rPr>
          <w:rFonts w:ascii="Calibri" w:hAnsi="Calibri" w:cs="Calibri"/>
          <w:b/>
          <w:sz w:val="22"/>
          <w:szCs w:val="22"/>
        </w:rPr>
        <w:t>Mariana Pescatori Cândido da Silva</w:t>
      </w:r>
    </w:p>
    <w:p w14:paraId="136076BE" w14:textId="77777777" w:rsidR="0087710A" w:rsidRDefault="0087710A" w:rsidP="0087710A">
      <w:pPr>
        <w:spacing w:after="120"/>
        <w:ind w:left="714" w:right="57"/>
        <w:jc w:val="center"/>
        <w:rPr>
          <w:rFonts w:ascii="Calibri" w:hAnsi="Calibri" w:cs="Calibri"/>
          <w:bCs/>
          <w:sz w:val="22"/>
          <w:szCs w:val="22"/>
        </w:rPr>
      </w:pPr>
      <w:r w:rsidRPr="00AE4283">
        <w:rPr>
          <w:rFonts w:ascii="Calibri" w:hAnsi="Calibri" w:cs="Calibri"/>
          <w:bCs/>
          <w:sz w:val="22"/>
          <w:szCs w:val="22"/>
        </w:rPr>
        <w:t>Diretora-Presidente Substituta</w:t>
      </w:r>
    </w:p>
    <w:p w14:paraId="76B819C8" w14:textId="77777777" w:rsidR="0087710A" w:rsidRDefault="0087710A" w:rsidP="0087710A">
      <w:pPr>
        <w:spacing w:after="120"/>
        <w:ind w:left="714" w:right="57"/>
        <w:jc w:val="center"/>
        <w:rPr>
          <w:rFonts w:ascii="Calibri" w:hAnsi="Calibri" w:cs="Calibri"/>
          <w:bCs/>
          <w:sz w:val="22"/>
          <w:szCs w:val="22"/>
        </w:rPr>
      </w:pPr>
    </w:p>
    <w:p w14:paraId="0FC207CB" w14:textId="77777777" w:rsidR="0087710A" w:rsidRDefault="0087710A" w:rsidP="0087710A">
      <w:pPr>
        <w:spacing w:after="120"/>
        <w:ind w:left="714" w:right="57"/>
        <w:jc w:val="center"/>
        <w:rPr>
          <w:rFonts w:ascii="Calibri" w:hAnsi="Calibri" w:cs="Calibri"/>
          <w:b/>
          <w:sz w:val="22"/>
          <w:szCs w:val="22"/>
        </w:rPr>
      </w:pPr>
      <w:r>
        <w:rPr>
          <w:rFonts w:ascii="Calibri" w:hAnsi="Calibri" w:cs="Calibri"/>
          <w:b/>
          <w:sz w:val="22"/>
          <w:szCs w:val="22"/>
        </w:rPr>
        <w:t>Alex Augusto Sanches Trevizan</w:t>
      </w:r>
    </w:p>
    <w:p w14:paraId="21B1AD39" w14:textId="77777777" w:rsidR="0087710A" w:rsidRDefault="0087710A" w:rsidP="0087710A">
      <w:pPr>
        <w:spacing w:after="120"/>
        <w:ind w:left="714" w:right="57"/>
        <w:jc w:val="center"/>
        <w:rPr>
          <w:rFonts w:ascii="Calibri" w:hAnsi="Calibri" w:cs="Calibri"/>
          <w:bCs/>
          <w:sz w:val="22"/>
          <w:szCs w:val="22"/>
        </w:rPr>
      </w:pPr>
      <w:r w:rsidRPr="00AE4283">
        <w:rPr>
          <w:rFonts w:ascii="Calibri" w:hAnsi="Calibri" w:cs="Calibri"/>
          <w:bCs/>
          <w:sz w:val="22"/>
          <w:szCs w:val="22"/>
        </w:rPr>
        <w:t>Diretor de Empreendimentos</w:t>
      </w:r>
    </w:p>
    <w:p w14:paraId="384F1935" w14:textId="77777777" w:rsidR="0087710A" w:rsidRDefault="0087710A" w:rsidP="0087710A">
      <w:pPr>
        <w:spacing w:after="120"/>
        <w:ind w:left="714" w:right="57"/>
        <w:jc w:val="center"/>
        <w:rPr>
          <w:rFonts w:ascii="Calibri" w:hAnsi="Calibri" w:cs="Calibri"/>
          <w:bCs/>
          <w:sz w:val="22"/>
          <w:szCs w:val="22"/>
        </w:rPr>
      </w:pPr>
    </w:p>
    <w:p w14:paraId="4D86D441" w14:textId="77777777" w:rsidR="0087710A" w:rsidRDefault="0087710A" w:rsidP="0087710A">
      <w:pPr>
        <w:spacing w:after="120"/>
        <w:ind w:left="714" w:right="57"/>
        <w:jc w:val="center"/>
        <w:rPr>
          <w:rFonts w:ascii="Calibri" w:hAnsi="Calibri" w:cs="Calibri"/>
          <w:b/>
          <w:sz w:val="22"/>
          <w:szCs w:val="22"/>
        </w:rPr>
      </w:pPr>
      <w:r w:rsidRPr="00AE4283">
        <w:rPr>
          <w:rFonts w:ascii="Calibri" w:hAnsi="Calibri" w:cs="Calibri"/>
          <w:b/>
          <w:sz w:val="22"/>
          <w:szCs w:val="22"/>
        </w:rPr>
        <w:t>Alessandro Reichert</w:t>
      </w:r>
    </w:p>
    <w:p w14:paraId="48899ED3" w14:textId="77777777" w:rsidR="0087710A" w:rsidRPr="00AE4283" w:rsidRDefault="0087710A" w:rsidP="0087710A">
      <w:pPr>
        <w:spacing w:after="120"/>
        <w:ind w:left="714" w:right="57"/>
        <w:jc w:val="center"/>
        <w:rPr>
          <w:rFonts w:ascii="Calibri" w:hAnsi="Calibri" w:cs="Calibri"/>
          <w:bCs/>
          <w:sz w:val="22"/>
          <w:szCs w:val="22"/>
        </w:rPr>
      </w:pPr>
      <w:r w:rsidRPr="00AE4283">
        <w:rPr>
          <w:rFonts w:ascii="Calibri" w:hAnsi="Calibri" w:cs="Calibri"/>
          <w:bCs/>
          <w:sz w:val="22"/>
          <w:szCs w:val="22"/>
        </w:rPr>
        <w:t>Diretor de Planejamento</w:t>
      </w:r>
    </w:p>
    <w:bookmarkEnd w:id="11"/>
    <w:p w14:paraId="629EDCFE" w14:textId="77777777" w:rsidR="0087710A" w:rsidRPr="002E2B5B" w:rsidRDefault="0087710A" w:rsidP="0087710A">
      <w:pPr>
        <w:spacing w:after="120"/>
        <w:ind w:left="714" w:right="57"/>
        <w:jc w:val="center"/>
        <w:rPr>
          <w:rFonts w:ascii="Calibri" w:hAnsi="Calibri" w:cs="Calibri"/>
          <w:bCs/>
          <w:sz w:val="22"/>
          <w:szCs w:val="22"/>
        </w:rPr>
      </w:pPr>
    </w:p>
    <w:p w14:paraId="0390DC09" w14:textId="77777777" w:rsidR="0087710A" w:rsidRDefault="0087710A" w:rsidP="0087710A">
      <w:pPr>
        <w:spacing w:after="120"/>
        <w:ind w:left="709" w:right="57"/>
        <w:jc w:val="center"/>
        <w:rPr>
          <w:rFonts w:ascii="Calibri" w:hAnsi="Calibri" w:cs="Calibri"/>
          <w:b/>
          <w:sz w:val="22"/>
          <w:szCs w:val="22"/>
        </w:rPr>
      </w:pPr>
      <w:r w:rsidRPr="00773397">
        <w:rPr>
          <w:rFonts w:ascii="Calibri" w:hAnsi="Calibri" w:cs="Calibri"/>
          <w:b/>
          <w:sz w:val="22"/>
          <w:szCs w:val="22"/>
        </w:rPr>
        <w:t>Leonardo Silva Maia</w:t>
      </w:r>
    </w:p>
    <w:p w14:paraId="6755FDFD" w14:textId="559057B3" w:rsidR="0087710A" w:rsidRDefault="0087710A" w:rsidP="0087710A">
      <w:pPr>
        <w:spacing w:after="120"/>
        <w:ind w:left="709" w:right="57"/>
        <w:jc w:val="center"/>
        <w:rPr>
          <w:rFonts w:ascii="Calibri" w:hAnsi="Calibri" w:cs="Calibri"/>
          <w:bCs/>
          <w:sz w:val="22"/>
          <w:szCs w:val="22"/>
        </w:rPr>
      </w:pPr>
      <w:r w:rsidRPr="00075117">
        <w:rPr>
          <w:rFonts w:ascii="Calibri" w:hAnsi="Calibri" w:cs="Calibri"/>
          <w:bCs/>
          <w:sz w:val="22"/>
          <w:szCs w:val="22"/>
        </w:rPr>
        <w:t>Gerente Contábil</w:t>
      </w:r>
    </w:p>
    <w:p w14:paraId="6DE716BB" w14:textId="68FDC001" w:rsidR="00105561" w:rsidRDefault="0087710A" w:rsidP="0087710A">
      <w:pPr>
        <w:spacing w:after="120"/>
        <w:ind w:left="714" w:right="57"/>
        <w:jc w:val="center"/>
        <w:rPr>
          <w:rFonts w:ascii="Calibri" w:hAnsi="Calibri" w:cs="Calibri"/>
          <w:bCs/>
          <w:sz w:val="18"/>
          <w:szCs w:val="18"/>
        </w:rPr>
      </w:pPr>
      <w:r>
        <w:rPr>
          <w:rFonts w:ascii="Calibri" w:hAnsi="Calibri" w:cs="Calibri"/>
          <w:bCs/>
          <w:sz w:val="22"/>
          <w:szCs w:val="22"/>
        </w:rPr>
        <w:t>Contador – CRC/</w:t>
      </w:r>
      <w:r w:rsidRPr="00E97491">
        <w:rPr>
          <w:rFonts w:ascii="Calibri" w:hAnsi="Calibri" w:cs="Calibri"/>
          <w:bCs/>
          <w:sz w:val="22"/>
          <w:szCs w:val="22"/>
        </w:rPr>
        <w:t>DF</w:t>
      </w:r>
      <w:r>
        <w:rPr>
          <w:rFonts w:ascii="Calibri" w:hAnsi="Calibri" w:cs="Calibri"/>
          <w:bCs/>
          <w:sz w:val="22"/>
          <w:szCs w:val="22"/>
        </w:rPr>
        <w:t xml:space="preserve"> – </w:t>
      </w:r>
      <w:r w:rsidRPr="00E97491">
        <w:rPr>
          <w:rFonts w:ascii="Calibri" w:hAnsi="Calibri" w:cs="Calibri"/>
          <w:bCs/>
          <w:sz w:val="22"/>
          <w:szCs w:val="22"/>
        </w:rPr>
        <w:t>026984/O-3</w:t>
      </w:r>
    </w:p>
    <w:sectPr w:rsidR="00105561" w:rsidSect="006B5C31">
      <w:headerReference w:type="default" r:id="rId11"/>
      <w:footerReference w:type="default" r:id="rId12"/>
      <w:pgSz w:w="11907" w:h="16840" w:code="9"/>
      <w:pgMar w:top="720" w:right="720" w:bottom="720" w:left="720" w:header="709" w:footer="11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C921" w14:textId="77777777" w:rsidR="003D140D" w:rsidRDefault="003D140D">
      <w:r>
        <w:separator/>
      </w:r>
    </w:p>
  </w:endnote>
  <w:endnote w:type="continuationSeparator" w:id="0">
    <w:p w14:paraId="28D14E2C" w14:textId="77777777" w:rsidR="003D140D" w:rsidRDefault="003D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UI">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43443"/>
      <w:docPartObj>
        <w:docPartGallery w:val="Page Numbers (Bottom of Page)"/>
        <w:docPartUnique/>
      </w:docPartObj>
    </w:sdtPr>
    <w:sdtEndPr/>
    <w:sdtContent>
      <w:p w14:paraId="58B3AB4C" w14:textId="6C169044" w:rsidR="00A14499" w:rsidRDefault="00A14499">
        <w:pPr>
          <w:pStyle w:val="Rodap"/>
          <w:jc w:val="center"/>
        </w:pPr>
        <w:r>
          <w:fldChar w:fldCharType="begin"/>
        </w:r>
        <w:r>
          <w:instrText>PAGE   \* MERGEFORMAT</w:instrText>
        </w:r>
        <w:r>
          <w:fldChar w:fldCharType="separate"/>
        </w:r>
        <w:r>
          <w:rPr>
            <w:lang w:val="pt-BR"/>
          </w:rPr>
          <w:t>2</w:t>
        </w:r>
        <w:r>
          <w:fldChar w:fldCharType="end"/>
        </w:r>
      </w:p>
    </w:sdtContent>
  </w:sdt>
  <w:p w14:paraId="437BD4BE" w14:textId="77777777" w:rsidR="00A14499" w:rsidRPr="00D1757A" w:rsidRDefault="00A14499">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44B0" w14:textId="77777777" w:rsidR="003D140D" w:rsidRDefault="003D140D">
      <w:r>
        <w:separator/>
      </w:r>
    </w:p>
  </w:footnote>
  <w:footnote w:type="continuationSeparator" w:id="0">
    <w:p w14:paraId="4C968825" w14:textId="77777777" w:rsidR="003D140D" w:rsidRDefault="003D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0884" w14:textId="1AEC7612" w:rsidR="00A14499" w:rsidRDefault="00A14499">
    <w:pPr>
      <w:pStyle w:val="Cabealho"/>
    </w:pPr>
    <w:r>
      <w:rPr>
        <w:noProof/>
        <w:sz w:val="18"/>
      </w:rPr>
      <w:drawing>
        <wp:inline distT="0" distB="0" distL="114300" distR="114300" wp14:anchorId="04E13022" wp14:editId="4E002A98">
          <wp:extent cx="1971675" cy="626110"/>
          <wp:effectExtent l="0" t="0" r="9525" b="8890"/>
          <wp:docPr id="10" name="Picture 10" descr="logo_to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_topo"/>
                  <pic:cNvPicPr>
                    <a:picLocks noChangeAspect="1"/>
                  </pic:cNvPicPr>
                </pic:nvPicPr>
                <pic:blipFill>
                  <a:blip r:embed="rId1"/>
                  <a:stretch>
                    <a:fillRect/>
                  </a:stretch>
                </pic:blipFill>
                <pic:spPr>
                  <a:xfrm>
                    <a:off x="0" y="0"/>
                    <a:ext cx="1971675" cy="626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9pt" o:bullet="t">
        <v:imagedata r:id="rId1" o:title="clip_image001"/>
      </v:shape>
    </w:pict>
  </w:numPicBullet>
  <w:abstractNum w:abstractNumId="0" w15:restartNumberingAfterBreak="0">
    <w:nsid w:val="04BB26BB"/>
    <w:multiLevelType w:val="hybridMultilevel"/>
    <w:tmpl w:val="CE5AF8BA"/>
    <w:lvl w:ilvl="0" w:tplc="88C21872">
      <w:start w:val="1"/>
      <w:numFmt w:val="lowerLetter"/>
      <w:lvlText w:val="%1)"/>
      <w:lvlJc w:val="left"/>
      <w:pPr>
        <w:ind w:left="644" w:hanging="360"/>
      </w:pPr>
      <w:rPr>
        <w:rFonts w:hint="default"/>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 w15:restartNumberingAfterBreak="0">
    <w:nsid w:val="09C610F1"/>
    <w:multiLevelType w:val="hybridMultilevel"/>
    <w:tmpl w:val="F7C84CF4"/>
    <w:lvl w:ilvl="0" w:tplc="BB2049E6">
      <w:start w:val="1"/>
      <w:numFmt w:val="lowerLetter"/>
      <w:lvlText w:val="%1)"/>
      <w:lvlJc w:val="left"/>
      <w:pPr>
        <w:ind w:left="4046"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516FEE"/>
    <w:multiLevelType w:val="hybridMultilevel"/>
    <w:tmpl w:val="0D90D0B4"/>
    <w:lvl w:ilvl="0" w:tplc="0082F4BA">
      <w:start w:val="1"/>
      <w:numFmt w:val="lowerLetter"/>
      <w:lvlText w:val="%1)"/>
      <w:lvlJc w:val="left"/>
      <w:pPr>
        <w:ind w:left="720" w:hanging="360"/>
      </w:pPr>
      <w:rPr>
        <w:rFonts w:ascii="Calibri" w:eastAsia="Times New Roman" w:hAnsi="Calibri" w:cs="Calibri"/>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A14C82"/>
    <w:multiLevelType w:val="hybridMultilevel"/>
    <w:tmpl w:val="9BB882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63683E"/>
    <w:multiLevelType w:val="hybridMultilevel"/>
    <w:tmpl w:val="21985030"/>
    <w:lvl w:ilvl="0" w:tplc="F0DE01E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714E4C"/>
    <w:multiLevelType w:val="hybridMultilevel"/>
    <w:tmpl w:val="7A86D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936EAB"/>
    <w:multiLevelType w:val="hybridMultilevel"/>
    <w:tmpl w:val="CCDA5052"/>
    <w:lvl w:ilvl="0" w:tplc="8424FA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DD6630"/>
    <w:multiLevelType w:val="hybridMultilevel"/>
    <w:tmpl w:val="ADE26C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2704CB"/>
    <w:multiLevelType w:val="hybridMultilevel"/>
    <w:tmpl w:val="0DAE396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13D6C52"/>
    <w:multiLevelType w:val="hybridMultilevel"/>
    <w:tmpl w:val="E0969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7560D7"/>
    <w:multiLevelType w:val="hybridMultilevel"/>
    <w:tmpl w:val="57A25C90"/>
    <w:lvl w:ilvl="0" w:tplc="5F04B31A">
      <w:start w:val="1"/>
      <w:numFmt w:val="lowerLetter"/>
      <w:lvlText w:val="%1)"/>
      <w:lvlJc w:val="lef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542AF3"/>
    <w:multiLevelType w:val="hybridMultilevel"/>
    <w:tmpl w:val="2EB2EE1C"/>
    <w:lvl w:ilvl="0" w:tplc="3FE6CB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6B0E84"/>
    <w:multiLevelType w:val="hybridMultilevel"/>
    <w:tmpl w:val="86A264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BD04E3"/>
    <w:multiLevelType w:val="hybridMultilevel"/>
    <w:tmpl w:val="8864EAF2"/>
    <w:lvl w:ilvl="0" w:tplc="E340B244">
      <w:start w:val="3"/>
      <w:numFmt w:val="low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D943FF"/>
    <w:multiLevelType w:val="hybridMultilevel"/>
    <w:tmpl w:val="7A6E58BC"/>
    <w:lvl w:ilvl="0" w:tplc="9AE8422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956740"/>
    <w:multiLevelType w:val="hybridMultilevel"/>
    <w:tmpl w:val="2E0C0A66"/>
    <w:lvl w:ilvl="0" w:tplc="608899E6">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D20147"/>
    <w:multiLevelType w:val="hybridMultilevel"/>
    <w:tmpl w:val="544E9E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CA735D"/>
    <w:multiLevelType w:val="hybridMultilevel"/>
    <w:tmpl w:val="80B8B57E"/>
    <w:lvl w:ilvl="0" w:tplc="8FCE4A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BA7190"/>
    <w:multiLevelType w:val="hybridMultilevel"/>
    <w:tmpl w:val="6204BC5C"/>
    <w:lvl w:ilvl="0" w:tplc="A0F8FC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F127D2"/>
    <w:multiLevelType w:val="hybridMultilevel"/>
    <w:tmpl w:val="A1E2D0A6"/>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0A6201"/>
    <w:multiLevelType w:val="hybridMultilevel"/>
    <w:tmpl w:val="97D4183E"/>
    <w:lvl w:ilvl="0" w:tplc="225EE5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FB2ECE"/>
    <w:multiLevelType w:val="hybridMultilevel"/>
    <w:tmpl w:val="86A26410"/>
    <w:lvl w:ilvl="0" w:tplc="04160017">
      <w:start w:val="1"/>
      <w:numFmt w:val="lowerLetter"/>
      <w:lvlText w:val="%1)"/>
      <w:lvlJc w:val="left"/>
      <w:pPr>
        <w:ind w:left="121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9753EE"/>
    <w:multiLevelType w:val="hybridMultilevel"/>
    <w:tmpl w:val="610224EE"/>
    <w:lvl w:ilvl="0" w:tplc="27764A86">
      <w:start w:val="1"/>
      <w:numFmt w:val="lowerLetter"/>
      <w:lvlText w:val="%1)"/>
      <w:lvlJc w:val="left"/>
      <w:pPr>
        <w:ind w:left="1418" w:hanging="71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B6A69AC"/>
    <w:multiLevelType w:val="hybridMultilevel"/>
    <w:tmpl w:val="9038255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DB60E16"/>
    <w:multiLevelType w:val="hybridMultilevel"/>
    <w:tmpl w:val="DA1E5116"/>
    <w:lvl w:ilvl="0" w:tplc="26F4BD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4434FA"/>
    <w:multiLevelType w:val="hybridMultilevel"/>
    <w:tmpl w:val="10BA319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2F13B24"/>
    <w:multiLevelType w:val="hybridMultilevel"/>
    <w:tmpl w:val="2994816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36F03F8"/>
    <w:multiLevelType w:val="multilevel"/>
    <w:tmpl w:val="A4C0FEDA"/>
    <w:lvl w:ilvl="0">
      <w:start w:val="1"/>
      <w:numFmt w:val="decimal"/>
      <w:lvlText w:val="%1."/>
      <w:lvlJc w:val="left"/>
      <w:pPr>
        <w:tabs>
          <w:tab w:val="num" w:pos="1418"/>
        </w:tabs>
        <w:ind w:left="0" w:firstLine="0"/>
      </w:pPr>
      <w:rPr>
        <w:rFonts w:ascii="Times New Roman" w:hAnsi="Times New Roman" w:cs="Times New Roman" w:hint="default"/>
        <w:sz w:val="24"/>
        <w:szCs w:val="22"/>
      </w:rPr>
    </w:lvl>
    <w:lvl w:ilvl="1">
      <w:start w:val="1"/>
      <w:numFmt w:val="lowerLetter"/>
      <w:lvlText w:val="%2."/>
      <w:lvlJc w:val="left"/>
      <w:pPr>
        <w:ind w:left="2269" w:hanging="1418"/>
      </w:pPr>
      <w:rPr>
        <w:rFonts w:hint="default"/>
      </w:rPr>
    </w:lvl>
    <w:lvl w:ilvl="2">
      <w:start w:val="1"/>
      <w:numFmt w:val="lowerRoman"/>
      <w:lvlText w:val="%3."/>
      <w:lvlJc w:val="right"/>
      <w:pPr>
        <w:ind w:left="3120" w:hanging="1418"/>
      </w:pPr>
      <w:rPr>
        <w:rFonts w:hint="default"/>
      </w:rPr>
    </w:lvl>
    <w:lvl w:ilvl="3">
      <w:start w:val="1"/>
      <w:numFmt w:val="decimal"/>
      <w:lvlText w:val="%4."/>
      <w:lvlJc w:val="left"/>
      <w:pPr>
        <w:ind w:left="3971" w:hanging="1418"/>
      </w:pPr>
      <w:rPr>
        <w:rFonts w:hint="default"/>
      </w:rPr>
    </w:lvl>
    <w:lvl w:ilvl="4">
      <w:start w:val="1"/>
      <w:numFmt w:val="lowerLetter"/>
      <w:lvlText w:val="%5."/>
      <w:lvlJc w:val="left"/>
      <w:pPr>
        <w:ind w:left="4822" w:hanging="1418"/>
      </w:pPr>
      <w:rPr>
        <w:rFonts w:hint="default"/>
      </w:rPr>
    </w:lvl>
    <w:lvl w:ilvl="5">
      <w:start w:val="1"/>
      <w:numFmt w:val="lowerRoman"/>
      <w:lvlText w:val="%6."/>
      <w:lvlJc w:val="right"/>
      <w:pPr>
        <w:ind w:left="5673" w:hanging="1418"/>
      </w:pPr>
      <w:rPr>
        <w:rFonts w:hint="default"/>
      </w:rPr>
    </w:lvl>
    <w:lvl w:ilvl="6">
      <w:start w:val="1"/>
      <w:numFmt w:val="decimal"/>
      <w:lvlText w:val="%7."/>
      <w:lvlJc w:val="left"/>
      <w:pPr>
        <w:ind w:left="6524" w:hanging="1418"/>
      </w:pPr>
      <w:rPr>
        <w:rFonts w:hint="default"/>
      </w:rPr>
    </w:lvl>
    <w:lvl w:ilvl="7">
      <w:start w:val="1"/>
      <w:numFmt w:val="lowerLetter"/>
      <w:lvlText w:val="%8."/>
      <w:lvlJc w:val="left"/>
      <w:pPr>
        <w:ind w:left="7375" w:hanging="1418"/>
      </w:pPr>
      <w:rPr>
        <w:rFonts w:hint="default"/>
      </w:rPr>
    </w:lvl>
    <w:lvl w:ilvl="8">
      <w:start w:val="1"/>
      <w:numFmt w:val="lowerRoman"/>
      <w:lvlText w:val="%9."/>
      <w:lvlJc w:val="right"/>
      <w:pPr>
        <w:ind w:left="8226" w:hanging="1418"/>
      </w:pPr>
      <w:rPr>
        <w:rFonts w:hint="default"/>
      </w:rPr>
    </w:lvl>
  </w:abstractNum>
  <w:abstractNum w:abstractNumId="28" w15:restartNumberingAfterBreak="0">
    <w:nsid w:val="53F772D5"/>
    <w:multiLevelType w:val="hybridMultilevel"/>
    <w:tmpl w:val="002847E2"/>
    <w:lvl w:ilvl="0" w:tplc="3FC00C00">
      <w:start w:val="1"/>
      <w:numFmt w:val="lowerLetter"/>
      <w:lvlText w:val="%1)"/>
      <w:lvlJc w:val="left"/>
      <w:pPr>
        <w:ind w:left="1637"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42D7DA4"/>
    <w:multiLevelType w:val="hybridMultilevel"/>
    <w:tmpl w:val="B8506C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560161D"/>
    <w:multiLevelType w:val="hybridMultilevel"/>
    <w:tmpl w:val="A1E2D0A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B076B7F"/>
    <w:multiLevelType w:val="hybridMultilevel"/>
    <w:tmpl w:val="32DC7932"/>
    <w:lvl w:ilvl="0" w:tplc="108C4072">
      <w:start w:val="1"/>
      <w:numFmt w:val="decimal"/>
      <w:lvlText w:val="%1."/>
      <w:lvlJc w:val="left"/>
      <w:pPr>
        <w:ind w:left="928" w:hanging="360"/>
      </w:pPr>
      <w:rPr>
        <w:b w:val="0"/>
        <w:i w:val="0"/>
        <w:color w:val="auto"/>
        <w:lang w:val="pt-BR"/>
      </w:rPr>
    </w:lvl>
    <w:lvl w:ilvl="1" w:tplc="FCDAE2C6">
      <w:start w:val="1"/>
      <w:numFmt w:val="lowerLetter"/>
      <w:lvlText w:val="%2)"/>
      <w:lvlJc w:val="left"/>
      <w:pPr>
        <w:ind w:left="1495" w:hanging="360"/>
      </w:pPr>
      <w:rPr>
        <w:rFonts w:hint="default"/>
        <w:b w:val="0"/>
        <w:i/>
        <w:color w:val="auto"/>
      </w:rPr>
    </w:lvl>
    <w:lvl w:ilvl="2" w:tplc="0416001B">
      <w:start w:val="1"/>
      <w:numFmt w:val="lowerRoman"/>
      <w:lvlText w:val="%3."/>
      <w:lvlJc w:val="right"/>
      <w:pPr>
        <w:ind w:left="2160" w:hanging="180"/>
      </w:pPr>
    </w:lvl>
    <w:lvl w:ilvl="3" w:tplc="08160001">
      <w:start w:val="1"/>
      <w:numFmt w:val="bullet"/>
      <w:lvlText w:val=""/>
      <w:lvlJc w:val="left"/>
      <w:pPr>
        <w:ind w:left="2880" w:hanging="360"/>
      </w:pPr>
      <w:rPr>
        <w:rFonts w:ascii="Symbol" w:hAnsi="Symbol" w:hint="default"/>
      </w:r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B4C4CDD"/>
    <w:multiLevelType w:val="hybridMultilevel"/>
    <w:tmpl w:val="D63C3B4A"/>
    <w:lvl w:ilvl="0" w:tplc="CEBA4714">
      <w:start w:val="1"/>
      <w:numFmt w:val="lowerLetter"/>
      <w:lvlText w:val="%1)"/>
      <w:lvlJc w:val="left"/>
      <w:pPr>
        <w:ind w:left="644" w:hanging="360"/>
      </w:pPr>
      <w:rPr>
        <w:rFonts w:hint="default"/>
        <w:b/>
        <w:sz w:val="24"/>
        <w:szCs w:val="24"/>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33" w15:restartNumberingAfterBreak="0">
    <w:nsid w:val="5D9453D1"/>
    <w:multiLevelType w:val="hybridMultilevel"/>
    <w:tmpl w:val="E79AA2B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1622C2C"/>
    <w:multiLevelType w:val="hybridMultilevel"/>
    <w:tmpl w:val="E9A89910"/>
    <w:lvl w:ilvl="0" w:tplc="9BA813C6">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9D0CF3"/>
    <w:multiLevelType w:val="hybridMultilevel"/>
    <w:tmpl w:val="7A8AA542"/>
    <w:lvl w:ilvl="0" w:tplc="FB323B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370784"/>
    <w:multiLevelType w:val="hybridMultilevel"/>
    <w:tmpl w:val="178CAD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9D366B"/>
    <w:multiLevelType w:val="hybridMultilevel"/>
    <w:tmpl w:val="510213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84143D1"/>
    <w:multiLevelType w:val="hybridMultilevel"/>
    <w:tmpl w:val="552ABC62"/>
    <w:lvl w:ilvl="0" w:tplc="B1FCC016">
      <w:start w:val="1"/>
      <w:numFmt w:val="decimal"/>
      <w:lvlText w:val="(%1)"/>
      <w:lvlJc w:val="left"/>
      <w:pPr>
        <w:ind w:left="720" w:hanging="360"/>
      </w:pPr>
      <w:rPr>
        <w:rFonts w:ascii="Calibri" w:eastAsia="Times New Roman" w:hAnsi="Calibri" w:cs="Calibri"/>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9D1541E"/>
    <w:multiLevelType w:val="hybridMultilevel"/>
    <w:tmpl w:val="8416CBFC"/>
    <w:lvl w:ilvl="0" w:tplc="2940BF3A">
      <w:start w:val="1"/>
      <w:numFmt w:val="lowerLetter"/>
      <w:lvlText w:val="%1)"/>
      <w:lvlJc w:val="left"/>
      <w:pPr>
        <w:ind w:left="1070" w:hanging="7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DBE6C1D"/>
    <w:multiLevelType w:val="hybridMultilevel"/>
    <w:tmpl w:val="36F0F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DDC608A"/>
    <w:multiLevelType w:val="hybridMultilevel"/>
    <w:tmpl w:val="D7CA1482"/>
    <w:lvl w:ilvl="0" w:tplc="1A243D74">
      <w:start w:val="1"/>
      <w:numFmt w:val="decimal"/>
      <w:lvlText w:val="(%1)"/>
      <w:lvlJc w:val="left"/>
      <w:pPr>
        <w:ind w:left="720" w:hanging="360"/>
      </w:pPr>
      <w:rPr>
        <w:rFonts w:ascii="Calibri" w:eastAsia="Times New Roman" w:hAnsi="Calibri" w:cs="Calibr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0401238"/>
    <w:multiLevelType w:val="hybridMultilevel"/>
    <w:tmpl w:val="21622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160323D"/>
    <w:multiLevelType w:val="hybridMultilevel"/>
    <w:tmpl w:val="22440F78"/>
    <w:lvl w:ilvl="0" w:tplc="04160013">
      <w:start w:val="1"/>
      <w:numFmt w:val="upperRoman"/>
      <w:lvlText w:val="%1."/>
      <w:lvlJc w:val="righ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44" w15:restartNumberingAfterBreak="0">
    <w:nsid w:val="732C3BE0"/>
    <w:multiLevelType w:val="hybridMultilevel"/>
    <w:tmpl w:val="319ED6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672361C"/>
    <w:multiLevelType w:val="hybridMultilevel"/>
    <w:tmpl w:val="F4B0CEFA"/>
    <w:lvl w:ilvl="0" w:tplc="B294695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D02846"/>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81E7B19"/>
    <w:multiLevelType w:val="hybridMultilevel"/>
    <w:tmpl w:val="69067E88"/>
    <w:lvl w:ilvl="0" w:tplc="AE9C3EB4">
      <w:numFmt w:val="bullet"/>
      <w:lvlText w:val=""/>
      <w:lvlJc w:val="left"/>
      <w:pPr>
        <w:ind w:left="2118" w:hanging="360"/>
      </w:pPr>
      <w:rPr>
        <w:rFonts w:ascii="Wingdings" w:eastAsia="Wingdings" w:hAnsi="Wingdings" w:cs="Wingdings" w:hint="default"/>
        <w:w w:val="100"/>
        <w:sz w:val="22"/>
        <w:szCs w:val="22"/>
        <w:lang w:val="pt-PT" w:eastAsia="en-US" w:bidi="ar-SA"/>
      </w:rPr>
    </w:lvl>
    <w:lvl w:ilvl="1" w:tplc="E4DC7D58">
      <w:numFmt w:val="bullet"/>
      <w:lvlText w:val="•"/>
      <w:lvlJc w:val="left"/>
      <w:pPr>
        <w:ind w:left="3020" w:hanging="360"/>
      </w:pPr>
      <w:rPr>
        <w:rFonts w:hint="default"/>
        <w:lang w:val="pt-PT" w:eastAsia="en-US" w:bidi="ar-SA"/>
      </w:rPr>
    </w:lvl>
    <w:lvl w:ilvl="2" w:tplc="1C184AF0">
      <w:numFmt w:val="bullet"/>
      <w:lvlText w:val="•"/>
      <w:lvlJc w:val="left"/>
      <w:pPr>
        <w:ind w:left="3920" w:hanging="360"/>
      </w:pPr>
      <w:rPr>
        <w:rFonts w:hint="default"/>
        <w:lang w:val="pt-PT" w:eastAsia="en-US" w:bidi="ar-SA"/>
      </w:rPr>
    </w:lvl>
    <w:lvl w:ilvl="3" w:tplc="46BCEFBC">
      <w:numFmt w:val="bullet"/>
      <w:lvlText w:val="•"/>
      <w:lvlJc w:val="left"/>
      <w:pPr>
        <w:ind w:left="4820" w:hanging="360"/>
      </w:pPr>
      <w:rPr>
        <w:rFonts w:hint="default"/>
        <w:lang w:val="pt-PT" w:eastAsia="en-US" w:bidi="ar-SA"/>
      </w:rPr>
    </w:lvl>
    <w:lvl w:ilvl="4" w:tplc="BD1C81DE">
      <w:numFmt w:val="bullet"/>
      <w:lvlText w:val="•"/>
      <w:lvlJc w:val="left"/>
      <w:pPr>
        <w:ind w:left="5720" w:hanging="360"/>
      </w:pPr>
      <w:rPr>
        <w:rFonts w:hint="default"/>
        <w:lang w:val="pt-PT" w:eastAsia="en-US" w:bidi="ar-SA"/>
      </w:rPr>
    </w:lvl>
    <w:lvl w:ilvl="5" w:tplc="96523094">
      <w:numFmt w:val="bullet"/>
      <w:lvlText w:val="•"/>
      <w:lvlJc w:val="left"/>
      <w:pPr>
        <w:ind w:left="6620" w:hanging="360"/>
      </w:pPr>
      <w:rPr>
        <w:rFonts w:hint="default"/>
        <w:lang w:val="pt-PT" w:eastAsia="en-US" w:bidi="ar-SA"/>
      </w:rPr>
    </w:lvl>
    <w:lvl w:ilvl="6" w:tplc="2856D76C">
      <w:numFmt w:val="bullet"/>
      <w:lvlText w:val="•"/>
      <w:lvlJc w:val="left"/>
      <w:pPr>
        <w:ind w:left="7520" w:hanging="360"/>
      </w:pPr>
      <w:rPr>
        <w:rFonts w:hint="default"/>
        <w:lang w:val="pt-PT" w:eastAsia="en-US" w:bidi="ar-SA"/>
      </w:rPr>
    </w:lvl>
    <w:lvl w:ilvl="7" w:tplc="0B307206">
      <w:numFmt w:val="bullet"/>
      <w:lvlText w:val="•"/>
      <w:lvlJc w:val="left"/>
      <w:pPr>
        <w:ind w:left="8420" w:hanging="360"/>
      </w:pPr>
      <w:rPr>
        <w:rFonts w:hint="default"/>
        <w:lang w:val="pt-PT" w:eastAsia="en-US" w:bidi="ar-SA"/>
      </w:rPr>
    </w:lvl>
    <w:lvl w:ilvl="8" w:tplc="C8A87708">
      <w:numFmt w:val="bullet"/>
      <w:lvlText w:val="•"/>
      <w:lvlJc w:val="left"/>
      <w:pPr>
        <w:ind w:left="9320" w:hanging="360"/>
      </w:pPr>
      <w:rPr>
        <w:rFonts w:hint="default"/>
        <w:lang w:val="pt-PT" w:eastAsia="en-US" w:bidi="ar-SA"/>
      </w:rPr>
    </w:lvl>
  </w:abstractNum>
  <w:abstractNum w:abstractNumId="48" w15:restartNumberingAfterBreak="0">
    <w:nsid w:val="7CE7090E"/>
    <w:multiLevelType w:val="hybridMultilevel"/>
    <w:tmpl w:val="299813CE"/>
    <w:lvl w:ilvl="0" w:tplc="9AE8422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E891B70"/>
    <w:multiLevelType w:val="hybridMultilevel"/>
    <w:tmpl w:val="7BDC4CA6"/>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81388328">
    <w:abstractNumId w:val="28"/>
  </w:num>
  <w:num w:numId="2" w16cid:durableId="1086808624">
    <w:abstractNumId w:val="0"/>
  </w:num>
  <w:num w:numId="3" w16cid:durableId="1591619943">
    <w:abstractNumId w:val="34"/>
  </w:num>
  <w:num w:numId="4" w16cid:durableId="1892569622">
    <w:abstractNumId w:val="13"/>
  </w:num>
  <w:num w:numId="5" w16cid:durableId="1517379008">
    <w:abstractNumId w:val="32"/>
  </w:num>
  <w:num w:numId="6" w16cid:durableId="1655571118">
    <w:abstractNumId w:val="5"/>
  </w:num>
  <w:num w:numId="7" w16cid:durableId="1831366460">
    <w:abstractNumId w:val="11"/>
  </w:num>
  <w:num w:numId="8" w16cid:durableId="499850603">
    <w:abstractNumId w:val="24"/>
  </w:num>
  <w:num w:numId="9" w16cid:durableId="302928208">
    <w:abstractNumId w:val="7"/>
  </w:num>
  <w:num w:numId="10" w16cid:durableId="1084454203">
    <w:abstractNumId w:val="1"/>
  </w:num>
  <w:num w:numId="11" w16cid:durableId="171335512">
    <w:abstractNumId w:val="44"/>
  </w:num>
  <w:num w:numId="12" w16cid:durableId="1425878909">
    <w:abstractNumId w:val="9"/>
  </w:num>
  <w:num w:numId="13" w16cid:durableId="2081364312">
    <w:abstractNumId w:val="37"/>
  </w:num>
  <w:num w:numId="14" w16cid:durableId="1498838579">
    <w:abstractNumId w:val="15"/>
  </w:num>
  <w:num w:numId="15" w16cid:durableId="606422718">
    <w:abstractNumId w:val="2"/>
  </w:num>
  <w:num w:numId="16" w16cid:durableId="125898462">
    <w:abstractNumId w:val="46"/>
  </w:num>
  <w:num w:numId="17" w16cid:durableId="1920406440">
    <w:abstractNumId w:val="29"/>
  </w:num>
  <w:num w:numId="18" w16cid:durableId="1591230553">
    <w:abstractNumId w:val="16"/>
  </w:num>
  <w:num w:numId="19" w16cid:durableId="1203857817">
    <w:abstractNumId w:val="20"/>
  </w:num>
  <w:num w:numId="20" w16cid:durableId="208999042">
    <w:abstractNumId w:val="35"/>
  </w:num>
  <w:num w:numId="21" w16cid:durableId="1582177780">
    <w:abstractNumId w:val="38"/>
  </w:num>
  <w:num w:numId="22" w16cid:durableId="902253665">
    <w:abstractNumId w:val="27"/>
  </w:num>
  <w:num w:numId="23" w16cid:durableId="442580401">
    <w:abstractNumId w:val="31"/>
  </w:num>
  <w:num w:numId="24" w16cid:durableId="9719001">
    <w:abstractNumId w:val="26"/>
  </w:num>
  <w:num w:numId="25" w16cid:durableId="1882090611">
    <w:abstractNumId w:val="49"/>
  </w:num>
  <w:num w:numId="26" w16cid:durableId="2015376262">
    <w:abstractNumId w:val="4"/>
  </w:num>
  <w:num w:numId="27" w16cid:durableId="702635355">
    <w:abstractNumId w:val="47"/>
  </w:num>
  <w:num w:numId="28" w16cid:durableId="997422967">
    <w:abstractNumId w:val="33"/>
  </w:num>
  <w:num w:numId="29" w16cid:durableId="1565406833">
    <w:abstractNumId w:val="23"/>
  </w:num>
  <w:num w:numId="30" w16cid:durableId="1737820028">
    <w:abstractNumId w:val="8"/>
  </w:num>
  <w:num w:numId="31" w16cid:durableId="521825737">
    <w:abstractNumId w:val="25"/>
  </w:num>
  <w:num w:numId="32" w16cid:durableId="774833058">
    <w:abstractNumId w:val="21"/>
  </w:num>
  <w:num w:numId="33" w16cid:durableId="1243639589">
    <w:abstractNumId w:val="48"/>
  </w:num>
  <w:num w:numId="34" w16cid:durableId="319702165">
    <w:abstractNumId w:val="19"/>
  </w:num>
  <w:num w:numId="35" w16cid:durableId="1190870814">
    <w:abstractNumId w:val="40"/>
  </w:num>
  <w:num w:numId="36" w16cid:durableId="1543178518">
    <w:abstractNumId w:val="41"/>
  </w:num>
  <w:num w:numId="37" w16cid:durableId="1943299345">
    <w:abstractNumId w:val="18"/>
  </w:num>
  <w:num w:numId="38" w16cid:durableId="1172456755">
    <w:abstractNumId w:val="6"/>
  </w:num>
  <w:num w:numId="39" w16cid:durableId="133833004">
    <w:abstractNumId w:val="10"/>
  </w:num>
  <w:num w:numId="40" w16cid:durableId="1839153635">
    <w:abstractNumId w:val="36"/>
  </w:num>
  <w:num w:numId="41" w16cid:durableId="2045017107">
    <w:abstractNumId w:val="43"/>
  </w:num>
  <w:num w:numId="42" w16cid:durableId="1113593038">
    <w:abstractNumId w:val="45"/>
  </w:num>
  <w:num w:numId="43" w16cid:durableId="1556283596">
    <w:abstractNumId w:val="42"/>
  </w:num>
  <w:num w:numId="44" w16cid:durableId="1832478380">
    <w:abstractNumId w:val="30"/>
  </w:num>
  <w:num w:numId="45" w16cid:durableId="1099253532">
    <w:abstractNumId w:val="3"/>
  </w:num>
  <w:num w:numId="46" w16cid:durableId="1841312291">
    <w:abstractNumId w:val="12"/>
  </w:num>
  <w:num w:numId="47" w16cid:durableId="979116695">
    <w:abstractNumId w:val="17"/>
  </w:num>
  <w:num w:numId="48" w16cid:durableId="425224601">
    <w:abstractNumId w:val="22"/>
  </w:num>
  <w:num w:numId="49" w16cid:durableId="94255247">
    <w:abstractNumId w:val="39"/>
  </w:num>
  <w:num w:numId="50" w16cid:durableId="84910741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10"/>
    <w:rsid w:val="00000BCA"/>
    <w:rsid w:val="00000C94"/>
    <w:rsid w:val="00000D8F"/>
    <w:rsid w:val="00000E94"/>
    <w:rsid w:val="00001005"/>
    <w:rsid w:val="00001DA8"/>
    <w:rsid w:val="00001F30"/>
    <w:rsid w:val="0000220D"/>
    <w:rsid w:val="000027B2"/>
    <w:rsid w:val="000028C7"/>
    <w:rsid w:val="00002A88"/>
    <w:rsid w:val="00002D60"/>
    <w:rsid w:val="00003029"/>
    <w:rsid w:val="000038B1"/>
    <w:rsid w:val="00004966"/>
    <w:rsid w:val="00004F42"/>
    <w:rsid w:val="000052AC"/>
    <w:rsid w:val="000052BC"/>
    <w:rsid w:val="000052F0"/>
    <w:rsid w:val="00005B4E"/>
    <w:rsid w:val="0000641F"/>
    <w:rsid w:val="000069AD"/>
    <w:rsid w:val="00006A6A"/>
    <w:rsid w:val="00006D0C"/>
    <w:rsid w:val="00007080"/>
    <w:rsid w:val="00007081"/>
    <w:rsid w:val="00007768"/>
    <w:rsid w:val="00007A8B"/>
    <w:rsid w:val="00007B07"/>
    <w:rsid w:val="00007D1F"/>
    <w:rsid w:val="000103EB"/>
    <w:rsid w:val="00010472"/>
    <w:rsid w:val="0001049A"/>
    <w:rsid w:val="00010501"/>
    <w:rsid w:val="00010512"/>
    <w:rsid w:val="000109FB"/>
    <w:rsid w:val="00011AE7"/>
    <w:rsid w:val="0001206F"/>
    <w:rsid w:val="000125DE"/>
    <w:rsid w:val="00012608"/>
    <w:rsid w:val="00012652"/>
    <w:rsid w:val="00012EC4"/>
    <w:rsid w:val="000130F4"/>
    <w:rsid w:val="00013845"/>
    <w:rsid w:val="00013B72"/>
    <w:rsid w:val="00013C66"/>
    <w:rsid w:val="00014143"/>
    <w:rsid w:val="00014224"/>
    <w:rsid w:val="0001425A"/>
    <w:rsid w:val="00014767"/>
    <w:rsid w:val="00014790"/>
    <w:rsid w:val="000148F8"/>
    <w:rsid w:val="00014B09"/>
    <w:rsid w:val="00014BFF"/>
    <w:rsid w:val="00014DC2"/>
    <w:rsid w:val="000154C7"/>
    <w:rsid w:val="000155BF"/>
    <w:rsid w:val="000155FA"/>
    <w:rsid w:val="0001580D"/>
    <w:rsid w:val="000158DC"/>
    <w:rsid w:val="0001598F"/>
    <w:rsid w:val="00016521"/>
    <w:rsid w:val="000168FB"/>
    <w:rsid w:val="00016B69"/>
    <w:rsid w:val="00016D17"/>
    <w:rsid w:val="0002068A"/>
    <w:rsid w:val="00020BA1"/>
    <w:rsid w:val="00020E50"/>
    <w:rsid w:val="00021249"/>
    <w:rsid w:val="00021F17"/>
    <w:rsid w:val="00021FF3"/>
    <w:rsid w:val="00022105"/>
    <w:rsid w:val="00022911"/>
    <w:rsid w:val="000229FA"/>
    <w:rsid w:val="0002316D"/>
    <w:rsid w:val="0002343B"/>
    <w:rsid w:val="00023AC8"/>
    <w:rsid w:val="00023BAC"/>
    <w:rsid w:val="000242FD"/>
    <w:rsid w:val="00024680"/>
    <w:rsid w:val="00024A86"/>
    <w:rsid w:val="00024F2C"/>
    <w:rsid w:val="0002508D"/>
    <w:rsid w:val="0002552A"/>
    <w:rsid w:val="00026171"/>
    <w:rsid w:val="000263D8"/>
    <w:rsid w:val="00026475"/>
    <w:rsid w:val="000264A3"/>
    <w:rsid w:val="00026A12"/>
    <w:rsid w:val="00027791"/>
    <w:rsid w:val="00027F1B"/>
    <w:rsid w:val="00030200"/>
    <w:rsid w:val="00030E8C"/>
    <w:rsid w:val="000311D3"/>
    <w:rsid w:val="000315AE"/>
    <w:rsid w:val="0003160C"/>
    <w:rsid w:val="00031B0F"/>
    <w:rsid w:val="00031BB7"/>
    <w:rsid w:val="00031D94"/>
    <w:rsid w:val="00032764"/>
    <w:rsid w:val="00032CB9"/>
    <w:rsid w:val="00032F3B"/>
    <w:rsid w:val="00033597"/>
    <w:rsid w:val="00033BD9"/>
    <w:rsid w:val="00033DF7"/>
    <w:rsid w:val="00034521"/>
    <w:rsid w:val="00034776"/>
    <w:rsid w:val="00034820"/>
    <w:rsid w:val="00034851"/>
    <w:rsid w:val="00034AA9"/>
    <w:rsid w:val="000358F4"/>
    <w:rsid w:val="000360CF"/>
    <w:rsid w:val="00036234"/>
    <w:rsid w:val="0003643F"/>
    <w:rsid w:val="0003646A"/>
    <w:rsid w:val="00036923"/>
    <w:rsid w:val="000376F3"/>
    <w:rsid w:val="000379C3"/>
    <w:rsid w:val="0004011B"/>
    <w:rsid w:val="000406FC"/>
    <w:rsid w:val="000408D6"/>
    <w:rsid w:val="00040BCF"/>
    <w:rsid w:val="00041155"/>
    <w:rsid w:val="0004117C"/>
    <w:rsid w:val="00042306"/>
    <w:rsid w:val="00042BE5"/>
    <w:rsid w:val="00043892"/>
    <w:rsid w:val="00043EC6"/>
    <w:rsid w:val="00044367"/>
    <w:rsid w:val="00044AC3"/>
    <w:rsid w:val="00044D40"/>
    <w:rsid w:val="0004581F"/>
    <w:rsid w:val="00045C0E"/>
    <w:rsid w:val="00046545"/>
    <w:rsid w:val="00046BF7"/>
    <w:rsid w:val="00046C80"/>
    <w:rsid w:val="0004780C"/>
    <w:rsid w:val="00047DC1"/>
    <w:rsid w:val="00047EC0"/>
    <w:rsid w:val="000500AD"/>
    <w:rsid w:val="000504C2"/>
    <w:rsid w:val="00051335"/>
    <w:rsid w:val="000519D8"/>
    <w:rsid w:val="00052031"/>
    <w:rsid w:val="00052819"/>
    <w:rsid w:val="00052C65"/>
    <w:rsid w:val="00052E9C"/>
    <w:rsid w:val="00053A04"/>
    <w:rsid w:val="00053F40"/>
    <w:rsid w:val="00054133"/>
    <w:rsid w:val="000544A6"/>
    <w:rsid w:val="00054673"/>
    <w:rsid w:val="000547EE"/>
    <w:rsid w:val="0005481F"/>
    <w:rsid w:val="00054CE1"/>
    <w:rsid w:val="00054F4D"/>
    <w:rsid w:val="00055160"/>
    <w:rsid w:val="000551F6"/>
    <w:rsid w:val="0005551A"/>
    <w:rsid w:val="00055773"/>
    <w:rsid w:val="00055904"/>
    <w:rsid w:val="00055F20"/>
    <w:rsid w:val="00056148"/>
    <w:rsid w:val="00056337"/>
    <w:rsid w:val="00056433"/>
    <w:rsid w:val="000568B0"/>
    <w:rsid w:val="00056ED5"/>
    <w:rsid w:val="00056FCB"/>
    <w:rsid w:val="000570AA"/>
    <w:rsid w:val="0005788D"/>
    <w:rsid w:val="00057AF4"/>
    <w:rsid w:val="00057B1E"/>
    <w:rsid w:val="00060221"/>
    <w:rsid w:val="000603DE"/>
    <w:rsid w:val="0006051E"/>
    <w:rsid w:val="00060615"/>
    <w:rsid w:val="00060741"/>
    <w:rsid w:val="00060FC5"/>
    <w:rsid w:val="00061562"/>
    <w:rsid w:val="00061B92"/>
    <w:rsid w:val="0006229F"/>
    <w:rsid w:val="00062DDB"/>
    <w:rsid w:val="00063101"/>
    <w:rsid w:val="000631B6"/>
    <w:rsid w:val="00063344"/>
    <w:rsid w:val="000638C7"/>
    <w:rsid w:val="00063CAF"/>
    <w:rsid w:val="00063D79"/>
    <w:rsid w:val="00063F74"/>
    <w:rsid w:val="000643B0"/>
    <w:rsid w:val="000643FB"/>
    <w:rsid w:val="0006479C"/>
    <w:rsid w:val="0006483C"/>
    <w:rsid w:val="0006516E"/>
    <w:rsid w:val="000656CB"/>
    <w:rsid w:val="000659B3"/>
    <w:rsid w:val="0006608E"/>
    <w:rsid w:val="0006611E"/>
    <w:rsid w:val="00066B19"/>
    <w:rsid w:val="00066BBD"/>
    <w:rsid w:val="000671A8"/>
    <w:rsid w:val="00067272"/>
    <w:rsid w:val="000674F2"/>
    <w:rsid w:val="00067549"/>
    <w:rsid w:val="00067718"/>
    <w:rsid w:val="00067BD4"/>
    <w:rsid w:val="000703BF"/>
    <w:rsid w:val="000704CC"/>
    <w:rsid w:val="00070651"/>
    <w:rsid w:val="0007086A"/>
    <w:rsid w:val="00070945"/>
    <w:rsid w:val="00070966"/>
    <w:rsid w:val="00071445"/>
    <w:rsid w:val="00071652"/>
    <w:rsid w:val="00071C48"/>
    <w:rsid w:val="00071F5E"/>
    <w:rsid w:val="0007275C"/>
    <w:rsid w:val="00072D26"/>
    <w:rsid w:val="00073B49"/>
    <w:rsid w:val="000742C8"/>
    <w:rsid w:val="000746D2"/>
    <w:rsid w:val="00075644"/>
    <w:rsid w:val="0007577E"/>
    <w:rsid w:val="00075AC0"/>
    <w:rsid w:val="000763D7"/>
    <w:rsid w:val="00076C37"/>
    <w:rsid w:val="000771FA"/>
    <w:rsid w:val="000773F2"/>
    <w:rsid w:val="000776EC"/>
    <w:rsid w:val="000776F4"/>
    <w:rsid w:val="00077A22"/>
    <w:rsid w:val="00077D8A"/>
    <w:rsid w:val="00077E62"/>
    <w:rsid w:val="00077EFE"/>
    <w:rsid w:val="00077F70"/>
    <w:rsid w:val="00080C28"/>
    <w:rsid w:val="000814AE"/>
    <w:rsid w:val="00081913"/>
    <w:rsid w:val="00081926"/>
    <w:rsid w:val="00081C95"/>
    <w:rsid w:val="00081F1C"/>
    <w:rsid w:val="00081F5F"/>
    <w:rsid w:val="00082764"/>
    <w:rsid w:val="000827A5"/>
    <w:rsid w:val="00082CED"/>
    <w:rsid w:val="00082F16"/>
    <w:rsid w:val="000832CA"/>
    <w:rsid w:val="0008330B"/>
    <w:rsid w:val="00083534"/>
    <w:rsid w:val="00083A35"/>
    <w:rsid w:val="00083D50"/>
    <w:rsid w:val="00083E15"/>
    <w:rsid w:val="0008493B"/>
    <w:rsid w:val="000849AA"/>
    <w:rsid w:val="00084CAE"/>
    <w:rsid w:val="000853BB"/>
    <w:rsid w:val="00086456"/>
    <w:rsid w:val="00087654"/>
    <w:rsid w:val="00087AFF"/>
    <w:rsid w:val="00087D47"/>
    <w:rsid w:val="00087EAE"/>
    <w:rsid w:val="00087FAB"/>
    <w:rsid w:val="00087FB4"/>
    <w:rsid w:val="00090452"/>
    <w:rsid w:val="000904CF"/>
    <w:rsid w:val="000907E8"/>
    <w:rsid w:val="00090C3E"/>
    <w:rsid w:val="00091613"/>
    <w:rsid w:val="00091DA1"/>
    <w:rsid w:val="000921F9"/>
    <w:rsid w:val="0009226D"/>
    <w:rsid w:val="000924B3"/>
    <w:rsid w:val="00092B32"/>
    <w:rsid w:val="00092CCD"/>
    <w:rsid w:val="00092D86"/>
    <w:rsid w:val="00093156"/>
    <w:rsid w:val="0009413E"/>
    <w:rsid w:val="00094AF6"/>
    <w:rsid w:val="00094E05"/>
    <w:rsid w:val="00094EB5"/>
    <w:rsid w:val="000950F2"/>
    <w:rsid w:val="0009517C"/>
    <w:rsid w:val="000951E8"/>
    <w:rsid w:val="00095830"/>
    <w:rsid w:val="00095F47"/>
    <w:rsid w:val="00096AC9"/>
    <w:rsid w:val="00096B8A"/>
    <w:rsid w:val="00096C2A"/>
    <w:rsid w:val="00096C73"/>
    <w:rsid w:val="00097D2B"/>
    <w:rsid w:val="000A01E5"/>
    <w:rsid w:val="000A0467"/>
    <w:rsid w:val="000A074B"/>
    <w:rsid w:val="000A0FBE"/>
    <w:rsid w:val="000A115F"/>
    <w:rsid w:val="000A1B91"/>
    <w:rsid w:val="000A1BDD"/>
    <w:rsid w:val="000A1E95"/>
    <w:rsid w:val="000A21A6"/>
    <w:rsid w:val="000A287F"/>
    <w:rsid w:val="000A2D28"/>
    <w:rsid w:val="000A2FBC"/>
    <w:rsid w:val="000A35ED"/>
    <w:rsid w:val="000A35FC"/>
    <w:rsid w:val="000A370C"/>
    <w:rsid w:val="000A44A6"/>
    <w:rsid w:val="000A4607"/>
    <w:rsid w:val="000A4AF6"/>
    <w:rsid w:val="000A4C5D"/>
    <w:rsid w:val="000A5021"/>
    <w:rsid w:val="000A5067"/>
    <w:rsid w:val="000A524B"/>
    <w:rsid w:val="000A571A"/>
    <w:rsid w:val="000A58E4"/>
    <w:rsid w:val="000A59F8"/>
    <w:rsid w:val="000A6515"/>
    <w:rsid w:val="000A6C60"/>
    <w:rsid w:val="000A7077"/>
    <w:rsid w:val="000A7290"/>
    <w:rsid w:val="000A786E"/>
    <w:rsid w:val="000A797E"/>
    <w:rsid w:val="000A7AAF"/>
    <w:rsid w:val="000A7B39"/>
    <w:rsid w:val="000B037F"/>
    <w:rsid w:val="000B0C95"/>
    <w:rsid w:val="000B0D56"/>
    <w:rsid w:val="000B1790"/>
    <w:rsid w:val="000B1857"/>
    <w:rsid w:val="000B1B26"/>
    <w:rsid w:val="000B1DB5"/>
    <w:rsid w:val="000B2097"/>
    <w:rsid w:val="000B2278"/>
    <w:rsid w:val="000B251D"/>
    <w:rsid w:val="000B2533"/>
    <w:rsid w:val="000B2874"/>
    <w:rsid w:val="000B2E26"/>
    <w:rsid w:val="000B2E29"/>
    <w:rsid w:val="000B2ED9"/>
    <w:rsid w:val="000B2F24"/>
    <w:rsid w:val="000B33CC"/>
    <w:rsid w:val="000B364F"/>
    <w:rsid w:val="000B38C8"/>
    <w:rsid w:val="000B3937"/>
    <w:rsid w:val="000B3A75"/>
    <w:rsid w:val="000B3BA2"/>
    <w:rsid w:val="000B3E29"/>
    <w:rsid w:val="000B4020"/>
    <w:rsid w:val="000B422E"/>
    <w:rsid w:val="000B4253"/>
    <w:rsid w:val="000B473C"/>
    <w:rsid w:val="000B47F9"/>
    <w:rsid w:val="000B4EB0"/>
    <w:rsid w:val="000B4F11"/>
    <w:rsid w:val="000B4F14"/>
    <w:rsid w:val="000B531C"/>
    <w:rsid w:val="000B56DF"/>
    <w:rsid w:val="000B5B0A"/>
    <w:rsid w:val="000B5CEA"/>
    <w:rsid w:val="000B6302"/>
    <w:rsid w:val="000B6330"/>
    <w:rsid w:val="000B6539"/>
    <w:rsid w:val="000B6763"/>
    <w:rsid w:val="000B6F1A"/>
    <w:rsid w:val="000B74B9"/>
    <w:rsid w:val="000B79FA"/>
    <w:rsid w:val="000B7C3B"/>
    <w:rsid w:val="000B7ECF"/>
    <w:rsid w:val="000C0004"/>
    <w:rsid w:val="000C0051"/>
    <w:rsid w:val="000C0099"/>
    <w:rsid w:val="000C00AB"/>
    <w:rsid w:val="000C05F8"/>
    <w:rsid w:val="000C065B"/>
    <w:rsid w:val="000C076B"/>
    <w:rsid w:val="000C0A54"/>
    <w:rsid w:val="000C0D09"/>
    <w:rsid w:val="000C0E1C"/>
    <w:rsid w:val="000C0E8D"/>
    <w:rsid w:val="000C106E"/>
    <w:rsid w:val="000C1363"/>
    <w:rsid w:val="000C1625"/>
    <w:rsid w:val="000C1923"/>
    <w:rsid w:val="000C194A"/>
    <w:rsid w:val="000C1A6D"/>
    <w:rsid w:val="000C2E06"/>
    <w:rsid w:val="000C32A1"/>
    <w:rsid w:val="000C3310"/>
    <w:rsid w:val="000C379A"/>
    <w:rsid w:val="000C384D"/>
    <w:rsid w:val="000C3A2F"/>
    <w:rsid w:val="000C3C86"/>
    <w:rsid w:val="000C3D09"/>
    <w:rsid w:val="000C3E4F"/>
    <w:rsid w:val="000C3EA9"/>
    <w:rsid w:val="000C3FEE"/>
    <w:rsid w:val="000C41E8"/>
    <w:rsid w:val="000C469B"/>
    <w:rsid w:val="000C4C87"/>
    <w:rsid w:val="000C4E07"/>
    <w:rsid w:val="000C506A"/>
    <w:rsid w:val="000C5384"/>
    <w:rsid w:val="000C54C6"/>
    <w:rsid w:val="000C5879"/>
    <w:rsid w:val="000C6213"/>
    <w:rsid w:val="000C6952"/>
    <w:rsid w:val="000C6F93"/>
    <w:rsid w:val="000C71AB"/>
    <w:rsid w:val="000C7386"/>
    <w:rsid w:val="000C7886"/>
    <w:rsid w:val="000C7926"/>
    <w:rsid w:val="000C7A67"/>
    <w:rsid w:val="000D054F"/>
    <w:rsid w:val="000D0CB4"/>
    <w:rsid w:val="000D11E6"/>
    <w:rsid w:val="000D121E"/>
    <w:rsid w:val="000D171F"/>
    <w:rsid w:val="000D1C0E"/>
    <w:rsid w:val="000D2FD4"/>
    <w:rsid w:val="000D3277"/>
    <w:rsid w:val="000D32E0"/>
    <w:rsid w:val="000D3626"/>
    <w:rsid w:val="000D44CE"/>
    <w:rsid w:val="000D4C7E"/>
    <w:rsid w:val="000D56B1"/>
    <w:rsid w:val="000D5724"/>
    <w:rsid w:val="000D59FC"/>
    <w:rsid w:val="000D5E38"/>
    <w:rsid w:val="000D65C1"/>
    <w:rsid w:val="000D6720"/>
    <w:rsid w:val="000D7127"/>
    <w:rsid w:val="000D730B"/>
    <w:rsid w:val="000D7318"/>
    <w:rsid w:val="000D74D4"/>
    <w:rsid w:val="000E00FF"/>
    <w:rsid w:val="000E11E4"/>
    <w:rsid w:val="000E2F7F"/>
    <w:rsid w:val="000E350F"/>
    <w:rsid w:val="000E3604"/>
    <w:rsid w:val="000E37CB"/>
    <w:rsid w:val="000E3C01"/>
    <w:rsid w:val="000E3E4E"/>
    <w:rsid w:val="000E42E0"/>
    <w:rsid w:val="000E534A"/>
    <w:rsid w:val="000E5694"/>
    <w:rsid w:val="000E57F2"/>
    <w:rsid w:val="000E5D93"/>
    <w:rsid w:val="000E606F"/>
    <w:rsid w:val="000E6508"/>
    <w:rsid w:val="000E663C"/>
    <w:rsid w:val="000E687D"/>
    <w:rsid w:val="000E693F"/>
    <w:rsid w:val="000E76F7"/>
    <w:rsid w:val="000F0F31"/>
    <w:rsid w:val="000F1298"/>
    <w:rsid w:val="000F13E3"/>
    <w:rsid w:val="000F149C"/>
    <w:rsid w:val="000F23AF"/>
    <w:rsid w:val="000F2AF3"/>
    <w:rsid w:val="000F37A3"/>
    <w:rsid w:val="000F3CD4"/>
    <w:rsid w:val="000F3FB5"/>
    <w:rsid w:val="000F4409"/>
    <w:rsid w:val="000F4827"/>
    <w:rsid w:val="000F4A6F"/>
    <w:rsid w:val="000F4B0D"/>
    <w:rsid w:val="000F4DEB"/>
    <w:rsid w:val="000F4E1E"/>
    <w:rsid w:val="000F548D"/>
    <w:rsid w:val="000F5A2D"/>
    <w:rsid w:val="000F5E21"/>
    <w:rsid w:val="000F5F74"/>
    <w:rsid w:val="000F63D0"/>
    <w:rsid w:val="000F651F"/>
    <w:rsid w:val="000F6782"/>
    <w:rsid w:val="000F6924"/>
    <w:rsid w:val="000F6A87"/>
    <w:rsid w:val="000F6B94"/>
    <w:rsid w:val="000F6BE9"/>
    <w:rsid w:val="000F6F4C"/>
    <w:rsid w:val="000F6F9D"/>
    <w:rsid w:val="000F7362"/>
    <w:rsid w:val="000F7BD9"/>
    <w:rsid w:val="00100270"/>
    <w:rsid w:val="0010105F"/>
    <w:rsid w:val="001011FD"/>
    <w:rsid w:val="001018CD"/>
    <w:rsid w:val="001018D3"/>
    <w:rsid w:val="00101B21"/>
    <w:rsid w:val="001029DA"/>
    <w:rsid w:val="00103104"/>
    <w:rsid w:val="00103490"/>
    <w:rsid w:val="0010352A"/>
    <w:rsid w:val="0010489B"/>
    <w:rsid w:val="00105561"/>
    <w:rsid w:val="00105C34"/>
    <w:rsid w:val="00105C7D"/>
    <w:rsid w:val="00105DA1"/>
    <w:rsid w:val="00106049"/>
    <w:rsid w:val="001061C7"/>
    <w:rsid w:val="001067A5"/>
    <w:rsid w:val="00106A38"/>
    <w:rsid w:val="00106C73"/>
    <w:rsid w:val="00106DEC"/>
    <w:rsid w:val="00106EB8"/>
    <w:rsid w:val="00107366"/>
    <w:rsid w:val="0010770E"/>
    <w:rsid w:val="00107845"/>
    <w:rsid w:val="0011006A"/>
    <w:rsid w:val="001105D5"/>
    <w:rsid w:val="00110D88"/>
    <w:rsid w:val="001110A6"/>
    <w:rsid w:val="001112A6"/>
    <w:rsid w:val="0011134F"/>
    <w:rsid w:val="0011140B"/>
    <w:rsid w:val="0011141B"/>
    <w:rsid w:val="001119D5"/>
    <w:rsid w:val="00111D18"/>
    <w:rsid w:val="001123E3"/>
    <w:rsid w:val="0011284B"/>
    <w:rsid w:val="00112906"/>
    <w:rsid w:val="00112A07"/>
    <w:rsid w:val="00112A99"/>
    <w:rsid w:val="00112B54"/>
    <w:rsid w:val="00113232"/>
    <w:rsid w:val="00113665"/>
    <w:rsid w:val="00113737"/>
    <w:rsid w:val="0011412D"/>
    <w:rsid w:val="00114D37"/>
    <w:rsid w:val="00114D4F"/>
    <w:rsid w:val="00114D87"/>
    <w:rsid w:val="00114E9F"/>
    <w:rsid w:val="00115882"/>
    <w:rsid w:val="001159E0"/>
    <w:rsid w:val="00116109"/>
    <w:rsid w:val="00116122"/>
    <w:rsid w:val="00116254"/>
    <w:rsid w:val="00116DCC"/>
    <w:rsid w:val="0011700E"/>
    <w:rsid w:val="0011745C"/>
    <w:rsid w:val="0011767A"/>
    <w:rsid w:val="00117714"/>
    <w:rsid w:val="00117D45"/>
    <w:rsid w:val="00117DE2"/>
    <w:rsid w:val="001200B5"/>
    <w:rsid w:val="001200FD"/>
    <w:rsid w:val="00120126"/>
    <w:rsid w:val="0012030D"/>
    <w:rsid w:val="001205E1"/>
    <w:rsid w:val="00120CA0"/>
    <w:rsid w:val="001210A7"/>
    <w:rsid w:val="001215A2"/>
    <w:rsid w:val="0012161D"/>
    <w:rsid w:val="00121A13"/>
    <w:rsid w:val="00121D3E"/>
    <w:rsid w:val="001222D9"/>
    <w:rsid w:val="001222F4"/>
    <w:rsid w:val="0012289E"/>
    <w:rsid w:val="001228A7"/>
    <w:rsid w:val="00122C48"/>
    <w:rsid w:val="00122E30"/>
    <w:rsid w:val="0012428D"/>
    <w:rsid w:val="00124C6A"/>
    <w:rsid w:val="00125016"/>
    <w:rsid w:val="00125124"/>
    <w:rsid w:val="00125959"/>
    <w:rsid w:val="001266A0"/>
    <w:rsid w:val="00126B46"/>
    <w:rsid w:val="00126EC2"/>
    <w:rsid w:val="00126EFA"/>
    <w:rsid w:val="00127E88"/>
    <w:rsid w:val="0013029F"/>
    <w:rsid w:val="0013088C"/>
    <w:rsid w:val="00130BAF"/>
    <w:rsid w:val="001316AB"/>
    <w:rsid w:val="001317E8"/>
    <w:rsid w:val="0013183F"/>
    <w:rsid w:val="001318FE"/>
    <w:rsid w:val="00131D9C"/>
    <w:rsid w:val="00131E8C"/>
    <w:rsid w:val="00132B17"/>
    <w:rsid w:val="00132BE2"/>
    <w:rsid w:val="00132E80"/>
    <w:rsid w:val="00133D80"/>
    <w:rsid w:val="00133F09"/>
    <w:rsid w:val="001347FC"/>
    <w:rsid w:val="00134CB9"/>
    <w:rsid w:val="001351E9"/>
    <w:rsid w:val="001357D8"/>
    <w:rsid w:val="00135B5A"/>
    <w:rsid w:val="00136016"/>
    <w:rsid w:val="001361A2"/>
    <w:rsid w:val="00136585"/>
    <w:rsid w:val="001367CA"/>
    <w:rsid w:val="00136BED"/>
    <w:rsid w:val="00136D17"/>
    <w:rsid w:val="00136FB8"/>
    <w:rsid w:val="00137200"/>
    <w:rsid w:val="0013739E"/>
    <w:rsid w:val="0014006B"/>
    <w:rsid w:val="00140109"/>
    <w:rsid w:val="001402F7"/>
    <w:rsid w:val="001404C6"/>
    <w:rsid w:val="001408D6"/>
    <w:rsid w:val="00140954"/>
    <w:rsid w:val="00140FB0"/>
    <w:rsid w:val="00141E08"/>
    <w:rsid w:val="00142321"/>
    <w:rsid w:val="0014249E"/>
    <w:rsid w:val="00142948"/>
    <w:rsid w:val="00142CB0"/>
    <w:rsid w:val="001439AF"/>
    <w:rsid w:val="001439E4"/>
    <w:rsid w:val="00143B02"/>
    <w:rsid w:val="00143DEB"/>
    <w:rsid w:val="001441C4"/>
    <w:rsid w:val="00144B36"/>
    <w:rsid w:val="00144DC2"/>
    <w:rsid w:val="001450C5"/>
    <w:rsid w:val="00145950"/>
    <w:rsid w:val="00145B35"/>
    <w:rsid w:val="00145F6B"/>
    <w:rsid w:val="00146133"/>
    <w:rsid w:val="001461CC"/>
    <w:rsid w:val="0014651E"/>
    <w:rsid w:val="00146CCC"/>
    <w:rsid w:val="00146DAB"/>
    <w:rsid w:val="00147218"/>
    <w:rsid w:val="00147349"/>
    <w:rsid w:val="00150B13"/>
    <w:rsid w:val="00150B2A"/>
    <w:rsid w:val="00150DED"/>
    <w:rsid w:val="0015160D"/>
    <w:rsid w:val="00151753"/>
    <w:rsid w:val="00151B18"/>
    <w:rsid w:val="00152A45"/>
    <w:rsid w:val="00152E49"/>
    <w:rsid w:val="001533D4"/>
    <w:rsid w:val="00154397"/>
    <w:rsid w:val="001548FD"/>
    <w:rsid w:val="00154A1F"/>
    <w:rsid w:val="00154C95"/>
    <w:rsid w:val="00154CCF"/>
    <w:rsid w:val="00154CED"/>
    <w:rsid w:val="00154E18"/>
    <w:rsid w:val="00155537"/>
    <w:rsid w:val="0015581A"/>
    <w:rsid w:val="00155D97"/>
    <w:rsid w:val="001569E1"/>
    <w:rsid w:val="00156ACF"/>
    <w:rsid w:val="0015707F"/>
    <w:rsid w:val="0015792C"/>
    <w:rsid w:val="001601D7"/>
    <w:rsid w:val="0016035D"/>
    <w:rsid w:val="0016042D"/>
    <w:rsid w:val="001607F0"/>
    <w:rsid w:val="0016151E"/>
    <w:rsid w:val="00162655"/>
    <w:rsid w:val="00162A04"/>
    <w:rsid w:val="00162BC2"/>
    <w:rsid w:val="001637F9"/>
    <w:rsid w:val="00163817"/>
    <w:rsid w:val="00163A22"/>
    <w:rsid w:val="00163C69"/>
    <w:rsid w:val="00163D87"/>
    <w:rsid w:val="00163DF4"/>
    <w:rsid w:val="00163E2A"/>
    <w:rsid w:val="00163EFE"/>
    <w:rsid w:val="00164619"/>
    <w:rsid w:val="00164FDD"/>
    <w:rsid w:val="00165005"/>
    <w:rsid w:val="00165709"/>
    <w:rsid w:val="00166692"/>
    <w:rsid w:val="00166E77"/>
    <w:rsid w:val="00166FF6"/>
    <w:rsid w:val="001671F2"/>
    <w:rsid w:val="001676EA"/>
    <w:rsid w:val="001679D7"/>
    <w:rsid w:val="00167CD7"/>
    <w:rsid w:val="0017010D"/>
    <w:rsid w:val="00170575"/>
    <w:rsid w:val="0017183F"/>
    <w:rsid w:val="00171CB8"/>
    <w:rsid w:val="00171DF3"/>
    <w:rsid w:val="00172411"/>
    <w:rsid w:val="00172964"/>
    <w:rsid w:val="00172DC1"/>
    <w:rsid w:val="00173084"/>
    <w:rsid w:val="0017323E"/>
    <w:rsid w:val="00173907"/>
    <w:rsid w:val="00173B29"/>
    <w:rsid w:val="00173C0E"/>
    <w:rsid w:val="00173EAD"/>
    <w:rsid w:val="00174075"/>
    <w:rsid w:val="001740BF"/>
    <w:rsid w:val="001743C1"/>
    <w:rsid w:val="00174649"/>
    <w:rsid w:val="00174797"/>
    <w:rsid w:val="00174A5A"/>
    <w:rsid w:val="00175268"/>
    <w:rsid w:val="001757E0"/>
    <w:rsid w:val="00175D0A"/>
    <w:rsid w:val="00175E06"/>
    <w:rsid w:val="0017635C"/>
    <w:rsid w:val="00176457"/>
    <w:rsid w:val="0017653C"/>
    <w:rsid w:val="001768B3"/>
    <w:rsid w:val="00176D93"/>
    <w:rsid w:val="00176F52"/>
    <w:rsid w:val="00177614"/>
    <w:rsid w:val="00177E04"/>
    <w:rsid w:val="00177E27"/>
    <w:rsid w:val="00177F9D"/>
    <w:rsid w:val="001806AA"/>
    <w:rsid w:val="0018078C"/>
    <w:rsid w:val="00180AD7"/>
    <w:rsid w:val="00180B0D"/>
    <w:rsid w:val="00181017"/>
    <w:rsid w:val="00181180"/>
    <w:rsid w:val="001812E4"/>
    <w:rsid w:val="0018138D"/>
    <w:rsid w:val="00182A74"/>
    <w:rsid w:val="00183135"/>
    <w:rsid w:val="00183372"/>
    <w:rsid w:val="00183671"/>
    <w:rsid w:val="00183775"/>
    <w:rsid w:val="00183F5C"/>
    <w:rsid w:val="001857C6"/>
    <w:rsid w:val="00185C18"/>
    <w:rsid w:val="00185E32"/>
    <w:rsid w:val="00185F0A"/>
    <w:rsid w:val="00186216"/>
    <w:rsid w:val="001874E5"/>
    <w:rsid w:val="00190DE0"/>
    <w:rsid w:val="00190FDC"/>
    <w:rsid w:val="001913F9"/>
    <w:rsid w:val="001916AC"/>
    <w:rsid w:val="0019182A"/>
    <w:rsid w:val="00191B93"/>
    <w:rsid w:val="001921EC"/>
    <w:rsid w:val="0019250E"/>
    <w:rsid w:val="0019262B"/>
    <w:rsid w:val="0019284B"/>
    <w:rsid w:val="00192DEB"/>
    <w:rsid w:val="001930C7"/>
    <w:rsid w:val="00193122"/>
    <w:rsid w:val="001939E2"/>
    <w:rsid w:val="00194AAA"/>
    <w:rsid w:val="00195407"/>
    <w:rsid w:val="00195CC2"/>
    <w:rsid w:val="00195DA3"/>
    <w:rsid w:val="001965A7"/>
    <w:rsid w:val="00196BF6"/>
    <w:rsid w:val="00196C03"/>
    <w:rsid w:val="00196DD8"/>
    <w:rsid w:val="00197436"/>
    <w:rsid w:val="001A0376"/>
    <w:rsid w:val="001A04A6"/>
    <w:rsid w:val="001A0CAF"/>
    <w:rsid w:val="001A0EF1"/>
    <w:rsid w:val="001A10D4"/>
    <w:rsid w:val="001A123C"/>
    <w:rsid w:val="001A168A"/>
    <w:rsid w:val="001A1797"/>
    <w:rsid w:val="001A1B68"/>
    <w:rsid w:val="001A1C65"/>
    <w:rsid w:val="001A1CF6"/>
    <w:rsid w:val="001A1F83"/>
    <w:rsid w:val="001A2044"/>
    <w:rsid w:val="001A21B2"/>
    <w:rsid w:val="001A234E"/>
    <w:rsid w:val="001A26F3"/>
    <w:rsid w:val="001A272B"/>
    <w:rsid w:val="001A2EA3"/>
    <w:rsid w:val="001A2EAF"/>
    <w:rsid w:val="001A302C"/>
    <w:rsid w:val="001A3B64"/>
    <w:rsid w:val="001A3D8C"/>
    <w:rsid w:val="001A41A2"/>
    <w:rsid w:val="001A43E3"/>
    <w:rsid w:val="001A483A"/>
    <w:rsid w:val="001A4852"/>
    <w:rsid w:val="001A4BBF"/>
    <w:rsid w:val="001A535A"/>
    <w:rsid w:val="001A5E52"/>
    <w:rsid w:val="001A5FD6"/>
    <w:rsid w:val="001A6963"/>
    <w:rsid w:val="001A6BF8"/>
    <w:rsid w:val="001A70B7"/>
    <w:rsid w:val="001A72BC"/>
    <w:rsid w:val="001A752B"/>
    <w:rsid w:val="001A77BC"/>
    <w:rsid w:val="001A7B58"/>
    <w:rsid w:val="001B00D0"/>
    <w:rsid w:val="001B0B17"/>
    <w:rsid w:val="001B1192"/>
    <w:rsid w:val="001B173F"/>
    <w:rsid w:val="001B1772"/>
    <w:rsid w:val="001B1F8A"/>
    <w:rsid w:val="001B21E9"/>
    <w:rsid w:val="001B2272"/>
    <w:rsid w:val="001B2304"/>
    <w:rsid w:val="001B2742"/>
    <w:rsid w:val="001B35AA"/>
    <w:rsid w:val="001B4261"/>
    <w:rsid w:val="001B4C75"/>
    <w:rsid w:val="001B4D2D"/>
    <w:rsid w:val="001B6529"/>
    <w:rsid w:val="001B6717"/>
    <w:rsid w:val="001B68CD"/>
    <w:rsid w:val="001B6974"/>
    <w:rsid w:val="001B71DD"/>
    <w:rsid w:val="001B7279"/>
    <w:rsid w:val="001B7584"/>
    <w:rsid w:val="001B75DC"/>
    <w:rsid w:val="001B7C68"/>
    <w:rsid w:val="001C028C"/>
    <w:rsid w:val="001C053F"/>
    <w:rsid w:val="001C0967"/>
    <w:rsid w:val="001C0BA4"/>
    <w:rsid w:val="001C0E9A"/>
    <w:rsid w:val="001C0F3A"/>
    <w:rsid w:val="001C0F8D"/>
    <w:rsid w:val="001C14BC"/>
    <w:rsid w:val="001C1837"/>
    <w:rsid w:val="001C1894"/>
    <w:rsid w:val="001C18A1"/>
    <w:rsid w:val="001C1DE6"/>
    <w:rsid w:val="001C2098"/>
    <w:rsid w:val="001C23DF"/>
    <w:rsid w:val="001C243D"/>
    <w:rsid w:val="001C26DB"/>
    <w:rsid w:val="001C28F6"/>
    <w:rsid w:val="001C2FA9"/>
    <w:rsid w:val="001C325F"/>
    <w:rsid w:val="001C3941"/>
    <w:rsid w:val="001C3A9B"/>
    <w:rsid w:val="001C4098"/>
    <w:rsid w:val="001C40C0"/>
    <w:rsid w:val="001C42EC"/>
    <w:rsid w:val="001C4A0D"/>
    <w:rsid w:val="001C4EDD"/>
    <w:rsid w:val="001C4F0C"/>
    <w:rsid w:val="001C5B54"/>
    <w:rsid w:val="001C62D7"/>
    <w:rsid w:val="001C670C"/>
    <w:rsid w:val="001C6B2C"/>
    <w:rsid w:val="001C6FCE"/>
    <w:rsid w:val="001C75AC"/>
    <w:rsid w:val="001C7A28"/>
    <w:rsid w:val="001D09B9"/>
    <w:rsid w:val="001D0C0C"/>
    <w:rsid w:val="001D0E6B"/>
    <w:rsid w:val="001D1411"/>
    <w:rsid w:val="001D14E8"/>
    <w:rsid w:val="001D1606"/>
    <w:rsid w:val="001D1C58"/>
    <w:rsid w:val="001D1CAC"/>
    <w:rsid w:val="001D1EA1"/>
    <w:rsid w:val="001D2085"/>
    <w:rsid w:val="001D3270"/>
    <w:rsid w:val="001D3381"/>
    <w:rsid w:val="001D35B6"/>
    <w:rsid w:val="001D3EB1"/>
    <w:rsid w:val="001D40A3"/>
    <w:rsid w:val="001D4268"/>
    <w:rsid w:val="001D444E"/>
    <w:rsid w:val="001D44A8"/>
    <w:rsid w:val="001D46BE"/>
    <w:rsid w:val="001D4E7F"/>
    <w:rsid w:val="001D5BA5"/>
    <w:rsid w:val="001D5F24"/>
    <w:rsid w:val="001D610C"/>
    <w:rsid w:val="001D633A"/>
    <w:rsid w:val="001D64BE"/>
    <w:rsid w:val="001D64D6"/>
    <w:rsid w:val="001D6DEE"/>
    <w:rsid w:val="001D7313"/>
    <w:rsid w:val="001D7488"/>
    <w:rsid w:val="001D7998"/>
    <w:rsid w:val="001D7A8A"/>
    <w:rsid w:val="001D7AD3"/>
    <w:rsid w:val="001D7AD8"/>
    <w:rsid w:val="001E0396"/>
    <w:rsid w:val="001E040F"/>
    <w:rsid w:val="001E0FF2"/>
    <w:rsid w:val="001E167F"/>
    <w:rsid w:val="001E1E51"/>
    <w:rsid w:val="001E20DD"/>
    <w:rsid w:val="001E211B"/>
    <w:rsid w:val="001E23D5"/>
    <w:rsid w:val="001E241B"/>
    <w:rsid w:val="001E2DAE"/>
    <w:rsid w:val="001E3256"/>
    <w:rsid w:val="001E36F7"/>
    <w:rsid w:val="001E3DF1"/>
    <w:rsid w:val="001E3ED7"/>
    <w:rsid w:val="001E40FA"/>
    <w:rsid w:val="001E42E9"/>
    <w:rsid w:val="001E42FE"/>
    <w:rsid w:val="001E490C"/>
    <w:rsid w:val="001E4F40"/>
    <w:rsid w:val="001E5396"/>
    <w:rsid w:val="001E5826"/>
    <w:rsid w:val="001E608D"/>
    <w:rsid w:val="001E6760"/>
    <w:rsid w:val="001E6C5B"/>
    <w:rsid w:val="001E6C68"/>
    <w:rsid w:val="001E6CBB"/>
    <w:rsid w:val="001E6E1B"/>
    <w:rsid w:val="001E75B4"/>
    <w:rsid w:val="001F03AB"/>
    <w:rsid w:val="001F06D4"/>
    <w:rsid w:val="001F0CF3"/>
    <w:rsid w:val="001F0CFE"/>
    <w:rsid w:val="001F0D6A"/>
    <w:rsid w:val="001F0FCF"/>
    <w:rsid w:val="001F10AA"/>
    <w:rsid w:val="001F11ED"/>
    <w:rsid w:val="001F1375"/>
    <w:rsid w:val="001F13A3"/>
    <w:rsid w:val="001F17F1"/>
    <w:rsid w:val="001F1901"/>
    <w:rsid w:val="001F2206"/>
    <w:rsid w:val="001F2EFA"/>
    <w:rsid w:val="001F3698"/>
    <w:rsid w:val="001F3868"/>
    <w:rsid w:val="001F38E9"/>
    <w:rsid w:val="001F3F30"/>
    <w:rsid w:val="001F3FCD"/>
    <w:rsid w:val="001F460F"/>
    <w:rsid w:val="001F4C5C"/>
    <w:rsid w:val="001F51C1"/>
    <w:rsid w:val="001F53D2"/>
    <w:rsid w:val="001F541A"/>
    <w:rsid w:val="001F5C35"/>
    <w:rsid w:val="001F5F93"/>
    <w:rsid w:val="001F6377"/>
    <w:rsid w:val="001F651A"/>
    <w:rsid w:val="001F6D6C"/>
    <w:rsid w:val="001F7184"/>
    <w:rsid w:val="001F71C1"/>
    <w:rsid w:val="001F736D"/>
    <w:rsid w:val="001F73F1"/>
    <w:rsid w:val="001F7BA0"/>
    <w:rsid w:val="001F7E8C"/>
    <w:rsid w:val="00200519"/>
    <w:rsid w:val="00200DCD"/>
    <w:rsid w:val="00201511"/>
    <w:rsid w:val="00201A02"/>
    <w:rsid w:val="00201C2C"/>
    <w:rsid w:val="00201C3D"/>
    <w:rsid w:val="00201EE1"/>
    <w:rsid w:val="002035D2"/>
    <w:rsid w:val="002038F4"/>
    <w:rsid w:val="002040F2"/>
    <w:rsid w:val="0020443A"/>
    <w:rsid w:val="002045B8"/>
    <w:rsid w:val="0020468B"/>
    <w:rsid w:val="00204A83"/>
    <w:rsid w:val="0020593C"/>
    <w:rsid w:val="00205B43"/>
    <w:rsid w:val="00206344"/>
    <w:rsid w:val="00206364"/>
    <w:rsid w:val="002069FD"/>
    <w:rsid w:val="00206DA0"/>
    <w:rsid w:val="00206DD8"/>
    <w:rsid w:val="00207068"/>
    <w:rsid w:val="00207539"/>
    <w:rsid w:val="00207BDE"/>
    <w:rsid w:val="002101B8"/>
    <w:rsid w:val="00210C76"/>
    <w:rsid w:val="002112E5"/>
    <w:rsid w:val="00211589"/>
    <w:rsid w:val="00211845"/>
    <w:rsid w:val="0021184B"/>
    <w:rsid w:val="00211AAC"/>
    <w:rsid w:val="00211F8E"/>
    <w:rsid w:val="00212750"/>
    <w:rsid w:val="00212DC1"/>
    <w:rsid w:val="00212F6A"/>
    <w:rsid w:val="00212FFB"/>
    <w:rsid w:val="002133DC"/>
    <w:rsid w:val="0021356A"/>
    <w:rsid w:val="00213611"/>
    <w:rsid w:val="002136B7"/>
    <w:rsid w:val="00213900"/>
    <w:rsid w:val="0021398B"/>
    <w:rsid w:val="00214011"/>
    <w:rsid w:val="00214572"/>
    <w:rsid w:val="00214B07"/>
    <w:rsid w:val="00214E87"/>
    <w:rsid w:val="0021502A"/>
    <w:rsid w:val="002151F1"/>
    <w:rsid w:val="00215602"/>
    <w:rsid w:val="002159E4"/>
    <w:rsid w:val="00215A18"/>
    <w:rsid w:val="00215C4F"/>
    <w:rsid w:val="00216251"/>
    <w:rsid w:val="0021659D"/>
    <w:rsid w:val="00216972"/>
    <w:rsid w:val="00216A83"/>
    <w:rsid w:val="00216B28"/>
    <w:rsid w:val="0021723B"/>
    <w:rsid w:val="00217BDF"/>
    <w:rsid w:val="00217D56"/>
    <w:rsid w:val="00217F78"/>
    <w:rsid w:val="00220496"/>
    <w:rsid w:val="00220BEC"/>
    <w:rsid w:val="00220C2C"/>
    <w:rsid w:val="00220FFA"/>
    <w:rsid w:val="002211A7"/>
    <w:rsid w:val="00221212"/>
    <w:rsid w:val="002214A0"/>
    <w:rsid w:val="0022225E"/>
    <w:rsid w:val="002222A8"/>
    <w:rsid w:val="00222360"/>
    <w:rsid w:val="00222415"/>
    <w:rsid w:val="002228D9"/>
    <w:rsid w:val="00222F6D"/>
    <w:rsid w:val="0022360A"/>
    <w:rsid w:val="00223FAA"/>
    <w:rsid w:val="002248C0"/>
    <w:rsid w:val="002249D9"/>
    <w:rsid w:val="00224DCD"/>
    <w:rsid w:val="002258BA"/>
    <w:rsid w:val="00225A1A"/>
    <w:rsid w:val="00225C07"/>
    <w:rsid w:val="00225CBD"/>
    <w:rsid w:val="002261FE"/>
    <w:rsid w:val="0022654B"/>
    <w:rsid w:val="0022655B"/>
    <w:rsid w:val="0022694E"/>
    <w:rsid w:val="00226A56"/>
    <w:rsid w:val="00226A99"/>
    <w:rsid w:val="00226C64"/>
    <w:rsid w:val="00226E66"/>
    <w:rsid w:val="00226EAC"/>
    <w:rsid w:val="00226FF3"/>
    <w:rsid w:val="00227325"/>
    <w:rsid w:val="00227355"/>
    <w:rsid w:val="00227382"/>
    <w:rsid w:val="00230BF7"/>
    <w:rsid w:val="00230E8D"/>
    <w:rsid w:val="00231205"/>
    <w:rsid w:val="00231511"/>
    <w:rsid w:val="00231753"/>
    <w:rsid w:val="00231782"/>
    <w:rsid w:val="00231ED2"/>
    <w:rsid w:val="0023205E"/>
    <w:rsid w:val="00232186"/>
    <w:rsid w:val="002326AF"/>
    <w:rsid w:val="002326FF"/>
    <w:rsid w:val="00232874"/>
    <w:rsid w:val="00232AD1"/>
    <w:rsid w:val="00232D07"/>
    <w:rsid w:val="00232E07"/>
    <w:rsid w:val="00232FB4"/>
    <w:rsid w:val="002338DB"/>
    <w:rsid w:val="002339ED"/>
    <w:rsid w:val="00233C6A"/>
    <w:rsid w:val="00233E70"/>
    <w:rsid w:val="00233EF6"/>
    <w:rsid w:val="00233FD5"/>
    <w:rsid w:val="00234588"/>
    <w:rsid w:val="00234708"/>
    <w:rsid w:val="00234DB1"/>
    <w:rsid w:val="0023562E"/>
    <w:rsid w:val="00235AB6"/>
    <w:rsid w:val="00235B50"/>
    <w:rsid w:val="00235CD9"/>
    <w:rsid w:val="002361C7"/>
    <w:rsid w:val="00236796"/>
    <w:rsid w:val="00236C23"/>
    <w:rsid w:val="00236F77"/>
    <w:rsid w:val="00236FCA"/>
    <w:rsid w:val="00237136"/>
    <w:rsid w:val="0023738D"/>
    <w:rsid w:val="002374E1"/>
    <w:rsid w:val="00237B51"/>
    <w:rsid w:val="00237CC5"/>
    <w:rsid w:val="00237F77"/>
    <w:rsid w:val="0024026F"/>
    <w:rsid w:val="00240330"/>
    <w:rsid w:val="002416B7"/>
    <w:rsid w:val="0024178A"/>
    <w:rsid w:val="00242420"/>
    <w:rsid w:val="00242919"/>
    <w:rsid w:val="00242B31"/>
    <w:rsid w:val="00242BDF"/>
    <w:rsid w:val="00242BE8"/>
    <w:rsid w:val="0024337A"/>
    <w:rsid w:val="002436B6"/>
    <w:rsid w:val="00243B56"/>
    <w:rsid w:val="00244C98"/>
    <w:rsid w:val="00245187"/>
    <w:rsid w:val="0024519B"/>
    <w:rsid w:val="002451CD"/>
    <w:rsid w:val="0024530F"/>
    <w:rsid w:val="00246AA9"/>
    <w:rsid w:val="00246D27"/>
    <w:rsid w:val="00247863"/>
    <w:rsid w:val="002478C4"/>
    <w:rsid w:val="00247BF9"/>
    <w:rsid w:val="00247C09"/>
    <w:rsid w:val="00247E8A"/>
    <w:rsid w:val="002502B3"/>
    <w:rsid w:val="00250E26"/>
    <w:rsid w:val="00250E6B"/>
    <w:rsid w:val="002516D0"/>
    <w:rsid w:val="002517EB"/>
    <w:rsid w:val="00251A3C"/>
    <w:rsid w:val="00251F5E"/>
    <w:rsid w:val="00251F8D"/>
    <w:rsid w:val="00252248"/>
    <w:rsid w:val="0025237E"/>
    <w:rsid w:val="00252608"/>
    <w:rsid w:val="00252AEB"/>
    <w:rsid w:val="00252B13"/>
    <w:rsid w:val="002535EA"/>
    <w:rsid w:val="00253A71"/>
    <w:rsid w:val="00253F1B"/>
    <w:rsid w:val="002540FB"/>
    <w:rsid w:val="0025456B"/>
    <w:rsid w:val="00254E5E"/>
    <w:rsid w:val="002555D4"/>
    <w:rsid w:val="0025580E"/>
    <w:rsid w:val="00255AD7"/>
    <w:rsid w:val="00255F1A"/>
    <w:rsid w:val="0025648E"/>
    <w:rsid w:val="00257E20"/>
    <w:rsid w:val="00260195"/>
    <w:rsid w:val="00260305"/>
    <w:rsid w:val="0026056F"/>
    <w:rsid w:val="00260641"/>
    <w:rsid w:val="002606F1"/>
    <w:rsid w:val="002609C6"/>
    <w:rsid w:val="00261501"/>
    <w:rsid w:val="0026154E"/>
    <w:rsid w:val="00261F53"/>
    <w:rsid w:val="00261F7F"/>
    <w:rsid w:val="00262E1B"/>
    <w:rsid w:val="00262E1E"/>
    <w:rsid w:val="00262FF9"/>
    <w:rsid w:val="00263450"/>
    <w:rsid w:val="00263C8E"/>
    <w:rsid w:val="0026417F"/>
    <w:rsid w:val="00264385"/>
    <w:rsid w:val="002648A6"/>
    <w:rsid w:val="002648FA"/>
    <w:rsid w:val="00265255"/>
    <w:rsid w:val="00265512"/>
    <w:rsid w:val="002656B6"/>
    <w:rsid w:val="002657B8"/>
    <w:rsid w:val="00266798"/>
    <w:rsid w:val="00266AF3"/>
    <w:rsid w:val="00266BD2"/>
    <w:rsid w:val="00267BC1"/>
    <w:rsid w:val="00267F86"/>
    <w:rsid w:val="00270197"/>
    <w:rsid w:val="002702C8"/>
    <w:rsid w:val="00270763"/>
    <w:rsid w:val="00270D71"/>
    <w:rsid w:val="00270FAF"/>
    <w:rsid w:val="00271134"/>
    <w:rsid w:val="0027114A"/>
    <w:rsid w:val="002713FE"/>
    <w:rsid w:val="002719E9"/>
    <w:rsid w:val="002726DB"/>
    <w:rsid w:val="00272E22"/>
    <w:rsid w:val="00272E7B"/>
    <w:rsid w:val="00272EEE"/>
    <w:rsid w:val="002731A4"/>
    <w:rsid w:val="002734B9"/>
    <w:rsid w:val="002734BB"/>
    <w:rsid w:val="002739AF"/>
    <w:rsid w:val="00274477"/>
    <w:rsid w:val="00274BD5"/>
    <w:rsid w:val="00274BF6"/>
    <w:rsid w:val="00274C70"/>
    <w:rsid w:val="00274E7C"/>
    <w:rsid w:val="002750C1"/>
    <w:rsid w:val="0027510E"/>
    <w:rsid w:val="00275FCF"/>
    <w:rsid w:val="002761AA"/>
    <w:rsid w:val="00276EDE"/>
    <w:rsid w:val="00276F7D"/>
    <w:rsid w:val="0027756C"/>
    <w:rsid w:val="00277E5E"/>
    <w:rsid w:val="00280013"/>
    <w:rsid w:val="002802FA"/>
    <w:rsid w:val="00280363"/>
    <w:rsid w:val="00280540"/>
    <w:rsid w:val="00280700"/>
    <w:rsid w:val="0028094F"/>
    <w:rsid w:val="00280ACF"/>
    <w:rsid w:val="00280BC1"/>
    <w:rsid w:val="00280E5D"/>
    <w:rsid w:val="0028115B"/>
    <w:rsid w:val="002812E1"/>
    <w:rsid w:val="00281671"/>
    <w:rsid w:val="002817E0"/>
    <w:rsid w:val="00281AF1"/>
    <w:rsid w:val="00281B3E"/>
    <w:rsid w:val="00282411"/>
    <w:rsid w:val="002827B8"/>
    <w:rsid w:val="00282AD9"/>
    <w:rsid w:val="00282F12"/>
    <w:rsid w:val="0028322A"/>
    <w:rsid w:val="0028336F"/>
    <w:rsid w:val="00283D44"/>
    <w:rsid w:val="00284203"/>
    <w:rsid w:val="0028480F"/>
    <w:rsid w:val="002849F4"/>
    <w:rsid w:val="00285145"/>
    <w:rsid w:val="00285439"/>
    <w:rsid w:val="002855FD"/>
    <w:rsid w:val="00285A54"/>
    <w:rsid w:val="00285DE7"/>
    <w:rsid w:val="00285E1E"/>
    <w:rsid w:val="00285E6B"/>
    <w:rsid w:val="00285EE6"/>
    <w:rsid w:val="00286BB6"/>
    <w:rsid w:val="00286DBD"/>
    <w:rsid w:val="0028745D"/>
    <w:rsid w:val="002901F5"/>
    <w:rsid w:val="00290D2B"/>
    <w:rsid w:val="00291064"/>
    <w:rsid w:val="00291465"/>
    <w:rsid w:val="00291947"/>
    <w:rsid w:val="00291CAC"/>
    <w:rsid w:val="00291D75"/>
    <w:rsid w:val="00291E40"/>
    <w:rsid w:val="00291EC1"/>
    <w:rsid w:val="002924F8"/>
    <w:rsid w:val="00292D0A"/>
    <w:rsid w:val="00292ECC"/>
    <w:rsid w:val="0029312F"/>
    <w:rsid w:val="0029338F"/>
    <w:rsid w:val="0029349B"/>
    <w:rsid w:val="0029391C"/>
    <w:rsid w:val="00293A21"/>
    <w:rsid w:val="00293B33"/>
    <w:rsid w:val="00294296"/>
    <w:rsid w:val="00294423"/>
    <w:rsid w:val="0029463C"/>
    <w:rsid w:val="0029489A"/>
    <w:rsid w:val="00295CBE"/>
    <w:rsid w:val="00296367"/>
    <w:rsid w:val="00296582"/>
    <w:rsid w:val="00296D1E"/>
    <w:rsid w:val="00296F3A"/>
    <w:rsid w:val="002972E5"/>
    <w:rsid w:val="00297BEC"/>
    <w:rsid w:val="002A0008"/>
    <w:rsid w:val="002A076C"/>
    <w:rsid w:val="002A0CE7"/>
    <w:rsid w:val="002A0EBB"/>
    <w:rsid w:val="002A146C"/>
    <w:rsid w:val="002A1657"/>
    <w:rsid w:val="002A172E"/>
    <w:rsid w:val="002A17DE"/>
    <w:rsid w:val="002A2302"/>
    <w:rsid w:val="002A2377"/>
    <w:rsid w:val="002A23EE"/>
    <w:rsid w:val="002A252B"/>
    <w:rsid w:val="002A2756"/>
    <w:rsid w:val="002A28D2"/>
    <w:rsid w:val="002A3367"/>
    <w:rsid w:val="002A36AB"/>
    <w:rsid w:val="002A4517"/>
    <w:rsid w:val="002A4973"/>
    <w:rsid w:val="002A4C74"/>
    <w:rsid w:val="002A4E76"/>
    <w:rsid w:val="002A4F16"/>
    <w:rsid w:val="002A5142"/>
    <w:rsid w:val="002A548D"/>
    <w:rsid w:val="002A599C"/>
    <w:rsid w:val="002A5DEE"/>
    <w:rsid w:val="002A5E53"/>
    <w:rsid w:val="002A6F7B"/>
    <w:rsid w:val="002A708A"/>
    <w:rsid w:val="002A759B"/>
    <w:rsid w:val="002A77CD"/>
    <w:rsid w:val="002A7BF9"/>
    <w:rsid w:val="002B0379"/>
    <w:rsid w:val="002B0DBB"/>
    <w:rsid w:val="002B0FF5"/>
    <w:rsid w:val="002B1208"/>
    <w:rsid w:val="002B1683"/>
    <w:rsid w:val="002B1B7F"/>
    <w:rsid w:val="002B2C00"/>
    <w:rsid w:val="002B2DEF"/>
    <w:rsid w:val="002B31CE"/>
    <w:rsid w:val="002B3435"/>
    <w:rsid w:val="002B491B"/>
    <w:rsid w:val="002B4CEC"/>
    <w:rsid w:val="002B4EE5"/>
    <w:rsid w:val="002B5DEF"/>
    <w:rsid w:val="002B62A3"/>
    <w:rsid w:val="002B6527"/>
    <w:rsid w:val="002B67C8"/>
    <w:rsid w:val="002B6A98"/>
    <w:rsid w:val="002B6EC4"/>
    <w:rsid w:val="002B6FD2"/>
    <w:rsid w:val="002B70B9"/>
    <w:rsid w:val="002B7599"/>
    <w:rsid w:val="002B7E5A"/>
    <w:rsid w:val="002C0116"/>
    <w:rsid w:val="002C03C6"/>
    <w:rsid w:val="002C0431"/>
    <w:rsid w:val="002C0672"/>
    <w:rsid w:val="002C1046"/>
    <w:rsid w:val="002C17D2"/>
    <w:rsid w:val="002C1F78"/>
    <w:rsid w:val="002C2269"/>
    <w:rsid w:val="002C293D"/>
    <w:rsid w:val="002C2CD3"/>
    <w:rsid w:val="002C3525"/>
    <w:rsid w:val="002C35EF"/>
    <w:rsid w:val="002C36DA"/>
    <w:rsid w:val="002C375F"/>
    <w:rsid w:val="002C4223"/>
    <w:rsid w:val="002C44E3"/>
    <w:rsid w:val="002C45D1"/>
    <w:rsid w:val="002C4C63"/>
    <w:rsid w:val="002C4D21"/>
    <w:rsid w:val="002C55D8"/>
    <w:rsid w:val="002C5670"/>
    <w:rsid w:val="002C5CFC"/>
    <w:rsid w:val="002C5D57"/>
    <w:rsid w:val="002C5EB7"/>
    <w:rsid w:val="002C64A2"/>
    <w:rsid w:val="002C6677"/>
    <w:rsid w:val="002C6E49"/>
    <w:rsid w:val="002C6EEB"/>
    <w:rsid w:val="002C77F6"/>
    <w:rsid w:val="002C7B71"/>
    <w:rsid w:val="002C7C0D"/>
    <w:rsid w:val="002C7DBE"/>
    <w:rsid w:val="002D08F1"/>
    <w:rsid w:val="002D13A6"/>
    <w:rsid w:val="002D13D3"/>
    <w:rsid w:val="002D17D5"/>
    <w:rsid w:val="002D1F60"/>
    <w:rsid w:val="002D2295"/>
    <w:rsid w:val="002D287A"/>
    <w:rsid w:val="002D2E0B"/>
    <w:rsid w:val="002D2F93"/>
    <w:rsid w:val="002D346E"/>
    <w:rsid w:val="002D37EB"/>
    <w:rsid w:val="002D478B"/>
    <w:rsid w:val="002D500B"/>
    <w:rsid w:val="002D53BB"/>
    <w:rsid w:val="002D5664"/>
    <w:rsid w:val="002D5C65"/>
    <w:rsid w:val="002D5D12"/>
    <w:rsid w:val="002D606D"/>
    <w:rsid w:val="002D611D"/>
    <w:rsid w:val="002D664C"/>
    <w:rsid w:val="002D6A53"/>
    <w:rsid w:val="002D6B2F"/>
    <w:rsid w:val="002D75C1"/>
    <w:rsid w:val="002D7913"/>
    <w:rsid w:val="002D7BCB"/>
    <w:rsid w:val="002D7D5D"/>
    <w:rsid w:val="002E06FC"/>
    <w:rsid w:val="002E0F1E"/>
    <w:rsid w:val="002E15F8"/>
    <w:rsid w:val="002E1833"/>
    <w:rsid w:val="002E192D"/>
    <w:rsid w:val="002E1A50"/>
    <w:rsid w:val="002E1BFE"/>
    <w:rsid w:val="002E2B5B"/>
    <w:rsid w:val="002E3088"/>
    <w:rsid w:val="002E32B3"/>
    <w:rsid w:val="002E36B4"/>
    <w:rsid w:val="002E37B1"/>
    <w:rsid w:val="002E3990"/>
    <w:rsid w:val="002E3C51"/>
    <w:rsid w:val="002E4013"/>
    <w:rsid w:val="002E4092"/>
    <w:rsid w:val="002E490D"/>
    <w:rsid w:val="002E4F63"/>
    <w:rsid w:val="002E504F"/>
    <w:rsid w:val="002E50CB"/>
    <w:rsid w:val="002E5338"/>
    <w:rsid w:val="002E5476"/>
    <w:rsid w:val="002E5564"/>
    <w:rsid w:val="002E56BA"/>
    <w:rsid w:val="002E583B"/>
    <w:rsid w:val="002E5970"/>
    <w:rsid w:val="002E6401"/>
    <w:rsid w:val="002E6478"/>
    <w:rsid w:val="002E6499"/>
    <w:rsid w:val="002E66D4"/>
    <w:rsid w:val="002E6C3F"/>
    <w:rsid w:val="002E6E07"/>
    <w:rsid w:val="002E7110"/>
    <w:rsid w:val="002E74C6"/>
    <w:rsid w:val="002E79FB"/>
    <w:rsid w:val="002F03B5"/>
    <w:rsid w:val="002F04F2"/>
    <w:rsid w:val="002F0BF4"/>
    <w:rsid w:val="002F0C0F"/>
    <w:rsid w:val="002F154C"/>
    <w:rsid w:val="002F1CFC"/>
    <w:rsid w:val="002F22D7"/>
    <w:rsid w:val="002F2512"/>
    <w:rsid w:val="002F2B7B"/>
    <w:rsid w:val="002F2F86"/>
    <w:rsid w:val="002F30BA"/>
    <w:rsid w:val="002F344A"/>
    <w:rsid w:val="002F35E9"/>
    <w:rsid w:val="002F38BC"/>
    <w:rsid w:val="002F3B21"/>
    <w:rsid w:val="002F3B3F"/>
    <w:rsid w:val="002F3C43"/>
    <w:rsid w:val="002F3CCB"/>
    <w:rsid w:val="002F3FB3"/>
    <w:rsid w:val="002F42DE"/>
    <w:rsid w:val="002F473D"/>
    <w:rsid w:val="002F49E3"/>
    <w:rsid w:val="002F4A9D"/>
    <w:rsid w:val="002F4B8C"/>
    <w:rsid w:val="002F4EB1"/>
    <w:rsid w:val="002F52AE"/>
    <w:rsid w:val="002F55BD"/>
    <w:rsid w:val="002F5633"/>
    <w:rsid w:val="002F56B9"/>
    <w:rsid w:val="002F5C68"/>
    <w:rsid w:val="002F6A50"/>
    <w:rsid w:val="002F7A90"/>
    <w:rsid w:val="002F7C9F"/>
    <w:rsid w:val="002F7DBD"/>
    <w:rsid w:val="003000C9"/>
    <w:rsid w:val="0030050F"/>
    <w:rsid w:val="00300790"/>
    <w:rsid w:val="00300D53"/>
    <w:rsid w:val="00300ECC"/>
    <w:rsid w:val="00300F0C"/>
    <w:rsid w:val="00301062"/>
    <w:rsid w:val="003022B9"/>
    <w:rsid w:val="00302B78"/>
    <w:rsid w:val="00302BE7"/>
    <w:rsid w:val="00302FC7"/>
    <w:rsid w:val="00303149"/>
    <w:rsid w:val="00303C09"/>
    <w:rsid w:val="00303F45"/>
    <w:rsid w:val="003049AF"/>
    <w:rsid w:val="00304B12"/>
    <w:rsid w:val="0030506A"/>
    <w:rsid w:val="003054F5"/>
    <w:rsid w:val="003057AB"/>
    <w:rsid w:val="003058AD"/>
    <w:rsid w:val="00305EB0"/>
    <w:rsid w:val="00305ED4"/>
    <w:rsid w:val="00306325"/>
    <w:rsid w:val="0030665C"/>
    <w:rsid w:val="0030728D"/>
    <w:rsid w:val="00307AA3"/>
    <w:rsid w:val="00307C25"/>
    <w:rsid w:val="003101AE"/>
    <w:rsid w:val="00310FBD"/>
    <w:rsid w:val="00310FBF"/>
    <w:rsid w:val="003111E3"/>
    <w:rsid w:val="003115CB"/>
    <w:rsid w:val="00311842"/>
    <w:rsid w:val="00311E05"/>
    <w:rsid w:val="003126F7"/>
    <w:rsid w:val="00312824"/>
    <w:rsid w:val="003129B7"/>
    <w:rsid w:val="0031346E"/>
    <w:rsid w:val="00313718"/>
    <w:rsid w:val="0031395C"/>
    <w:rsid w:val="003139B5"/>
    <w:rsid w:val="00313AF4"/>
    <w:rsid w:val="00313C6B"/>
    <w:rsid w:val="003143D1"/>
    <w:rsid w:val="003148F8"/>
    <w:rsid w:val="00314D3C"/>
    <w:rsid w:val="003157EC"/>
    <w:rsid w:val="00315A29"/>
    <w:rsid w:val="00315F5B"/>
    <w:rsid w:val="003162EB"/>
    <w:rsid w:val="00316397"/>
    <w:rsid w:val="00316443"/>
    <w:rsid w:val="00316C62"/>
    <w:rsid w:val="00316EC9"/>
    <w:rsid w:val="003172EB"/>
    <w:rsid w:val="00317348"/>
    <w:rsid w:val="00317503"/>
    <w:rsid w:val="00317CCE"/>
    <w:rsid w:val="00320261"/>
    <w:rsid w:val="0032046B"/>
    <w:rsid w:val="00320C05"/>
    <w:rsid w:val="00320FB3"/>
    <w:rsid w:val="00321501"/>
    <w:rsid w:val="0032153F"/>
    <w:rsid w:val="00321669"/>
    <w:rsid w:val="00321B4D"/>
    <w:rsid w:val="00322792"/>
    <w:rsid w:val="0032290B"/>
    <w:rsid w:val="00322AE4"/>
    <w:rsid w:val="00323215"/>
    <w:rsid w:val="0032323C"/>
    <w:rsid w:val="003233F5"/>
    <w:rsid w:val="00323D63"/>
    <w:rsid w:val="00323EDD"/>
    <w:rsid w:val="0032459D"/>
    <w:rsid w:val="0032479D"/>
    <w:rsid w:val="00324D5B"/>
    <w:rsid w:val="00324E7A"/>
    <w:rsid w:val="00324FB1"/>
    <w:rsid w:val="00325141"/>
    <w:rsid w:val="00325423"/>
    <w:rsid w:val="00325DA7"/>
    <w:rsid w:val="00325E59"/>
    <w:rsid w:val="0032609E"/>
    <w:rsid w:val="00326CEF"/>
    <w:rsid w:val="00327246"/>
    <w:rsid w:val="003278F1"/>
    <w:rsid w:val="00327B03"/>
    <w:rsid w:val="00327BA4"/>
    <w:rsid w:val="00327CB1"/>
    <w:rsid w:val="00327F38"/>
    <w:rsid w:val="00330135"/>
    <w:rsid w:val="00330139"/>
    <w:rsid w:val="00330200"/>
    <w:rsid w:val="0033029E"/>
    <w:rsid w:val="00330325"/>
    <w:rsid w:val="00330B9D"/>
    <w:rsid w:val="00331514"/>
    <w:rsid w:val="0033177A"/>
    <w:rsid w:val="00331CEB"/>
    <w:rsid w:val="0033212C"/>
    <w:rsid w:val="003323DF"/>
    <w:rsid w:val="00332562"/>
    <w:rsid w:val="00332914"/>
    <w:rsid w:val="003329B3"/>
    <w:rsid w:val="00332A42"/>
    <w:rsid w:val="00332E13"/>
    <w:rsid w:val="00333052"/>
    <w:rsid w:val="00333D1C"/>
    <w:rsid w:val="00334454"/>
    <w:rsid w:val="0033450E"/>
    <w:rsid w:val="0033456D"/>
    <w:rsid w:val="00334C29"/>
    <w:rsid w:val="00334C99"/>
    <w:rsid w:val="00334E85"/>
    <w:rsid w:val="003352E3"/>
    <w:rsid w:val="00335715"/>
    <w:rsid w:val="00335D07"/>
    <w:rsid w:val="00336008"/>
    <w:rsid w:val="003361A8"/>
    <w:rsid w:val="003364DA"/>
    <w:rsid w:val="00337000"/>
    <w:rsid w:val="00337667"/>
    <w:rsid w:val="00337B7B"/>
    <w:rsid w:val="00337DFF"/>
    <w:rsid w:val="00340975"/>
    <w:rsid w:val="00340E14"/>
    <w:rsid w:val="003413C0"/>
    <w:rsid w:val="003418EC"/>
    <w:rsid w:val="00341C76"/>
    <w:rsid w:val="00341FD7"/>
    <w:rsid w:val="00342277"/>
    <w:rsid w:val="00342761"/>
    <w:rsid w:val="00342FBF"/>
    <w:rsid w:val="003430CE"/>
    <w:rsid w:val="003436F2"/>
    <w:rsid w:val="00343A60"/>
    <w:rsid w:val="00343BA0"/>
    <w:rsid w:val="003440D8"/>
    <w:rsid w:val="00344713"/>
    <w:rsid w:val="00345714"/>
    <w:rsid w:val="00345769"/>
    <w:rsid w:val="00345DED"/>
    <w:rsid w:val="00346420"/>
    <w:rsid w:val="003465BB"/>
    <w:rsid w:val="00346953"/>
    <w:rsid w:val="00346A27"/>
    <w:rsid w:val="00346D20"/>
    <w:rsid w:val="00346FAD"/>
    <w:rsid w:val="00346FD8"/>
    <w:rsid w:val="0034767A"/>
    <w:rsid w:val="00347797"/>
    <w:rsid w:val="0035020D"/>
    <w:rsid w:val="00350AFF"/>
    <w:rsid w:val="00351015"/>
    <w:rsid w:val="00351C4B"/>
    <w:rsid w:val="00352089"/>
    <w:rsid w:val="003520B5"/>
    <w:rsid w:val="003527D4"/>
    <w:rsid w:val="00352A31"/>
    <w:rsid w:val="00352C7D"/>
    <w:rsid w:val="00352CEB"/>
    <w:rsid w:val="003530ED"/>
    <w:rsid w:val="003533F8"/>
    <w:rsid w:val="0035342B"/>
    <w:rsid w:val="003544D3"/>
    <w:rsid w:val="00354AAD"/>
    <w:rsid w:val="003554DC"/>
    <w:rsid w:val="00355572"/>
    <w:rsid w:val="00355938"/>
    <w:rsid w:val="00355D3C"/>
    <w:rsid w:val="00356063"/>
    <w:rsid w:val="003565E5"/>
    <w:rsid w:val="00356F75"/>
    <w:rsid w:val="00357504"/>
    <w:rsid w:val="00357624"/>
    <w:rsid w:val="0036035E"/>
    <w:rsid w:val="00360463"/>
    <w:rsid w:val="00360844"/>
    <w:rsid w:val="00360865"/>
    <w:rsid w:val="00360ABD"/>
    <w:rsid w:val="00361595"/>
    <w:rsid w:val="003616AC"/>
    <w:rsid w:val="00361A5C"/>
    <w:rsid w:val="0036255C"/>
    <w:rsid w:val="003630C4"/>
    <w:rsid w:val="003638AA"/>
    <w:rsid w:val="00364119"/>
    <w:rsid w:val="003641CD"/>
    <w:rsid w:val="0036433E"/>
    <w:rsid w:val="003648BA"/>
    <w:rsid w:val="003649A0"/>
    <w:rsid w:val="00364BDB"/>
    <w:rsid w:val="00364E3A"/>
    <w:rsid w:val="0036547A"/>
    <w:rsid w:val="003657C6"/>
    <w:rsid w:val="003661F6"/>
    <w:rsid w:val="00366256"/>
    <w:rsid w:val="0036657C"/>
    <w:rsid w:val="00366626"/>
    <w:rsid w:val="0036694D"/>
    <w:rsid w:val="00366F1C"/>
    <w:rsid w:val="00367905"/>
    <w:rsid w:val="00370028"/>
    <w:rsid w:val="003708C5"/>
    <w:rsid w:val="00370EBE"/>
    <w:rsid w:val="003710E4"/>
    <w:rsid w:val="0037111D"/>
    <w:rsid w:val="003711F9"/>
    <w:rsid w:val="00371EEC"/>
    <w:rsid w:val="00372108"/>
    <w:rsid w:val="00372610"/>
    <w:rsid w:val="00372962"/>
    <w:rsid w:val="00372A18"/>
    <w:rsid w:val="003749BD"/>
    <w:rsid w:val="00374A20"/>
    <w:rsid w:val="00374B12"/>
    <w:rsid w:val="00374CDF"/>
    <w:rsid w:val="00374F2B"/>
    <w:rsid w:val="00374FB9"/>
    <w:rsid w:val="00375246"/>
    <w:rsid w:val="00376383"/>
    <w:rsid w:val="0037639A"/>
    <w:rsid w:val="00376501"/>
    <w:rsid w:val="003769B3"/>
    <w:rsid w:val="00376BE3"/>
    <w:rsid w:val="003771D4"/>
    <w:rsid w:val="003772E3"/>
    <w:rsid w:val="00377641"/>
    <w:rsid w:val="00377941"/>
    <w:rsid w:val="00377AEF"/>
    <w:rsid w:val="00377C1C"/>
    <w:rsid w:val="00377C9F"/>
    <w:rsid w:val="00377FE8"/>
    <w:rsid w:val="0038067F"/>
    <w:rsid w:val="00380CE3"/>
    <w:rsid w:val="00380E89"/>
    <w:rsid w:val="003811EA"/>
    <w:rsid w:val="0038139E"/>
    <w:rsid w:val="003817AC"/>
    <w:rsid w:val="003817DD"/>
    <w:rsid w:val="00381C85"/>
    <w:rsid w:val="00383020"/>
    <w:rsid w:val="003830E9"/>
    <w:rsid w:val="003833C1"/>
    <w:rsid w:val="00384006"/>
    <w:rsid w:val="00384A03"/>
    <w:rsid w:val="00384D60"/>
    <w:rsid w:val="00385199"/>
    <w:rsid w:val="00385299"/>
    <w:rsid w:val="0038658A"/>
    <w:rsid w:val="003870DB"/>
    <w:rsid w:val="0038713B"/>
    <w:rsid w:val="0038736C"/>
    <w:rsid w:val="003878BB"/>
    <w:rsid w:val="00390307"/>
    <w:rsid w:val="00390615"/>
    <w:rsid w:val="0039073D"/>
    <w:rsid w:val="00391326"/>
    <w:rsid w:val="003915F3"/>
    <w:rsid w:val="003919C1"/>
    <w:rsid w:val="00391DED"/>
    <w:rsid w:val="0039269A"/>
    <w:rsid w:val="00392B86"/>
    <w:rsid w:val="00393341"/>
    <w:rsid w:val="00393462"/>
    <w:rsid w:val="003939F8"/>
    <w:rsid w:val="00394409"/>
    <w:rsid w:val="003946EA"/>
    <w:rsid w:val="003946EF"/>
    <w:rsid w:val="0039481B"/>
    <w:rsid w:val="0039488A"/>
    <w:rsid w:val="00394B93"/>
    <w:rsid w:val="003950D9"/>
    <w:rsid w:val="00395553"/>
    <w:rsid w:val="00395D66"/>
    <w:rsid w:val="00395EAE"/>
    <w:rsid w:val="00396388"/>
    <w:rsid w:val="003963A9"/>
    <w:rsid w:val="003966E4"/>
    <w:rsid w:val="00397012"/>
    <w:rsid w:val="00397478"/>
    <w:rsid w:val="0039758B"/>
    <w:rsid w:val="0039796F"/>
    <w:rsid w:val="003A0EAF"/>
    <w:rsid w:val="003A1800"/>
    <w:rsid w:val="003A1DB3"/>
    <w:rsid w:val="003A2169"/>
    <w:rsid w:val="003A29CF"/>
    <w:rsid w:val="003A2A21"/>
    <w:rsid w:val="003A2C01"/>
    <w:rsid w:val="003A31D3"/>
    <w:rsid w:val="003A356C"/>
    <w:rsid w:val="003A3637"/>
    <w:rsid w:val="003A3727"/>
    <w:rsid w:val="003A3828"/>
    <w:rsid w:val="003A3A4F"/>
    <w:rsid w:val="003A3F0D"/>
    <w:rsid w:val="003A432B"/>
    <w:rsid w:val="003A4B09"/>
    <w:rsid w:val="003A4E0A"/>
    <w:rsid w:val="003A5A70"/>
    <w:rsid w:val="003A6000"/>
    <w:rsid w:val="003A6036"/>
    <w:rsid w:val="003A655B"/>
    <w:rsid w:val="003A7478"/>
    <w:rsid w:val="003A747D"/>
    <w:rsid w:val="003A7AD7"/>
    <w:rsid w:val="003A7F74"/>
    <w:rsid w:val="003B0393"/>
    <w:rsid w:val="003B05E9"/>
    <w:rsid w:val="003B05F9"/>
    <w:rsid w:val="003B0930"/>
    <w:rsid w:val="003B0A43"/>
    <w:rsid w:val="003B0F8A"/>
    <w:rsid w:val="003B193A"/>
    <w:rsid w:val="003B1CC8"/>
    <w:rsid w:val="003B1DDA"/>
    <w:rsid w:val="003B2634"/>
    <w:rsid w:val="003B26EF"/>
    <w:rsid w:val="003B2914"/>
    <w:rsid w:val="003B2ACE"/>
    <w:rsid w:val="003B2E20"/>
    <w:rsid w:val="003B2E5F"/>
    <w:rsid w:val="003B30C0"/>
    <w:rsid w:val="003B31B0"/>
    <w:rsid w:val="003B3440"/>
    <w:rsid w:val="003B3968"/>
    <w:rsid w:val="003B5E1C"/>
    <w:rsid w:val="003B60A7"/>
    <w:rsid w:val="003B664F"/>
    <w:rsid w:val="003B67EF"/>
    <w:rsid w:val="003B6BCA"/>
    <w:rsid w:val="003B73DB"/>
    <w:rsid w:val="003B7737"/>
    <w:rsid w:val="003B7B6F"/>
    <w:rsid w:val="003B7C6D"/>
    <w:rsid w:val="003B7CD8"/>
    <w:rsid w:val="003B7F53"/>
    <w:rsid w:val="003C0027"/>
    <w:rsid w:val="003C04AD"/>
    <w:rsid w:val="003C0642"/>
    <w:rsid w:val="003C0660"/>
    <w:rsid w:val="003C0862"/>
    <w:rsid w:val="003C0BE6"/>
    <w:rsid w:val="003C15D2"/>
    <w:rsid w:val="003C169B"/>
    <w:rsid w:val="003C1EC1"/>
    <w:rsid w:val="003C22BD"/>
    <w:rsid w:val="003C2D07"/>
    <w:rsid w:val="003C31AC"/>
    <w:rsid w:val="003C3F27"/>
    <w:rsid w:val="003C4206"/>
    <w:rsid w:val="003C43FA"/>
    <w:rsid w:val="003C45B8"/>
    <w:rsid w:val="003C46DE"/>
    <w:rsid w:val="003C4736"/>
    <w:rsid w:val="003C5A11"/>
    <w:rsid w:val="003C5BA5"/>
    <w:rsid w:val="003C633D"/>
    <w:rsid w:val="003C65D8"/>
    <w:rsid w:val="003C6DD8"/>
    <w:rsid w:val="003C6F7D"/>
    <w:rsid w:val="003C79DF"/>
    <w:rsid w:val="003C7FAF"/>
    <w:rsid w:val="003C7FDD"/>
    <w:rsid w:val="003D0094"/>
    <w:rsid w:val="003D05BD"/>
    <w:rsid w:val="003D140D"/>
    <w:rsid w:val="003D14BD"/>
    <w:rsid w:val="003D193D"/>
    <w:rsid w:val="003D2036"/>
    <w:rsid w:val="003D2828"/>
    <w:rsid w:val="003D2C54"/>
    <w:rsid w:val="003D2C61"/>
    <w:rsid w:val="003D2FAD"/>
    <w:rsid w:val="003D37BA"/>
    <w:rsid w:val="003D3E12"/>
    <w:rsid w:val="003D4190"/>
    <w:rsid w:val="003D4819"/>
    <w:rsid w:val="003D49EC"/>
    <w:rsid w:val="003D4C88"/>
    <w:rsid w:val="003D4EEC"/>
    <w:rsid w:val="003D50C0"/>
    <w:rsid w:val="003D53DA"/>
    <w:rsid w:val="003D5411"/>
    <w:rsid w:val="003D5F46"/>
    <w:rsid w:val="003D609A"/>
    <w:rsid w:val="003D7053"/>
    <w:rsid w:val="003D7317"/>
    <w:rsid w:val="003D7372"/>
    <w:rsid w:val="003D77F7"/>
    <w:rsid w:val="003D7A5A"/>
    <w:rsid w:val="003D7AB5"/>
    <w:rsid w:val="003D7ACC"/>
    <w:rsid w:val="003E00EF"/>
    <w:rsid w:val="003E0634"/>
    <w:rsid w:val="003E06E5"/>
    <w:rsid w:val="003E0839"/>
    <w:rsid w:val="003E099A"/>
    <w:rsid w:val="003E0A8B"/>
    <w:rsid w:val="003E0C6C"/>
    <w:rsid w:val="003E0DF1"/>
    <w:rsid w:val="003E0F2B"/>
    <w:rsid w:val="003E12D3"/>
    <w:rsid w:val="003E143C"/>
    <w:rsid w:val="003E1902"/>
    <w:rsid w:val="003E1A19"/>
    <w:rsid w:val="003E1AAC"/>
    <w:rsid w:val="003E1BC9"/>
    <w:rsid w:val="003E2089"/>
    <w:rsid w:val="003E274D"/>
    <w:rsid w:val="003E2E12"/>
    <w:rsid w:val="003E3784"/>
    <w:rsid w:val="003E3786"/>
    <w:rsid w:val="003E3F52"/>
    <w:rsid w:val="003E4383"/>
    <w:rsid w:val="003E49F4"/>
    <w:rsid w:val="003E4A7B"/>
    <w:rsid w:val="003E4D9E"/>
    <w:rsid w:val="003E5433"/>
    <w:rsid w:val="003E551B"/>
    <w:rsid w:val="003E5549"/>
    <w:rsid w:val="003E611D"/>
    <w:rsid w:val="003E61E3"/>
    <w:rsid w:val="003E6997"/>
    <w:rsid w:val="003E6A43"/>
    <w:rsid w:val="003E70DB"/>
    <w:rsid w:val="003E711A"/>
    <w:rsid w:val="003E7293"/>
    <w:rsid w:val="003E73A2"/>
    <w:rsid w:val="003E757E"/>
    <w:rsid w:val="003E7928"/>
    <w:rsid w:val="003E7A5C"/>
    <w:rsid w:val="003E7C91"/>
    <w:rsid w:val="003F0052"/>
    <w:rsid w:val="003F03FE"/>
    <w:rsid w:val="003F07A4"/>
    <w:rsid w:val="003F0A38"/>
    <w:rsid w:val="003F0EA0"/>
    <w:rsid w:val="003F0F2B"/>
    <w:rsid w:val="003F0F58"/>
    <w:rsid w:val="003F0F8D"/>
    <w:rsid w:val="003F14AA"/>
    <w:rsid w:val="003F1B50"/>
    <w:rsid w:val="003F291E"/>
    <w:rsid w:val="003F2D2C"/>
    <w:rsid w:val="003F2E5C"/>
    <w:rsid w:val="003F2ED3"/>
    <w:rsid w:val="003F2FA5"/>
    <w:rsid w:val="003F30BE"/>
    <w:rsid w:val="003F3242"/>
    <w:rsid w:val="003F3259"/>
    <w:rsid w:val="003F36D9"/>
    <w:rsid w:val="003F3897"/>
    <w:rsid w:val="003F3EFA"/>
    <w:rsid w:val="003F45D6"/>
    <w:rsid w:val="003F5105"/>
    <w:rsid w:val="003F5674"/>
    <w:rsid w:val="003F56E3"/>
    <w:rsid w:val="003F5889"/>
    <w:rsid w:val="003F69A2"/>
    <w:rsid w:val="003F6BD0"/>
    <w:rsid w:val="003F6BDF"/>
    <w:rsid w:val="003F6EAF"/>
    <w:rsid w:val="003F7024"/>
    <w:rsid w:val="003F70B3"/>
    <w:rsid w:val="003F7BD2"/>
    <w:rsid w:val="003F7C46"/>
    <w:rsid w:val="00400A96"/>
    <w:rsid w:val="00400D09"/>
    <w:rsid w:val="004012F4"/>
    <w:rsid w:val="004019E4"/>
    <w:rsid w:val="00401AA6"/>
    <w:rsid w:val="004028E9"/>
    <w:rsid w:val="0040290A"/>
    <w:rsid w:val="0040297E"/>
    <w:rsid w:val="00402A21"/>
    <w:rsid w:val="00403538"/>
    <w:rsid w:val="004036AB"/>
    <w:rsid w:val="00404356"/>
    <w:rsid w:val="00404F54"/>
    <w:rsid w:val="00404F88"/>
    <w:rsid w:val="00404FDE"/>
    <w:rsid w:val="00405261"/>
    <w:rsid w:val="004056FF"/>
    <w:rsid w:val="00405C1F"/>
    <w:rsid w:val="00406094"/>
    <w:rsid w:val="0040680B"/>
    <w:rsid w:val="00406866"/>
    <w:rsid w:val="00406922"/>
    <w:rsid w:val="00406E13"/>
    <w:rsid w:val="00406EAF"/>
    <w:rsid w:val="00406FD5"/>
    <w:rsid w:val="004073C8"/>
    <w:rsid w:val="00407512"/>
    <w:rsid w:val="00410897"/>
    <w:rsid w:val="004108DC"/>
    <w:rsid w:val="0041100A"/>
    <w:rsid w:val="00411126"/>
    <w:rsid w:val="004114AD"/>
    <w:rsid w:val="00411555"/>
    <w:rsid w:val="004116F2"/>
    <w:rsid w:val="00412096"/>
    <w:rsid w:val="00412468"/>
    <w:rsid w:val="0041256D"/>
    <w:rsid w:val="00412855"/>
    <w:rsid w:val="00412AC0"/>
    <w:rsid w:val="00412BC1"/>
    <w:rsid w:val="00412BF8"/>
    <w:rsid w:val="00412EC8"/>
    <w:rsid w:val="00413216"/>
    <w:rsid w:val="004133F5"/>
    <w:rsid w:val="0041372E"/>
    <w:rsid w:val="004143A2"/>
    <w:rsid w:val="004148BE"/>
    <w:rsid w:val="004149B8"/>
    <w:rsid w:val="00414A66"/>
    <w:rsid w:val="00414D1A"/>
    <w:rsid w:val="00414D72"/>
    <w:rsid w:val="00414D99"/>
    <w:rsid w:val="00414FD5"/>
    <w:rsid w:val="0041556E"/>
    <w:rsid w:val="00415763"/>
    <w:rsid w:val="00415B13"/>
    <w:rsid w:val="00415DD0"/>
    <w:rsid w:val="0041653E"/>
    <w:rsid w:val="00416598"/>
    <w:rsid w:val="00416920"/>
    <w:rsid w:val="0041692B"/>
    <w:rsid w:val="00417147"/>
    <w:rsid w:val="004178F2"/>
    <w:rsid w:val="00417D28"/>
    <w:rsid w:val="00417F9C"/>
    <w:rsid w:val="00420437"/>
    <w:rsid w:val="00420756"/>
    <w:rsid w:val="004208F6"/>
    <w:rsid w:val="00420A4D"/>
    <w:rsid w:val="00420CEC"/>
    <w:rsid w:val="004213E2"/>
    <w:rsid w:val="00421830"/>
    <w:rsid w:val="00421F18"/>
    <w:rsid w:val="00422BD1"/>
    <w:rsid w:val="00422D50"/>
    <w:rsid w:val="00423D5A"/>
    <w:rsid w:val="00423E50"/>
    <w:rsid w:val="0042456A"/>
    <w:rsid w:val="0042488B"/>
    <w:rsid w:val="004248C2"/>
    <w:rsid w:val="004249BB"/>
    <w:rsid w:val="0042530D"/>
    <w:rsid w:val="00425C5C"/>
    <w:rsid w:val="00425EF5"/>
    <w:rsid w:val="00425FC3"/>
    <w:rsid w:val="00426800"/>
    <w:rsid w:val="00426F2C"/>
    <w:rsid w:val="00426F57"/>
    <w:rsid w:val="00427353"/>
    <w:rsid w:val="00427381"/>
    <w:rsid w:val="004276B6"/>
    <w:rsid w:val="0042786A"/>
    <w:rsid w:val="0042788A"/>
    <w:rsid w:val="00427EB7"/>
    <w:rsid w:val="0043002A"/>
    <w:rsid w:val="00430D00"/>
    <w:rsid w:val="00431629"/>
    <w:rsid w:val="004320AB"/>
    <w:rsid w:val="00432864"/>
    <w:rsid w:val="0043393E"/>
    <w:rsid w:val="00433984"/>
    <w:rsid w:val="00433D29"/>
    <w:rsid w:val="0043468F"/>
    <w:rsid w:val="00434961"/>
    <w:rsid w:val="00434D6B"/>
    <w:rsid w:val="00434F88"/>
    <w:rsid w:val="00434FB3"/>
    <w:rsid w:val="00435040"/>
    <w:rsid w:val="0043505F"/>
    <w:rsid w:val="00435592"/>
    <w:rsid w:val="00436652"/>
    <w:rsid w:val="0043697E"/>
    <w:rsid w:val="00436A5D"/>
    <w:rsid w:val="00437494"/>
    <w:rsid w:val="00437FA9"/>
    <w:rsid w:val="0044000E"/>
    <w:rsid w:val="00440A58"/>
    <w:rsid w:val="00440D37"/>
    <w:rsid w:val="004412AA"/>
    <w:rsid w:val="004416C5"/>
    <w:rsid w:val="00441B0B"/>
    <w:rsid w:val="00442167"/>
    <w:rsid w:val="0044246C"/>
    <w:rsid w:val="0044247E"/>
    <w:rsid w:val="004433FA"/>
    <w:rsid w:val="004435FD"/>
    <w:rsid w:val="004438A4"/>
    <w:rsid w:val="00443958"/>
    <w:rsid w:val="00443D68"/>
    <w:rsid w:val="00444B52"/>
    <w:rsid w:val="00444C41"/>
    <w:rsid w:val="00445173"/>
    <w:rsid w:val="004455D0"/>
    <w:rsid w:val="0044576D"/>
    <w:rsid w:val="00445B06"/>
    <w:rsid w:val="00446C98"/>
    <w:rsid w:val="00446CD3"/>
    <w:rsid w:val="00447628"/>
    <w:rsid w:val="00447ECF"/>
    <w:rsid w:val="004508F0"/>
    <w:rsid w:val="00450DDD"/>
    <w:rsid w:val="004514B0"/>
    <w:rsid w:val="004515ED"/>
    <w:rsid w:val="004518AD"/>
    <w:rsid w:val="004518E1"/>
    <w:rsid w:val="00452B53"/>
    <w:rsid w:val="0045396F"/>
    <w:rsid w:val="00453BBE"/>
    <w:rsid w:val="00454419"/>
    <w:rsid w:val="00454B08"/>
    <w:rsid w:val="00454B0A"/>
    <w:rsid w:val="00454BA0"/>
    <w:rsid w:val="00454D07"/>
    <w:rsid w:val="00454D6D"/>
    <w:rsid w:val="0045528D"/>
    <w:rsid w:val="0045562C"/>
    <w:rsid w:val="00455C58"/>
    <w:rsid w:val="00455E81"/>
    <w:rsid w:val="00456168"/>
    <w:rsid w:val="004563A3"/>
    <w:rsid w:val="004566A2"/>
    <w:rsid w:val="00456849"/>
    <w:rsid w:val="00456B32"/>
    <w:rsid w:val="00456BC1"/>
    <w:rsid w:val="00456F49"/>
    <w:rsid w:val="00457555"/>
    <w:rsid w:val="00457CA3"/>
    <w:rsid w:val="00457E0A"/>
    <w:rsid w:val="004601AC"/>
    <w:rsid w:val="004601AF"/>
    <w:rsid w:val="0046053F"/>
    <w:rsid w:val="004616F1"/>
    <w:rsid w:val="00461767"/>
    <w:rsid w:val="00461D64"/>
    <w:rsid w:val="00462791"/>
    <w:rsid w:val="00462814"/>
    <w:rsid w:val="00463898"/>
    <w:rsid w:val="00463A9D"/>
    <w:rsid w:val="00463C99"/>
    <w:rsid w:val="0046427A"/>
    <w:rsid w:val="004644A3"/>
    <w:rsid w:val="004646C1"/>
    <w:rsid w:val="0046490D"/>
    <w:rsid w:val="00464B71"/>
    <w:rsid w:val="00464FF8"/>
    <w:rsid w:val="0046500A"/>
    <w:rsid w:val="004652CE"/>
    <w:rsid w:val="00465489"/>
    <w:rsid w:val="004657E4"/>
    <w:rsid w:val="00465828"/>
    <w:rsid w:val="0046584E"/>
    <w:rsid w:val="00465998"/>
    <w:rsid w:val="00465B3E"/>
    <w:rsid w:val="00466137"/>
    <w:rsid w:val="00466271"/>
    <w:rsid w:val="004669FB"/>
    <w:rsid w:val="0046778D"/>
    <w:rsid w:val="0046789C"/>
    <w:rsid w:val="00467DF4"/>
    <w:rsid w:val="004706C7"/>
    <w:rsid w:val="00470829"/>
    <w:rsid w:val="00470A41"/>
    <w:rsid w:val="00470DBA"/>
    <w:rsid w:val="00470EE8"/>
    <w:rsid w:val="00471053"/>
    <w:rsid w:val="0047116A"/>
    <w:rsid w:val="004711FB"/>
    <w:rsid w:val="0047129C"/>
    <w:rsid w:val="004713C1"/>
    <w:rsid w:val="004719C0"/>
    <w:rsid w:val="00471EA2"/>
    <w:rsid w:val="00472268"/>
    <w:rsid w:val="00472388"/>
    <w:rsid w:val="00472CB4"/>
    <w:rsid w:val="00472E42"/>
    <w:rsid w:val="00472E99"/>
    <w:rsid w:val="004730B9"/>
    <w:rsid w:val="00473538"/>
    <w:rsid w:val="004737F5"/>
    <w:rsid w:val="00473823"/>
    <w:rsid w:val="00473B94"/>
    <w:rsid w:val="00473D2F"/>
    <w:rsid w:val="004742EE"/>
    <w:rsid w:val="00475112"/>
    <w:rsid w:val="0047547D"/>
    <w:rsid w:val="00475538"/>
    <w:rsid w:val="004759D4"/>
    <w:rsid w:val="004763D2"/>
    <w:rsid w:val="0047664A"/>
    <w:rsid w:val="0047683C"/>
    <w:rsid w:val="00476A47"/>
    <w:rsid w:val="004771D7"/>
    <w:rsid w:val="00477497"/>
    <w:rsid w:val="004779B3"/>
    <w:rsid w:val="00477CF3"/>
    <w:rsid w:val="00477EEA"/>
    <w:rsid w:val="0048013F"/>
    <w:rsid w:val="00480E96"/>
    <w:rsid w:val="00480F8A"/>
    <w:rsid w:val="00481296"/>
    <w:rsid w:val="004812FC"/>
    <w:rsid w:val="004817C8"/>
    <w:rsid w:val="004819F1"/>
    <w:rsid w:val="004820B6"/>
    <w:rsid w:val="00482104"/>
    <w:rsid w:val="00482306"/>
    <w:rsid w:val="00482B63"/>
    <w:rsid w:val="00482BE9"/>
    <w:rsid w:val="0048322D"/>
    <w:rsid w:val="004834F4"/>
    <w:rsid w:val="004836CF"/>
    <w:rsid w:val="00483D1B"/>
    <w:rsid w:val="00483E8B"/>
    <w:rsid w:val="00484222"/>
    <w:rsid w:val="00484A79"/>
    <w:rsid w:val="00484A87"/>
    <w:rsid w:val="00484B5B"/>
    <w:rsid w:val="004850E5"/>
    <w:rsid w:val="0048519F"/>
    <w:rsid w:val="004852BA"/>
    <w:rsid w:val="00485503"/>
    <w:rsid w:val="0048564B"/>
    <w:rsid w:val="00485706"/>
    <w:rsid w:val="00485A72"/>
    <w:rsid w:val="00485E83"/>
    <w:rsid w:val="00485F1A"/>
    <w:rsid w:val="004864F7"/>
    <w:rsid w:val="004866D6"/>
    <w:rsid w:val="00486CAC"/>
    <w:rsid w:val="0048718A"/>
    <w:rsid w:val="00487255"/>
    <w:rsid w:val="00487548"/>
    <w:rsid w:val="00487EB6"/>
    <w:rsid w:val="00487F83"/>
    <w:rsid w:val="00487FA4"/>
    <w:rsid w:val="004906E7"/>
    <w:rsid w:val="0049086E"/>
    <w:rsid w:val="00490AB2"/>
    <w:rsid w:val="00490BA3"/>
    <w:rsid w:val="0049121E"/>
    <w:rsid w:val="0049122B"/>
    <w:rsid w:val="00491481"/>
    <w:rsid w:val="00491890"/>
    <w:rsid w:val="00491BC0"/>
    <w:rsid w:val="00493956"/>
    <w:rsid w:val="004945DC"/>
    <w:rsid w:val="004947D4"/>
    <w:rsid w:val="00494C82"/>
    <w:rsid w:val="00495032"/>
    <w:rsid w:val="0049522C"/>
    <w:rsid w:val="00495A0B"/>
    <w:rsid w:val="00495DA6"/>
    <w:rsid w:val="004966A1"/>
    <w:rsid w:val="004966BC"/>
    <w:rsid w:val="00496BF3"/>
    <w:rsid w:val="00496C7D"/>
    <w:rsid w:val="00496DC7"/>
    <w:rsid w:val="004971D2"/>
    <w:rsid w:val="0049735C"/>
    <w:rsid w:val="004975EC"/>
    <w:rsid w:val="00497DA1"/>
    <w:rsid w:val="004A0B4F"/>
    <w:rsid w:val="004A10A7"/>
    <w:rsid w:val="004A1361"/>
    <w:rsid w:val="004A1A0B"/>
    <w:rsid w:val="004A1AFC"/>
    <w:rsid w:val="004A1C5A"/>
    <w:rsid w:val="004A1F28"/>
    <w:rsid w:val="004A2573"/>
    <w:rsid w:val="004A28ED"/>
    <w:rsid w:val="004A2942"/>
    <w:rsid w:val="004A2C24"/>
    <w:rsid w:val="004A2C25"/>
    <w:rsid w:val="004A304D"/>
    <w:rsid w:val="004A328F"/>
    <w:rsid w:val="004A397B"/>
    <w:rsid w:val="004A430A"/>
    <w:rsid w:val="004A4AF9"/>
    <w:rsid w:val="004A4CFC"/>
    <w:rsid w:val="004A592B"/>
    <w:rsid w:val="004A59E2"/>
    <w:rsid w:val="004A5C0E"/>
    <w:rsid w:val="004A642E"/>
    <w:rsid w:val="004A675D"/>
    <w:rsid w:val="004A67ED"/>
    <w:rsid w:val="004A683C"/>
    <w:rsid w:val="004A73A8"/>
    <w:rsid w:val="004A7431"/>
    <w:rsid w:val="004A743B"/>
    <w:rsid w:val="004A7C2F"/>
    <w:rsid w:val="004B016C"/>
    <w:rsid w:val="004B03CD"/>
    <w:rsid w:val="004B0538"/>
    <w:rsid w:val="004B0CFE"/>
    <w:rsid w:val="004B1860"/>
    <w:rsid w:val="004B1A8D"/>
    <w:rsid w:val="004B1D90"/>
    <w:rsid w:val="004B2832"/>
    <w:rsid w:val="004B283E"/>
    <w:rsid w:val="004B2DFA"/>
    <w:rsid w:val="004B3427"/>
    <w:rsid w:val="004B34F4"/>
    <w:rsid w:val="004B35BB"/>
    <w:rsid w:val="004B377E"/>
    <w:rsid w:val="004B3802"/>
    <w:rsid w:val="004B4295"/>
    <w:rsid w:val="004B44DE"/>
    <w:rsid w:val="004B4CE7"/>
    <w:rsid w:val="004B4E8F"/>
    <w:rsid w:val="004B5155"/>
    <w:rsid w:val="004B5BEE"/>
    <w:rsid w:val="004B6430"/>
    <w:rsid w:val="004B68D0"/>
    <w:rsid w:val="004B6B43"/>
    <w:rsid w:val="004B6CEF"/>
    <w:rsid w:val="004B76EE"/>
    <w:rsid w:val="004B7BBA"/>
    <w:rsid w:val="004C00F5"/>
    <w:rsid w:val="004C0B6F"/>
    <w:rsid w:val="004C105B"/>
    <w:rsid w:val="004C10F5"/>
    <w:rsid w:val="004C1857"/>
    <w:rsid w:val="004C18BA"/>
    <w:rsid w:val="004C220F"/>
    <w:rsid w:val="004C2306"/>
    <w:rsid w:val="004C2F13"/>
    <w:rsid w:val="004C3272"/>
    <w:rsid w:val="004C32F4"/>
    <w:rsid w:val="004C3C18"/>
    <w:rsid w:val="004C4782"/>
    <w:rsid w:val="004C4CA5"/>
    <w:rsid w:val="004C4F9D"/>
    <w:rsid w:val="004C5443"/>
    <w:rsid w:val="004C5740"/>
    <w:rsid w:val="004C5B95"/>
    <w:rsid w:val="004C5FA1"/>
    <w:rsid w:val="004C6205"/>
    <w:rsid w:val="004C64B8"/>
    <w:rsid w:val="004C6861"/>
    <w:rsid w:val="004C6A3A"/>
    <w:rsid w:val="004C6C47"/>
    <w:rsid w:val="004C6D16"/>
    <w:rsid w:val="004C6E14"/>
    <w:rsid w:val="004C6FA5"/>
    <w:rsid w:val="004C6FE6"/>
    <w:rsid w:val="004C6FEE"/>
    <w:rsid w:val="004D0257"/>
    <w:rsid w:val="004D06A5"/>
    <w:rsid w:val="004D073A"/>
    <w:rsid w:val="004D0B33"/>
    <w:rsid w:val="004D0E50"/>
    <w:rsid w:val="004D1B00"/>
    <w:rsid w:val="004D2138"/>
    <w:rsid w:val="004D26B5"/>
    <w:rsid w:val="004D2BD0"/>
    <w:rsid w:val="004D317A"/>
    <w:rsid w:val="004D3792"/>
    <w:rsid w:val="004D40F7"/>
    <w:rsid w:val="004D4B9C"/>
    <w:rsid w:val="004D5045"/>
    <w:rsid w:val="004D5C6A"/>
    <w:rsid w:val="004D6825"/>
    <w:rsid w:val="004D6EE1"/>
    <w:rsid w:val="004D6F0A"/>
    <w:rsid w:val="004D7071"/>
    <w:rsid w:val="004D75BB"/>
    <w:rsid w:val="004D7AB3"/>
    <w:rsid w:val="004E0405"/>
    <w:rsid w:val="004E083C"/>
    <w:rsid w:val="004E0CB7"/>
    <w:rsid w:val="004E0E50"/>
    <w:rsid w:val="004E0F23"/>
    <w:rsid w:val="004E124B"/>
    <w:rsid w:val="004E146F"/>
    <w:rsid w:val="004E18FE"/>
    <w:rsid w:val="004E19DB"/>
    <w:rsid w:val="004E217C"/>
    <w:rsid w:val="004E2723"/>
    <w:rsid w:val="004E289C"/>
    <w:rsid w:val="004E2976"/>
    <w:rsid w:val="004E3470"/>
    <w:rsid w:val="004E38F5"/>
    <w:rsid w:val="004E3A39"/>
    <w:rsid w:val="004E3A8D"/>
    <w:rsid w:val="004E3F1A"/>
    <w:rsid w:val="004E4102"/>
    <w:rsid w:val="004E4194"/>
    <w:rsid w:val="004E4A6D"/>
    <w:rsid w:val="004E4D55"/>
    <w:rsid w:val="004E5733"/>
    <w:rsid w:val="004E5A10"/>
    <w:rsid w:val="004E5A14"/>
    <w:rsid w:val="004E6935"/>
    <w:rsid w:val="004E7131"/>
    <w:rsid w:val="004E742E"/>
    <w:rsid w:val="004E78C7"/>
    <w:rsid w:val="004E795F"/>
    <w:rsid w:val="004E79AF"/>
    <w:rsid w:val="004E79FA"/>
    <w:rsid w:val="004E7F6E"/>
    <w:rsid w:val="004E7F9A"/>
    <w:rsid w:val="004F0040"/>
    <w:rsid w:val="004F00F8"/>
    <w:rsid w:val="004F0408"/>
    <w:rsid w:val="004F064E"/>
    <w:rsid w:val="004F0782"/>
    <w:rsid w:val="004F147F"/>
    <w:rsid w:val="004F1623"/>
    <w:rsid w:val="004F1627"/>
    <w:rsid w:val="004F177A"/>
    <w:rsid w:val="004F1A36"/>
    <w:rsid w:val="004F1B2F"/>
    <w:rsid w:val="004F1C72"/>
    <w:rsid w:val="004F1C8E"/>
    <w:rsid w:val="004F2188"/>
    <w:rsid w:val="004F26F4"/>
    <w:rsid w:val="004F28B2"/>
    <w:rsid w:val="004F2BD2"/>
    <w:rsid w:val="004F2BF6"/>
    <w:rsid w:val="004F2E2E"/>
    <w:rsid w:val="004F38A5"/>
    <w:rsid w:val="004F3BC8"/>
    <w:rsid w:val="004F3C6F"/>
    <w:rsid w:val="004F3D6F"/>
    <w:rsid w:val="004F406C"/>
    <w:rsid w:val="004F4203"/>
    <w:rsid w:val="004F4C12"/>
    <w:rsid w:val="004F528E"/>
    <w:rsid w:val="004F5C2F"/>
    <w:rsid w:val="004F623A"/>
    <w:rsid w:val="004F6CB8"/>
    <w:rsid w:val="004F6D01"/>
    <w:rsid w:val="004F70BA"/>
    <w:rsid w:val="004F7BE6"/>
    <w:rsid w:val="004F7E3B"/>
    <w:rsid w:val="004F7F05"/>
    <w:rsid w:val="004F7FA8"/>
    <w:rsid w:val="005003C4"/>
    <w:rsid w:val="0050041E"/>
    <w:rsid w:val="00500465"/>
    <w:rsid w:val="00500C0F"/>
    <w:rsid w:val="00500D5C"/>
    <w:rsid w:val="00501695"/>
    <w:rsid w:val="00502068"/>
    <w:rsid w:val="00502558"/>
    <w:rsid w:val="00502C3F"/>
    <w:rsid w:val="00502DE2"/>
    <w:rsid w:val="00503137"/>
    <w:rsid w:val="00503361"/>
    <w:rsid w:val="00503F54"/>
    <w:rsid w:val="00504145"/>
    <w:rsid w:val="00504693"/>
    <w:rsid w:val="00505049"/>
    <w:rsid w:val="00505328"/>
    <w:rsid w:val="00505396"/>
    <w:rsid w:val="00505441"/>
    <w:rsid w:val="00505668"/>
    <w:rsid w:val="00505717"/>
    <w:rsid w:val="00505723"/>
    <w:rsid w:val="00506095"/>
    <w:rsid w:val="00506347"/>
    <w:rsid w:val="00506C24"/>
    <w:rsid w:val="00506F69"/>
    <w:rsid w:val="005078E9"/>
    <w:rsid w:val="00507B6C"/>
    <w:rsid w:val="00510216"/>
    <w:rsid w:val="005105BB"/>
    <w:rsid w:val="00510B4C"/>
    <w:rsid w:val="00510EA8"/>
    <w:rsid w:val="00511201"/>
    <w:rsid w:val="005112AB"/>
    <w:rsid w:val="00511593"/>
    <w:rsid w:val="00511B88"/>
    <w:rsid w:val="00511BD3"/>
    <w:rsid w:val="0051236C"/>
    <w:rsid w:val="00512A77"/>
    <w:rsid w:val="00512B61"/>
    <w:rsid w:val="00512CD7"/>
    <w:rsid w:val="00513218"/>
    <w:rsid w:val="0051348F"/>
    <w:rsid w:val="005141C6"/>
    <w:rsid w:val="0051474D"/>
    <w:rsid w:val="0051484D"/>
    <w:rsid w:val="005149DF"/>
    <w:rsid w:val="00514B8F"/>
    <w:rsid w:val="00514C92"/>
    <w:rsid w:val="00514CF2"/>
    <w:rsid w:val="00514E69"/>
    <w:rsid w:val="00514F3F"/>
    <w:rsid w:val="0051524D"/>
    <w:rsid w:val="00515591"/>
    <w:rsid w:val="005156EC"/>
    <w:rsid w:val="005158B6"/>
    <w:rsid w:val="00515BC6"/>
    <w:rsid w:val="00515E35"/>
    <w:rsid w:val="005160EF"/>
    <w:rsid w:val="00516368"/>
    <w:rsid w:val="0051676B"/>
    <w:rsid w:val="00516C4F"/>
    <w:rsid w:val="0051749D"/>
    <w:rsid w:val="0051754F"/>
    <w:rsid w:val="0051780A"/>
    <w:rsid w:val="00517A60"/>
    <w:rsid w:val="00517BB3"/>
    <w:rsid w:val="00517C80"/>
    <w:rsid w:val="00517D36"/>
    <w:rsid w:val="0052020B"/>
    <w:rsid w:val="00520566"/>
    <w:rsid w:val="00520B1E"/>
    <w:rsid w:val="005216DD"/>
    <w:rsid w:val="0052182F"/>
    <w:rsid w:val="005219C9"/>
    <w:rsid w:val="0052206D"/>
    <w:rsid w:val="005228B2"/>
    <w:rsid w:val="00522CF7"/>
    <w:rsid w:val="005230F1"/>
    <w:rsid w:val="005233EA"/>
    <w:rsid w:val="0052342E"/>
    <w:rsid w:val="00523E09"/>
    <w:rsid w:val="00523FE3"/>
    <w:rsid w:val="005241FC"/>
    <w:rsid w:val="00524400"/>
    <w:rsid w:val="00524E76"/>
    <w:rsid w:val="005257CC"/>
    <w:rsid w:val="005259FB"/>
    <w:rsid w:val="0052637A"/>
    <w:rsid w:val="00526964"/>
    <w:rsid w:val="00526976"/>
    <w:rsid w:val="00526A0F"/>
    <w:rsid w:val="00526F70"/>
    <w:rsid w:val="005270DF"/>
    <w:rsid w:val="0052743E"/>
    <w:rsid w:val="00527A2E"/>
    <w:rsid w:val="00527D4B"/>
    <w:rsid w:val="00530682"/>
    <w:rsid w:val="005306A0"/>
    <w:rsid w:val="00530884"/>
    <w:rsid w:val="00530B25"/>
    <w:rsid w:val="00530DF5"/>
    <w:rsid w:val="00531153"/>
    <w:rsid w:val="0053171C"/>
    <w:rsid w:val="00531AFD"/>
    <w:rsid w:val="005322CF"/>
    <w:rsid w:val="0053253F"/>
    <w:rsid w:val="005325AA"/>
    <w:rsid w:val="00532880"/>
    <w:rsid w:val="005329EB"/>
    <w:rsid w:val="00532F56"/>
    <w:rsid w:val="00533D6F"/>
    <w:rsid w:val="00533E28"/>
    <w:rsid w:val="005348E0"/>
    <w:rsid w:val="00535171"/>
    <w:rsid w:val="00535623"/>
    <w:rsid w:val="00535637"/>
    <w:rsid w:val="005356AB"/>
    <w:rsid w:val="00535EB0"/>
    <w:rsid w:val="00537736"/>
    <w:rsid w:val="00537BFD"/>
    <w:rsid w:val="00537E01"/>
    <w:rsid w:val="00540430"/>
    <w:rsid w:val="005407E6"/>
    <w:rsid w:val="0054098B"/>
    <w:rsid w:val="00541262"/>
    <w:rsid w:val="0054161F"/>
    <w:rsid w:val="0054173E"/>
    <w:rsid w:val="00541788"/>
    <w:rsid w:val="005421BE"/>
    <w:rsid w:val="00542739"/>
    <w:rsid w:val="00542890"/>
    <w:rsid w:val="00542C73"/>
    <w:rsid w:val="00542F46"/>
    <w:rsid w:val="00543052"/>
    <w:rsid w:val="00543179"/>
    <w:rsid w:val="00543872"/>
    <w:rsid w:val="0054404E"/>
    <w:rsid w:val="005440FD"/>
    <w:rsid w:val="0054475A"/>
    <w:rsid w:val="005447B8"/>
    <w:rsid w:val="00544FAD"/>
    <w:rsid w:val="005454C1"/>
    <w:rsid w:val="00546499"/>
    <w:rsid w:val="00546A8C"/>
    <w:rsid w:val="005476D8"/>
    <w:rsid w:val="00547AFA"/>
    <w:rsid w:val="00547DF2"/>
    <w:rsid w:val="00550092"/>
    <w:rsid w:val="005500E0"/>
    <w:rsid w:val="005503AF"/>
    <w:rsid w:val="005508BC"/>
    <w:rsid w:val="00550C84"/>
    <w:rsid w:val="00550ED5"/>
    <w:rsid w:val="0055111D"/>
    <w:rsid w:val="005514B8"/>
    <w:rsid w:val="005518B3"/>
    <w:rsid w:val="00551D9C"/>
    <w:rsid w:val="00551F0F"/>
    <w:rsid w:val="00552122"/>
    <w:rsid w:val="00552191"/>
    <w:rsid w:val="00552279"/>
    <w:rsid w:val="00552812"/>
    <w:rsid w:val="00553202"/>
    <w:rsid w:val="00553276"/>
    <w:rsid w:val="00553448"/>
    <w:rsid w:val="0055378D"/>
    <w:rsid w:val="00554097"/>
    <w:rsid w:val="00554468"/>
    <w:rsid w:val="005544D6"/>
    <w:rsid w:val="005549F3"/>
    <w:rsid w:val="00554B7B"/>
    <w:rsid w:val="00554C48"/>
    <w:rsid w:val="00554CE7"/>
    <w:rsid w:val="00555417"/>
    <w:rsid w:val="005557CC"/>
    <w:rsid w:val="005558CB"/>
    <w:rsid w:val="005562D1"/>
    <w:rsid w:val="0055642C"/>
    <w:rsid w:val="00556561"/>
    <w:rsid w:val="00556636"/>
    <w:rsid w:val="005568A3"/>
    <w:rsid w:val="00556ED9"/>
    <w:rsid w:val="00556FDB"/>
    <w:rsid w:val="0055734C"/>
    <w:rsid w:val="00557752"/>
    <w:rsid w:val="00557769"/>
    <w:rsid w:val="00557919"/>
    <w:rsid w:val="00557B96"/>
    <w:rsid w:val="00557E2E"/>
    <w:rsid w:val="00560079"/>
    <w:rsid w:val="00560236"/>
    <w:rsid w:val="005602F4"/>
    <w:rsid w:val="00560E36"/>
    <w:rsid w:val="005611B2"/>
    <w:rsid w:val="005613CD"/>
    <w:rsid w:val="00561598"/>
    <w:rsid w:val="00561DA8"/>
    <w:rsid w:val="00561E8E"/>
    <w:rsid w:val="00562631"/>
    <w:rsid w:val="005628F5"/>
    <w:rsid w:val="00562A79"/>
    <w:rsid w:val="00562EE7"/>
    <w:rsid w:val="005636E7"/>
    <w:rsid w:val="00563AA3"/>
    <w:rsid w:val="00563B63"/>
    <w:rsid w:val="00563D49"/>
    <w:rsid w:val="00563EFC"/>
    <w:rsid w:val="00564A77"/>
    <w:rsid w:val="00564AAD"/>
    <w:rsid w:val="00564DCF"/>
    <w:rsid w:val="00565718"/>
    <w:rsid w:val="00565D8E"/>
    <w:rsid w:val="0056620F"/>
    <w:rsid w:val="00566A88"/>
    <w:rsid w:val="00566D1A"/>
    <w:rsid w:val="00566FA5"/>
    <w:rsid w:val="00566FF6"/>
    <w:rsid w:val="00567185"/>
    <w:rsid w:val="005672BA"/>
    <w:rsid w:val="0056750E"/>
    <w:rsid w:val="00567812"/>
    <w:rsid w:val="0057083A"/>
    <w:rsid w:val="00570FE9"/>
    <w:rsid w:val="00571085"/>
    <w:rsid w:val="005711AA"/>
    <w:rsid w:val="00571361"/>
    <w:rsid w:val="0057151A"/>
    <w:rsid w:val="005715B8"/>
    <w:rsid w:val="005723FD"/>
    <w:rsid w:val="00572476"/>
    <w:rsid w:val="00572630"/>
    <w:rsid w:val="005728B7"/>
    <w:rsid w:val="00572B11"/>
    <w:rsid w:val="00573509"/>
    <w:rsid w:val="005736A6"/>
    <w:rsid w:val="00573966"/>
    <w:rsid w:val="00573CAD"/>
    <w:rsid w:val="00573FE4"/>
    <w:rsid w:val="00574077"/>
    <w:rsid w:val="00574412"/>
    <w:rsid w:val="00575261"/>
    <w:rsid w:val="00575F57"/>
    <w:rsid w:val="005762F3"/>
    <w:rsid w:val="00576634"/>
    <w:rsid w:val="005772CC"/>
    <w:rsid w:val="00577843"/>
    <w:rsid w:val="00577E93"/>
    <w:rsid w:val="005805D3"/>
    <w:rsid w:val="00580D61"/>
    <w:rsid w:val="00580ED4"/>
    <w:rsid w:val="00581032"/>
    <w:rsid w:val="0058140E"/>
    <w:rsid w:val="00581697"/>
    <w:rsid w:val="0058170B"/>
    <w:rsid w:val="00581990"/>
    <w:rsid w:val="00582620"/>
    <w:rsid w:val="00582C20"/>
    <w:rsid w:val="00582C79"/>
    <w:rsid w:val="00582CDC"/>
    <w:rsid w:val="00582E9E"/>
    <w:rsid w:val="00582F9A"/>
    <w:rsid w:val="00582FBD"/>
    <w:rsid w:val="0058347D"/>
    <w:rsid w:val="0058429A"/>
    <w:rsid w:val="00584CE1"/>
    <w:rsid w:val="00584D81"/>
    <w:rsid w:val="00584E59"/>
    <w:rsid w:val="00585434"/>
    <w:rsid w:val="0058599D"/>
    <w:rsid w:val="00585C74"/>
    <w:rsid w:val="00585F6A"/>
    <w:rsid w:val="00586348"/>
    <w:rsid w:val="00586B52"/>
    <w:rsid w:val="00586B5F"/>
    <w:rsid w:val="00586D42"/>
    <w:rsid w:val="00586E18"/>
    <w:rsid w:val="00587700"/>
    <w:rsid w:val="00587766"/>
    <w:rsid w:val="005877FF"/>
    <w:rsid w:val="00587FBA"/>
    <w:rsid w:val="005902E0"/>
    <w:rsid w:val="00590736"/>
    <w:rsid w:val="00590CB9"/>
    <w:rsid w:val="00590DE9"/>
    <w:rsid w:val="00590F93"/>
    <w:rsid w:val="0059109E"/>
    <w:rsid w:val="005911D8"/>
    <w:rsid w:val="00591E10"/>
    <w:rsid w:val="00591FA3"/>
    <w:rsid w:val="005921B2"/>
    <w:rsid w:val="005926C7"/>
    <w:rsid w:val="005938E4"/>
    <w:rsid w:val="00593B52"/>
    <w:rsid w:val="00593CE5"/>
    <w:rsid w:val="0059410F"/>
    <w:rsid w:val="0059465E"/>
    <w:rsid w:val="005947BB"/>
    <w:rsid w:val="00595009"/>
    <w:rsid w:val="0059507A"/>
    <w:rsid w:val="005961F4"/>
    <w:rsid w:val="00596575"/>
    <w:rsid w:val="0059718D"/>
    <w:rsid w:val="00597857"/>
    <w:rsid w:val="005979A8"/>
    <w:rsid w:val="00597C2F"/>
    <w:rsid w:val="00597D46"/>
    <w:rsid w:val="00597EA4"/>
    <w:rsid w:val="005A069F"/>
    <w:rsid w:val="005A083C"/>
    <w:rsid w:val="005A0B48"/>
    <w:rsid w:val="005A0D24"/>
    <w:rsid w:val="005A2718"/>
    <w:rsid w:val="005A2BF8"/>
    <w:rsid w:val="005A2E68"/>
    <w:rsid w:val="005A36D9"/>
    <w:rsid w:val="005A3802"/>
    <w:rsid w:val="005A4B1E"/>
    <w:rsid w:val="005A4C5C"/>
    <w:rsid w:val="005A4F51"/>
    <w:rsid w:val="005A4FC6"/>
    <w:rsid w:val="005A5457"/>
    <w:rsid w:val="005A5C47"/>
    <w:rsid w:val="005A5C49"/>
    <w:rsid w:val="005A5DCB"/>
    <w:rsid w:val="005A5F84"/>
    <w:rsid w:val="005A64B2"/>
    <w:rsid w:val="005A65B9"/>
    <w:rsid w:val="005A6DDC"/>
    <w:rsid w:val="005A6F91"/>
    <w:rsid w:val="005A73BF"/>
    <w:rsid w:val="005A74E1"/>
    <w:rsid w:val="005A75D7"/>
    <w:rsid w:val="005A7A23"/>
    <w:rsid w:val="005A7B73"/>
    <w:rsid w:val="005B00ED"/>
    <w:rsid w:val="005B023A"/>
    <w:rsid w:val="005B05ED"/>
    <w:rsid w:val="005B0790"/>
    <w:rsid w:val="005B0B23"/>
    <w:rsid w:val="005B0E33"/>
    <w:rsid w:val="005B0FD2"/>
    <w:rsid w:val="005B1012"/>
    <w:rsid w:val="005B15CD"/>
    <w:rsid w:val="005B1C72"/>
    <w:rsid w:val="005B1D73"/>
    <w:rsid w:val="005B1F00"/>
    <w:rsid w:val="005B1F6B"/>
    <w:rsid w:val="005B22FE"/>
    <w:rsid w:val="005B243C"/>
    <w:rsid w:val="005B257C"/>
    <w:rsid w:val="005B26CD"/>
    <w:rsid w:val="005B27E6"/>
    <w:rsid w:val="005B285D"/>
    <w:rsid w:val="005B2A4F"/>
    <w:rsid w:val="005B2B92"/>
    <w:rsid w:val="005B2BAA"/>
    <w:rsid w:val="005B2C3B"/>
    <w:rsid w:val="005B2FBF"/>
    <w:rsid w:val="005B302C"/>
    <w:rsid w:val="005B37DC"/>
    <w:rsid w:val="005B3921"/>
    <w:rsid w:val="005B519D"/>
    <w:rsid w:val="005B595A"/>
    <w:rsid w:val="005B5AED"/>
    <w:rsid w:val="005B64B8"/>
    <w:rsid w:val="005B6674"/>
    <w:rsid w:val="005B6A4B"/>
    <w:rsid w:val="005B6AC3"/>
    <w:rsid w:val="005B6F5A"/>
    <w:rsid w:val="005B7086"/>
    <w:rsid w:val="005B70D8"/>
    <w:rsid w:val="005B7FE1"/>
    <w:rsid w:val="005C045C"/>
    <w:rsid w:val="005C0BB3"/>
    <w:rsid w:val="005C0BF2"/>
    <w:rsid w:val="005C0E17"/>
    <w:rsid w:val="005C15C5"/>
    <w:rsid w:val="005C171A"/>
    <w:rsid w:val="005C2491"/>
    <w:rsid w:val="005C25B0"/>
    <w:rsid w:val="005C274D"/>
    <w:rsid w:val="005C2B60"/>
    <w:rsid w:val="005C2CEB"/>
    <w:rsid w:val="005C300F"/>
    <w:rsid w:val="005C3319"/>
    <w:rsid w:val="005C3349"/>
    <w:rsid w:val="005C34AE"/>
    <w:rsid w:val="005C363D"/>
    <w:rsid w:val="005C3D1E"/>
    <w:rsid w:val="005C3DD3"/>
    <w:rsid w:val="005C3E0A"/>
    <w:rsid w:val="005C5516"/>
    <w:rsid w:val="005C5574"/>
    <w:rsid w:val="005C56CF"/>
    <w:rsid w:val="005C5A6A"/>
    <w:rsid w:val="005C5DB0"/>
    <w:rsid w:val="005C5F9E"/>
    <w:rsid w:val="005C5FD0"/>
    <w:rsid w:val="005C6532"/>
    <w:rsid w:val="005C6EFE"/>
    <w:rsid w:val="005C7299"/>
    <w:rsid w:val="005C7668"/>
    <w:rsid w:val="005C7859"/>
    <w:rsid w:val="005C7DAE"/>
    <w:rsid w:val="005C7E6E"/>
    <w:rsid w:val="005C7F3D"/>
    <w:rsid w:val="005D0090"/>
    <w:rsid w:val="005D04BF"/>
    <w:rsid w:val="005D079C"/>
    <w:rsid w:val="005D0D2D"/>
    <w:rsid w:val="005D12DE"/>
    <w:rsid w:val="005D15C6"/>
    <w:rsid w:val="005D16F5"/>
    <w:rsid w:val="005D1995"/>
    <w:rsid w:val="005D27D4"/>
    <w:rsid w:val="005D285A"/>
    <w:rsid w:val="005D2F2E"/>
    <w:rsid w:val="005D31FA"/>
    <w:rsid w:val="005D36BF"/>
    <w:rsid w:val="005D3886"/>
    <w:rsid w:val="005D3FA5"/>
    <w:rsid w:val="005D402F"/>
    <w:rsid w:val="005D4034"/>
    <w:rsid w:val="005D4795"/>
    <w:rsid w:val="005D47D4"/>
    <w:rsid w:val="005D4E47"/>
    <w:rsid w:val="005D4EB1"/>
    <w:rsid w:val="005D573E"/>
    <w:rsid w:val="005D57E6"/>
    <w:rsid w:val="005D57F2"/>
    <w:rsid w:val="005D5FCB"/>
    <w:rsid w:val="005D61C6"/>
    <w:rsid w:val="005D6327"/>
    <w:rsid w:val="005D6A44"/>
    <w:rsid w:val="005D6D77"/>
    <w:rsid w:val="005D6EA8"/>
    <w:rsid w:val="005D7083"/>
    <w:rsid w:val="005D714D"/>
    <w:rsid w:val="005D727B"/>
    <w:rsid w:val="005D73EE"/>
    <w:rsid w:val="005D7465"/>
    <w:rsid w:val="005D771E"/>
    <w:rsid w:val="005D7755"/>
    <w:rsid w:val="005D7B2E"/>
    <w:rsid w:val="005E089C"/>
    <w:rsid w:val="005E0A58"/>
    <w:rsid w:val="005E0CCB"/>
    <w:rsid w:val="005E0D23"/>
    <w:rsid w:val="005E11A2"/>
    <w:rsid w:val="005E11D5"/>
    <w:rsid w:val="005E12AA"/>
    <w:rsid w:val="005E1AFB"/>
    <w:rsid w:val="005E1D60"/>
    <w:rsid w:val="005E1FB3"/>
    <w:rsid w:val="005E22FE"/>
    <w:rsid w:val="005E2653"/>
    <w:rsid w:val="005E272E"/>
    <w:rsid w:val="005E27D2"/>
    <w:rsid w:val="005E281F"/>
    <w:rsid w:val="005E2934"/>
    <w:rsid w:val="005E3402"/>
    <w:rsid w:val="005E36EA"/>
    <w:rsid w:val="005E50ED"/>
    <w:rsid w:val="005E5235"/>
    <w:rsid w:val="005E5BDA"/>
    <w:rsid w:val="005E5C44"/>
    <w:rsid w:val="005E5EA3"/>
    <w:rsid w:val="005E606C"/>
    <w:rsid w:val="005E64F0"/>
    <w:rsid w:val="005E6537"/>
    <w:rsid w:val="005E67CD"/>
    <w:rsid w:val="005E6AC3"/>
    <w:rsid w:val="005E7201"/>
    <w:rsid w:val="005E7275"/>
    <w:rsid w:val="005E73EC"/>
    <w:rsid w:val="005E7A6A"/>
    <w:rsid w:val="005E7BE2"/>
    <w:rsid w:val="005E7DC0"/>
    <w:rsid w:val="005F0525"/>
    <w:rsid w:val="005F0EC6"/>
    <w:rsid w:val="005F12CB"/>
    <w:rsid w:val="005F1376"/>
    <w:rsid w:val="005F13CD"/>
    <w:rsid w:val="005F1408"/>
    <w:rsid w:val="005F1A56"/>
    <w:rsid w:val="005F1AAF"/>
    <w:rsid w:val="005F1C8D"/>
    <w:rsid w:val="005F206C"/>
    <w:rsid w:val="005F21A4"/>
    <w:rsid w:val="005F2307"/>
    <w:rsid w:val="005F2B24"/>
    <w:rsid w:val="005F2B81"/>
    <w:rsid w:val="005F2E55"/>
    <w:rsid w:val="005F386F"/>
    <w:rsid w:val="005F3AAD"/>
    <w:rsid w:val="005F3C5A"/>
    <w:rsid w:val="005F3FD9"/>
    <w:rsid w:val="005F4113"/>
    <w:rsid w:val="005F4CA9"/>
    <w:rsid w:val="005F5442"/>
    <w:rsid w:val="005F55FC"/>
    <w:rsid w:val="005F5985"/>
    <w:rsid w:val="005F5F3E"/>
    <w:rsid w:val="005F5FB3"/>
    <w:rsid w:val="005F6BCD"/>
    <w:rsid w:val="005F6C18"/>
    <w:rsid w:val="005F6FD1"/>
    <w:rsid w:val="005F745B"/>
    <w:rsid w:val="005F7C60"/>
    <w:rsid w:val="00601C12"/>
    <w:rsid w:val="006025FA"/>
    <w:rsid w:val="006027E4"/>
    <w:rsid w:val="0060383A"/>
    <w:rsid w:val="00603A2C"/>
    <w:rsid w:val="00603D71"/>
    <w:rsid w:val="006043B1"/>
    <w:rsid w:val="00604B56"/>
    <w:rsid w:val="00604EFA"/>
    <w:rsid w:val="00605CD9"/>
    <w:rsid w:val="00605D1B"/>
    <w:rsid w:val="00605D61"/>
    <w:rsid w:val="006064F2"/>
    <w:rsid w:val="006069D0"/>
    <w:rsid w:val="006076BE"/>
    <w:rsid w:val="006077A5"/>
    <w:rsid w:val="006077A6"/>
    <w:rsid w:val="00607B04"/>
    <w:rsid w:val="00607CC5"/>
    <w:rsid w:val="00610382"/>
    <w:rsid w:val="00610411"/>
    <w:rsid w:val="0061083A"/>
    <w:rsid w:val="0061098F"/>
    <w:rsid w:val="006117DD"/>
    <w:rsid w:val="00612281"/>
    <w:rsid w:val="006122A3"/>
    <w:rsid w:val="00612385"/>
    <w:rsid w:val="006127A0"/>
    <w:rsid w:val="0061282D"/>
    <w:rsid w:val="00612C7A"/>
    <w:rsid w:val="00612F1D"/>
    <w:rsid w:val="00613EA2"/>
    <w:rsid w:val="00614758"/>
    <w:rsid w:val="00614B9E"/>
    <w:rsid w:val="00614FEA"/>
    <w:rsid w:val="00615687"/>
    <w:rsid w:val="006157E9"/>
    <w:rsid w:val="00615870"/>
    <w:rsid w:val="00616679"/>
    <w:rsid w:val="00616AEC"/>
    <w:rsid w:val="00616B0E"/>
    <w:rsid w:val="00616B6B"/>
    <w:rsid w:val="00616F36"/>
    <w:rsid w:val="00617C31"/>
    <w:rsid w:val="00617CD9"/>
    <w:rsid w:val="00617E39"/>
    <w:rsid w:val="00617FD7"/>
    <w:rsid w:val="00617FD8"/>
    <w:rsid w:val="00621069"/>
    <w:rsid w:val="00621568"/>
    <w:rsid w:val="00621838"/>
    <w:rsid w:val="00621A14"/>
    <w:rsid w:val="0062214B"/>
    <w:rsid w:val="0062220E"/>
    <w:rsid w:val="006223EB"/>
    <w:rsid w:val="00622567"/>
    <w:rsid w:val="00622574"/>
    <w:rsid w:val="006235BD"/>
    <w:rsid w:val="00623652"/>
    <w:rsid w:val="00623ED3"/>
    <w:rsid w:val="006240F9"/>
    <w:rsid w:val="0062471B"/>
    <w:rsid w:val="00624B8E"/>
    <w:rsid w:val="00624F71"/>
    <w:rsid w:val="00624FCE"/>
    <w:rsid w:val="00625421"/>
    <w:rsid w:val="006254B0"/>
    <w:rsid w:val="006255B0"/>
    <w:rsid w:val="00625C39"/>
    <w:rsid w:val="0062607D"/>
    <w:rsid w:val="006260BA"/>
    <w:rsid w:val="00626BEE"/>
    <w:rsid w:val="00626CB4"/>
    <w:rsid w:val="00627268"/>
    <w:rsid w:val="0062764A"/>
    <w:rsid w:val="006276C1"/>
    <w:rsid w:val="00627D90"/>
    <w:rsid w:val="00627FB8"/>
    <w:rsid w:val="0063066F"/>
    <w:rsid w:val="006306CB"/>
    <w:rsid w:val="0063095F"/>
    <w:rsid w:val="00630BAC"/>
    <w:rsid w:val="00630EEB"/>
    <w:rsid w:val="00631663"/>
    <w:rsid w:val="006316AF"/>
    <w:rsid w:val="00631C69"/>
    <w:rsid w:val="006332BD"/>
    <w:rsid w:val="006333AF"/>
    <w:rsid w:val="006333D3"/>
    <w:rsid w:val="0063346E"/>
    <w:rsid w:val="0063363F"/>
    <w:rsid w:val="00633924"/>
    <w:rsid w:val="00633EDE"/>
    <w:rsid w:val="00634FD2"/>
    <w:rsid w:val="0063559F"/>
    <w:rsid w:val="00635D1C"/>
    <w:rsid w:val="00636ADE"/>
    <w:rsid w:val="00636B3A"/>
    <w:rsid w:val="00636C2F"/>
    <w:rsid w:val="00636E92"/>
    <w:rsid w:val="0063706A"/>
    <w:rsid w:val="006370EA"/>
    <w:rsid w:val="0063743E"/>
    <w:rsid w:val="00637504"/>
    <w:rsid w:val="00637D5E"/>
    <w:rsid w:val="00637E04"/>
    <w:rsid w:val="00640548"/>
    <w:rsid w:val="00640732"/>
    <w:rsid w:val="00640D58"/>
    <w:rsid w:val="006414B2"/>
    <w:rsid w:val="00641FE9"/>
    <w:rsid w:val="00642146"/>
    <w:rsid w:val="00642514"/>
    <w:rsid w:val="00642845"/>
    <w:rsid w:val="00642A6A"/>
    <w:rsid w:val="00642BD4"/>
    <w:rsid w:val="00642DB1"/>
    <w:rsid w:val="00642E8B"/>
    <w:rsid w:val="00643935"/>
    <w:rsid w:val="00643CAB"/>
    <w:rsid w:val="00643EB3"/>
    <w:rsid w:val="00644070"/>
    <w:rsid w:val="0064425F"/>
    <w:rsid w:val="0064431B"/>
    <w:rsid w:val="00644449"/>
    <w:rsid w:val="006446C5"/>
    <w:rsid w:val="00644842"/>
    <w:rsid w:val="00644857"/>
    <w:rsid w:val="00644C43"/>
    <w:rsid w:val="006453D3"/>
    <w:rsid w:val="006455EE"/>
    <w:rsid w:val="006456F0"/>
    <w:rsid w:val="00645BAC"/>
    <w:rsid w:val="00645FAA"/>
    <w:rsid w:val="00646583"/>
    <w:rsid w:val="006469B6"/>
    <w:rsid w:val="006478A2"/>
    <w:rsid w:val="00647E7C"/>
    <w:rsid w:val="006501C4"/>
    <w:rsid w:val="00650389"/>
    <w:rsid w:val="00650BA8"/>
    <w:rsid w:val="00651812"/>
    <w:rsid w:val="00651C4A"/>
    <w:rsid w:val="00651D2F"/>
    <w:rsid w:val="00651EAE"/>
    <w:rsid w:val="00651F44"/>
    <w:rsid w:val="0065223B"/>
    <w:rsid w:val="00652663"/>
    <w:rsid w:val="00652BD2"/>
    <w:rsid w:val="00652C1E"/>
    <w:rsid w:val="00652D0A"/>
    <w:rsid w:val="006533E3"/>
    <w:rsid w:val="0065357B"/>
    <w:rsid w:val="0065363F"/>
    <w:rsid w:val="006541BA"/>
    <w:rsid w:val="00654355"/>
    <w:rsid w:val="00654405"/>
    <w:rsid w:val="006546F9"/>
    <w:rsid w:val="00655233"/>
    <w:rsid w:val="00655598"/>
    <w:rsid w:val="00655E27"/>
    <w:rsid w:val="00657126"/>
    <w:rsid w:val="0065748A"/>
    <w:rsid w:val="00657941"/>
    <w:rsid w:val="00657D03"/>
    <w:rsid w:val="00660339"/>
    <w:rsid w:val="00660C9B"/>
    <w:rsid w:val="00661570"/>
    <w:rsid w:val="00661EC2"/>
    <w:rsid w:val="0066217E"/>
    <w:rsid w:val="006621EA"/>
    <w:rsid w:val="006627C9"/>
    <w:rsid w:val="00662DDF"/>
    <w:rsid w:val="00662FEF"/>
    <w:rsid w:val="0066349B"/>
    <w:rsid w:val="00663501"/>
    <w:rsid w:val="0066373D"/>
    <w:rsid w:val="00663FAA"/>
    <w:rsid w:val="00664A62"/>
    <w:rsid w:val="0066502D"/>
    <w:rsid w:val="006651CB"/>
    <w:rsid w:val="00665979"/>
    <w:rsid w:val="00665A3A"/>
    <w:rsid w:val="00665BE8"/>
    <w:rsid w:val="006661E8"/>
    <w:rsid w:val="00666303"/>
    <w:rsid w:val="0066652D"/>
    <w:rsid w:val="00666688"/>
    <w:rsid w:val="0066668B"/>
    <w:rsid w:val="0066682F"/>
    <w:rsid w:val="0066683F"/>
    <w:rsid w:val="00666DC7"/>
    <w:rsid w:val="00666DD4"/>
    <w:rsid w:val="00667146"/>
    <w:rsid w:val="0066727D"/>
    <w:rsid w:val="006672CB"/>
    <w:rsid w:val="006674B6"/>
    <w:rsid w:val="006675B1"/>
    <w:rsid w:val="00667668"/>
    <w:rsid w:val="006678D0"/>
    <w:rsid w:val="00667C0F"/>
    <w:rsid w:val="00667FA3"/>
    <w:rsid w:val="0067049F"/>
    <w:rsid w:val="006705D4"/>
    <w:rsid w:val="00670AF9"/>
    <w:rsid w:val="00670EF5"/>
    <w:rsid w:val="00671044"/>
    <w:rsid w:val="006715EB"/>
    <w:rsid w:val="006721AA"/>
    <w:rsid w:val="00672220"/>
    <w:rsid w:val="006722FD"/>
    <w:rsid w:val="006725F7"/>
    <w:rsid w:val="00672626"/>
    <w:rsid w:val="00672A4C"/>
    <w:rsid w:val="0067320A"/>
    <w:rsid w:val="006734F9"/>
    <w:rsid w:val="0067382E"/>
    <w:rsid w:val="006738EF"/>
    <w:rsid w:val="00673AD5"/>
    <w:rsid w:val="00673B31"/>
    <w:rsid w:val="00673CCD"/>
    <w:rsid w:val="00674052"/>
    <w:rsid w:val="00674563"/>
    <w:rsid w:val="006748DE"/>
    <w:rsid w:val="00674A52"/>
    <w:rsid w:val="00674DCD"/>
    <w:rsid w:val="00674EFC"/>
    <w:rsid w:val="00674F18"/>
    <w:rsid w:val="0067571D"/>
    <w:rsid w:val="00675D61"/>
    <w:rsid w:val="00675F24"/>
    <w:rsid w:val="0067674D"/>
    <w:rsid w:val="00676799"/>
    <w:rsid w:val="006769D2"/>
    <w:rsid w:val="0067745A"/>
    <w:rsid w:val="006776D6"/>
    <w:rsid w:val="006778F8"/>
    <w:rsid w:val="006779B2"/>
    <w:rsid w:val="00677E67"/>
    <w:rsid w:val="00677F53"/>
    <w:rsid w:val="006800AE"/>
    <w:rsid w:val="006801A1"/>
    <w:rsid w:val="0068073F"/>
    <w:rsid w:val="00680CF5"/>
    <w:rsid w:val="00680F86"/>
    <w:rsid w:val="006810D3"/>
    <w:rsid w:val="0068118E"/>
    <w:rsid w:val="00681361"/>
    <w:rsid w:val="00681AF9"/>
    <w:rsid w:val="00681C1C"/>
    <w:rsid w:val="00681D14"/>
    <w:rsid w:val="00681F88"/>
    <w:rsid w:val="006821B0"/>
    <w:rsid w:val="00682519"/>
    <w:rsid w:val="00682860"/>
    <w:rsid w:val="00682E0C"/>
    <w:rsid w:val="006834FF"/>
    <w:rsid w:val="00683914"/>
    <w:rsid w:val="00683B08"/>
    <w:rsid w:val="00684527"/>
    <w:rsid w:val="00684B56"/>
    <w:rsid w:val="00684E2D"/>
    <w:rsid w:val="00684E66"/>
    <w:rsid w:val="00684FB9"/>
    <w:rsid w:val="0068558C"/>
    <w:rsid w:val="00685888"/>
    <w:rsid w:val="00686063"/>
    <w:rsid w:val="006869F6"/>
    <w:rsid w:val="00686C2A"/>
    <w:rsid w:val="006878A9"/>
    <w:rsid w:val="00687A66"/>
    <w:rsid w:val="00687B34"/>
    <w:rsid w:val="00690284"/>
    <w:rsid w:val="006904DA"/>
    <w:rsid w:val="006912C4"/>
    <w:rsid w:val="00691638"/>
    <w:rsid w:val="00691BC2"/>
    <w:rsid w:val="00692184"/>
    <w:rsid w:val="006927EB"/>
    <w:rsid w:val="00692824"/>
    <w:rsid w:val="00692A54"/>
    <w:rsid w:val="00692EA5"/>
    <w:rsid w:val="00692ED6"/>
    <w:rsid w:val="00692FA0"/>
    <w:rsid w:val="00693972"/>
    <w:rsid w:val="00693F40"/>
    <w:rsid w:val="0069405D"/>
    <w:rsid w:val="0069544F"/>
    <w:rsid w:val="00695C44"/>
    <w:rsid w:val="00695F78"/>
    <w:rsid w:val="006961EA"/>
    <w:rsid w:val="006963CC"/>
    <w:rsid w:val="00696CFE"/>
    <w:rsid w:val="0069739A"/>
    <w:rsid w:val="00697964"/>
    <w:rsid w:val="00697AD2"/>
    <w:rsid w:val="006A05C7"/>
    <w:rsid w:val="006A0D3C"/>
    <w:rsid w:val="006A0DEA"/>
    <w:rsid w:val="006A0EDD"/>
    <w:rsid w:val="006A10E7"/>
    <w:rsid w:val="006A1A35"/>
    <w:rsid w:val="006A1CA6"/>
    <w:rsid w:val="006A1FE5"/>
    <w:rsid w:val="006A2031"/>
    <w:rsid w:val="006A236D"/>
    <w:rsid w:val="006A24D4"/>
    <w:rsid w:val="006A2FBE"/>
    <w:rsid w:val="006A3204"/>
    <w:rsid w:val="006A382D"/>
    <w:rsid w:val="006A3E5C"/>
    <w:rsid w:val="006A3EDD"/>
    <w:rsid w:val="006A4B31"/>
    <w:rsid w:val="006A53E9"/>
    <w:rsid w:val="006A61D2"/>
    <w:rsid w:val="006A61F3"/>
    <w:rsid w:val="006A640A"/>
    <w:rsid w:val="006A660D"/>
    <w:rsid w:val="006A6A95"/>
    <w:rsid w:val="006A6D94"/>
    <w:rsid w:val="006B0236"/>
    <w:rsid w:val="006B0548"/>
    <w:rsid w:val="006B0CE7"/>
    <w:rsid w:val="006B0E47"/>
    <w:rsid w:val="006B15C7"/>
    <w:rsid w:val="006B1C54"/>
    <w:rsid w:val="006B1CB5"/>
    <w:rsid w:val="006B1E19"/>
    <w:rsid w:val="006B1F74"/>
    <w:rsid w:val="006B1FBA"/>
    <w:rsid w:val="006B2387"/>
    <w:rsid w:val="006B25C4"/>
    <w:rsid w:val="006B2708"/>
    <w:rsid w:val="006B27EA"/>
    <w:rsid w:val="006B3D7A"/>
    <w:rsid w:val="006B3D93"/>
    <w:rsid w:val="006B4425"/>
    <w:rsid w:val="006B4505"/>
    <w:rsid w:val="006B4C1E"/>
    <w:rsid w:val="006B4E9A"/>
    <w:rsid w:val="006B5299"/>
    <w:rsid w:val="006B5845"/>
    <w:rsid w:val="006B5C31"/>
    <w:rsid w:val="006B5E92"/>
    <w:rsid w:val="006B6253"/>
    <w:rsid w:val="006B66EC"/>
    <w:rsid w:val="006B68F7"/>
    <w:rsid w:val="006B6BD4"/>
    <w:rsid w:val="006B6CB7"/>
    <w:rsid w:val="006B6CF3"/>
    <w:rsid w:val="006B7197"/>
    <w:rsid w:val="006B71F0"/>
    <w:rsid w:val="006B77C0"/>
    <w:rsid w:val="006B7F9D"/>
    <w:rsid w:val="006C007D"/>
    <w:rsid w:val="006C01C7"/>
    <w:rsid w:val="006C0B4D"/>
    <w:rsid w:val="006C1499"/>
    <w:rsid w:val="006C157F"/>
    <w:rsid w:val="006C178E"/>
    <w:rsid w:val="006C20CD"/>
    <w:rsid w:val="006C2224"/>
    <w:rsid w:val="006C226A"/>
    <w:rsid w:val="006C273C"/>
    <w:rsid w:val="006C2FC4"/>
    <w:rsid w:val="006C3131"/>
    <w:rsid w:val="006C36AD"/>
    <w:rsid w:val="006C36F6"/>
    <w:rsid w:val="006C3AB1"/>
    <w:rsid w:val="006C3C6F"/>
    <w:rsid w:val="006C49CA"/>
    <w:rsid w:val="006C4AA0"/>
    <w:rsid w:val="006C4E01"/>
    <w:rsid w:val="006C4E41"/>
    <w:rsid w:val="006C50AB"/>
    <w:rsid w:val="006C5427"/>
    <w:rsid w:val="006C5881"/>
    <w:rsid w:val="006C588B"/>
    <w:rsid w:val="006C5928"/>
    <w:rsid w:val="006C5F02"/>
    <w:rsid w:val="006C67C5"/>
    <w:rsid w:val="006C6A90"/>
    <w:rsid w:val="006C6B3C"/>
    <w:rsid w:val="006C6BFC"/>
    <w:rsid w:val="006C719B"/>
    <w:rsid w:val="006C77E8"/>
    <w:rsid w:val="006C789F"/>
    <w:rsid w:val="006D0318"/>
    <w:rsid w:val="006D06A9"/>
    <w:rsid w:val="006D072A"/>
    <w:rsid w:val="006D0867"/>
    <w:rsid w:val="006D086B"/>
    <w:rsid w:val="006D091B"/>
    <w:rsid w:val="006D09E5"/>
    <w:rsid w:val="006D10C0"/>
    <w:rsid w:val="006D1539"/>
    <w:rsid w:val="006D1F53"/>
    <w:rsid w:val="006D2722"/>
    <w:rsid w:val="006D335E"/>
    <w:rsid w:val="006D359C"/>
    <w:rsid w:val="006D3992"/>
    <w:rsid w:val="006D3B86"/>
    <w:rsid w:val="006D3D12"/>
    <w:rsid w:val="006D419E"/>
    <w:rsid w:val="006D4394"/>
    <w:rsid w:val="006D48C5"/>
    <w:rsid w:val="006D48E5"/>
    <w:rsid w:val="006D4D74"/>
    <w:rsid w:val="006D50E3"/>
    <w:rsid w:val="006D50EE"/>
    <w:rsid w:val="006D5372"/>
    <w:rsid w:val="006D5458"/>
    <w:rsid w:val="006D5717"/>
    <w:rsid w:val="006D5C5A"/>
    <w:rsid w:val="006D661C"/>
    <w:rsid w:val="006D661D"/>
    <w:rsid w:val="006D6B32"/>
    <w:rsid w:val="006D7075"/>
    <w:rsid w:val="006D7200"/>
    <w:rsid w:val="006D7715"/>
    <w:rsid w:val="006D787D"/>
    <w:rsid w:val="006E0CFB"/>
    <w:rsid w:val="006E0D51"/>
    <w:rsid w:val="006E0F2D"/>
    <w:rsid w:val="006E10DF"/>
    <w:rsid w:val="006E1366"/>
    <w:rsid w:val="006E1AD8"/>
    <w:rsid w:val="006E2899"/>
    <w:rsid w:val="006E295E"/>
    <w:rsid w:val="006E2D72"/>
    <w:rsid w:val="006E2E39"/>
    <w:rsid w:val="006E2EFE"/>
    <w:rsid w:val="006E30FB"/>
    <w:rsid w:val="006E3214"/>
    <w:rsid w:val="006E3611"/>
    <w:rsid w:val="006E3E4D"/>
    <w:rsid w:val="006E3EE4"/>
    <w:rsid w:val="006E4C92"/>
    <w:rsid w:val="006E53C8"/>
    <w:rsid w:val="006E5590"/>
    <w:rsid w:val="006E5A43"/>
    <w:rsid w:val="006E5EA5"/>
    <w:rsid w:val="006E6328"/>
    <w:rsid w:val="006E6859"/>
    <w:rsid w:val="006E6A6B"/>
    <w:rsid w:val="006E6DE8"/>
    <w:rsid w:val="006E7582"/>
    <w:rsid w:val="006E7D1D"/>
    <w:rsid w:val="006F0E47"/>
    <w:rsid w:val="006F1370"/>
    <w:rsid w:val="006F14CC"/>
    <w:rsid w:val="006F1F09"/>
    <w:rsid w:val="006F203B"/>
    <w:rsid w:val="006F238D"/>
    <w:rsid w:val="006F2787"/>
    <w:rsid w:val="006F2822"/>
    <w:rsid w:val="006F3160"/>
    <w:rsid w:val="006F322E"/>
    <w:rsid w:val="006F39D2"/>
    <w:rsid w:val="006F3BC9"/>
    <w:rsid w:val="006F3D61"/>
    <w:rsid w:val="006F3DAC"/>
    <w:rsid w:val="006F4B3D"/>
    <w:rsid w:val="006F4E3F"/>
    <w:rsid w:val="006F4E4C"/>
    <w:rsid w:val="006F4FEE"/>
    <w:rsid w:val="006F6180"/>
    <w:rsid w:val="006F6661"/>
    <w:rsid w:val="006F6839"/>
    <w:rsid w:val="006F699C"/>
    <w:rsid w:val="006F6A22"/>
    <w:rsid w:val="006F6FBA"/>
    <w:rsid w:val="006F7AF2"/>
    <w:rsid w:val="006F7B64"/>
    <w:rsid w:val="007002AF"/>
    <w:rsid w:val="007002D3"/>
    <w:rsid w:val="007005BC"/>
    <w:rsid w:val="00700954"/>
    <w:rsid w:val="0070130F"/>
    <w:rsid w:val="007017AF"/>
    <w:rsid w:val="00702220"/>
    <w:rsid w:val="00702567"/>
    <w:rsid w:val="007026C5"/>
    <w:rsid w:val="00703072"/>
    <w:rsid w:val="00703201"/>
    <w:rsid w:val="00703642"/>
    <w:rsid w:val="00703811"/>
    <w:rsid w:val="007039DD"/>
    <w:rsid w:val="00703AAD"/>
    <w:rsid w:val="00703B62"/>
    <w:rsid w:val="007047E6"/>
    <w:rsid w:val="0070488C"/>
    <w:rsid w:val="00705399"/>
    <w:rsid w:val="007058AB"/>
    <w:rsid w:val="00706813"/>
    <w:rsid w:val="00706D4A"/>
    <w:rsid w:val="007073C6"/>
    <w:rsid w:val="0070749E"/>
    <w:rsid w:val="007074D2"/>
    <w:rsid w:val="00707AF0"/>
    <w:rsid w:val="00707CF6"/>
    <w:rsid w:val="0071030F"/>
    <w:rsid w:val="007103D7"/>
    <w:rsid w:val="00710F5F"/>
    <w:rsid w:val="00710FEA"/>
    <w:rsid w:val="0071112C"/>
    <w:rsid w:val="007111A9"/>
    <w:rsid w:val="00711232"/>
    <w:rsid w:val="0071131A"/>
    <w:rsid w:val="0071168F"/>
    <w:rsid w:val="00711765"/>
    <w:rsid w:val="00711B7B"/>
    <w:rsid w:val="00711C2D"/>
    <w:rsid w:val="007123A6"/>
    <w:rsid w:val="00712918"/>
    <w:rsid w:val="00712F5D"/>
    <w:rsid w:val="0071329F"/>
    <w:rsid w:val="00713327"/>
    <w:rsid w:val="00713A20"/>
    <w:rsid w:val="00714AF2"/>
    <w:rsid w:val="00714D91"/>
    <w:rsid w:val="007154D7"/>
    <w:rsid w:val="00715531"/>
    <w:rsid w:val="007158EB"/>
    <w:rsid w:val="007159D7"/>
    <w:rsid w:val="007161ED"/>
    <w:rsid w:val="00716C54"/>
    <w:rsid w:val="00717289"/>
    <w:rsid w:val="007175C6"/>
    <w:rsid w:val="00720E3E"/>
    <w:rsid w:val="00721416"/>
    <w:rsid w:val="007217B0"/>
    <w:rsid w:val="007217ED"/>
    <w:rsid w:val="00721FA8"/>
    <w:rsid w:val="007222DD"/>
    <w:rsid w:val="007224BB"/>
    <w:rsid w:val="007225C2"/>
    <w:rsid w:val="00722949"/>
    <w:rsid w:val="007229B3"/>
    <w:rsid w:val="00723028"/>
    <w:rsid w:val="00723A42"/>
    <w:rsid w:val="00723AA2"/>
    <w:rsid w:val="007240AB"/>
    <w:rsid w:val="00724427"/>
    <w:rsid w:val="00724645"/>
    <w:rsid w:val="00724A0D"/>
    <w:rsid w:val="007255B3"/>
    <w:rsid w:val="00726872"/>
    <w:rsid w:val="00726963"/>
    <w:rsid w:val="0072732F"/>
    <w:rsid w:val="00727888"/>
    <w:rsid w:val="00727B6F"/>
    <w:rsid w:val="00727C2D"/>
    <w:rsid w:val="00730BC0"/>
    <w:rsid w:val="007310B7"/>
    <w:rsid w:val="00731224"/>
    <w:rsid w:val="00731BB6"/>
    <w:rsid w:val="00731D56"/>
    <w:rsid w:val="00732188"/>
    <w:rsid w:val="007325D3"/>
    <w:rsid w:val="00732ACB"/>
    <w:rsid w:val="007336EE"/>
    <w:rsid w:val="00733861"/>
    <w:rsid w:val="00733AC2"/>
    <w:rsid w:val="00733B35"/>
    <w:rsid w:val="0073431B"/>
    <w:rsid w:val="00734373"/>
    <w:rsid w:val="007347CB"/>
    <w:rsid w:val="00734891"/>
    <w:rsid w:val="00734ADF"/>
    <w:rsid w:val="00734C26"/>
    <w:rsid w:val="007352CB"/>
    <w:rsid w:val="007358AD"/>
    <w:rsid w:val="007359A9"/>
    <w:rsid w:val="007359BB"/>
    <w:rsid w:val="00735A89"/>
    <w:rsid w:val="00735D43"/>
    <w:rsid w:val="00736874"/>
    <w:rsid w:val="0073699C"/>
    <w:rsid w:val="007369B1"/>
    <w:rsid w:val="0073728E"/>
    <w:rsid w:val="007376F1"/>
    <w:rsid w:val="00737C40"/>
    <w:rsid w:val="00737D54"/>
    <w:rsid w:val="00737FB2"/>
    <w:rsid w:val="00740478"/>
    <w:rsid w:val="00740589"/>
    <w:rsid w:val="00740616"/>
    <w:rsid w:val="00741641"/>
    <w:rsid w:val="0074178F"/>
    <w:rsid w:val="00742582"/>
    <w:rsid w:val="00742970"/>
    <w:rsid w:val="007429DE"/>
    <w:rsid w:val="0074394F"/>
    <w:rsid w:val="00743D37"/>
    <w:rsid w:val="00744175"/>
    <w:rsid w:val="0074497A"/>
    <w:rsid w:val="007449AC"/>
    <w:rsid w:val="007449DE"/>
    <w:rsid w:val="00744AFE"/>
    <w:rsid w:val="00744E62"/>
    <w:rsid w:val="00744F44"/>
    <w:rsid w:val="007457F6"/>
    <w:rsid w:val="00745D88"/>
    <w:rsid w:val="00746EB3"/>
    <w:rsid w:val="00746EEB"/>
    <w:rsid w:val="00746FD9"/>
    <w:rsid w:val="00747343"/>
    <w:rsid w:val="007479AA"/>
    <w:rsid w:val="007479D8"/>
    <w:rsid w:val="00747A86"/>
    <w:rsid w:val="00747BAC"/>
    <w:rsid w:val="00747CCF"/>
    <w:rsid w:val="00747F8E"/>
    <w:rsid w:val="007503AC"/>
    <w:rsid w:val="007505E6"/>
    <w:rsid w:val="00750658"/>
    <w:rsid w:val="007508BF"/>
    <w:rsid w:val="00750CA7"/>
    <w:rsid w:val="00750F39"/>
    <w:rsid w:val="00750F82"/>
    <w:rsid w:val="00751055"/>
    <w:rsid w:val="007513BD"/>
    <w:rsid w:val="00751534"/>
    <w:rsid w:val="00751553"/>
    <w:rsid w:val="0075187F"/>
    <w:rsid w:val="00752731"/>
    <w:rsid w:val="0075287C"/>
    <w:rsid w:val="007537B8"/>
    <w:rsid w:val="007540CA"/>
    <w:rsid w:val="00754152"/>
    <w:rsid w:val="007541C2"/>
    <w:rsid w:val="00754AD0"/>
    <w:rsid w:val="007552ED"/>
    <w:rsid w:val="0075567B"/>
    <w:rsid w:val="00755C78"/>
    <w:rsid w:val="007561F8"/>
    <w:rsid w:val="007564FA"/>
    <w:rsid w:val="007565BC"/>
    <w:rsid w:val="00756688"/>
    <w:rsid w:val="007568E7"/>
    <w:rsid w:val="00756C22"/>
    <w:rsid w:val="00756CDB"/>
    <w:rsid w:val="00756D2D"/>
    <w:rsid w:val="00756FCC"/>
    <w:rsid w:val="00757A0B"/>
    <w:rsid w:val="0076078B"/>
    <w:rsid w:val="0076095F"/>
    <w:rsid w:val="0076199F"/>
    <w:rsid w:val="00761A71"/>
    <w:rsid w:val="007622EA"/>
    <w:rsid w:val="00762A6F"/>
    <w:rsid w:val="00762FEC"/>
    <w:rsid w:val="00763099"/>
    <w:rsid w:val="00763613"/>
    <w:rsid w:val="00763726"/>
    <w:rsid w:val="00763FA8"/>
    <w:rsid w:val="00764887"/>
    <w:rsid w:val="00764E82"/>
    <w:rsid w:val="00765101"/>
    <w:rsid w:val="007656BE"/>
    <w:rsid w:val="00765A50"/>
    <w:rsid w:val="00765BE0"/>
    <w:rsid w:val="00766229"/>
    <w:rsid w:val="007662E2"/>
    <w:rsid w:val="00766496"/>
    <w:rsid w:val="0076661B"/>
    <w:rsid w:val="007667A7"/>
    <w:rsid w:val="00766E47"/>
    <w:rsid w:val="0076757E"/>
    <w:rsid w:val="00767B73"/>
    <w:rsid w:val="007701F3"/>
    <w:rsid w:val="007701FF"/>
    <w:rsid w:val="007708B6"/>
    <w:rsid w:val="00771272"/>
    <w:rsid w:val="007714C3"/>
    <w:rsid w:val="00772A5A"/>
    <w:rsid w:val="00772A77"/>
    <w:rsid w:val="00773540"/>
    <w:rsid w:val="00774508"/>
    <w:rsid w:val="00774942"/>
    <w:rsid w:val="00774F79"/>
    <w:rsid w:val="0077565D"/>
    <w:rsid w:val="007757D8"/>
    <w:rsid w:val="007760E0"/>
    <w:rsid w:val="0077658B"/>
    <w:rsid w:val="00776768"/>
    <w:rsid w:val="00776774"/>
    <w:rsid w:val="0077686F"/>
    <w:rsid w:val="00776B8D"/>
    <w:rsid w:val="007770D5"/>
    <w:rsid w:val="00777128"/>
    <w:rsid w:val="00777177"/>
    <w:rsid w:val="00777750"/>
    <w:rsid w:val="00777795"/>
    <w:rsid w:val="00780050"/>
    <w:rsid w:val="007803E5"/>
    <w:rsid w:val="00780935"/>
    <w:rsid w:val="00780D4D"/>
    <w:rsid w:val="00781788"/>
    <w:rsid w:val="00781B13"/>
    <w:rsid w:val="00781F33"/>
    <w:rsid w:val="0078224D"/>
    <w:rsid w:val="0078299B"/>
    <w:rsid w:val="00782BF1"/>
    <w:rsid w:val="00782E54"/>
    <w:rsid w:val="00782E97"/>
    <w:rsid w:val="00782EF5"/>
    <w:rsid w:val="0078320E"/>
    <w:rsid w:val="00783590"/>
    <w:rsid w:val="007836A3"/>
    <w:rsid w:val="00783738"/>
    <w:rsid w:val="007839B7"/>
    <w:rsid w:val="00784073"/>
    <w:rsid w:val="007840AF"/>
    <w:rsid w:val="00784220"/>
    <w:rsid w:val="00784DC5"/>
    <w:rsid w:val="00784F1A"/>
    <w:rsid w:val="007850A7"/>
    <w:rsid w:val="007857C0"/>
    <w:rsid w:val="00785B26"/>
    <w:rsid w:val="00786024"/>
    <w:rsid w:val="00786116"/>
    <w:rsid w:val="007861D9"/>
    <w:rsid w:val="00786262"/>
    <w:rsid w:val="00786440"/>
    <w:rsid w:val="00786DEF"/>
    <w:rsid w:val="00787E45"/>
    <w:rsid w:val="00787F70"/>
    <w:rsid w:val="00790032"/>
    <w:rsid w:val="0079005A"/>
    <w:rsid w:val="00790167"/>
    <w:rsid w:val="00790C53"/>
    <w:rsid w:val="00790DCE"/>
    <w:rsid w:val="0079170C"/>
    <w:rsid w:val="007918E3"/>
    <w:rsid w:val="00791A4E"/>
    <w:rsid w:val="00791BB7"/>
    <w:rsid w:val="0079286A"/>
    <w:rsid w:val="00792A64"/>
    <w:rsid w:val="00792ABD"/>
    <w:rsid w:val="00792B73"/>
    <w:rsid w:val="00793478"/>
    <w:rsid w:val="0079387F"/>
    <w:rsid w:val="00793B10"/>
    <w:rsid w:val="00793F49"/>
    <w:rsid w:val="0079405A"/>
    <w:rsid w:val="00794859"/>
    <w:rsid w:val="00794CB1"/>
    <w:rsid w:val="00794DA6"/>
    <w:rsid w:val="00795DF6"/>
    <w:rsid w:val="00796146"/>
    <w:rsid w:val="007961CB"/>
    <w:rsid w:val="00796A1D"/>
    <w:rsid w:val="00796E5C"/>
    <w:rsid w:val="007977D0"/>
    <w:rsid w:val="00797888"/>
    <w:rsid w:val="00797959"/>
    <w:rsid w:val="007A01EB"/>
    <w:rsid w:val="007A0345"/>
    <w:rsid w:val="007A0522"/>
    <w:rsid w:val="007A08B4"/>
    <w:rsid w:val="007A0DD9"/>
    <w:rsid w:val="007A1072"/>
    <w:rsid w:val="007A1087"/>
    <w:rsid w:val="007A11E2"/>
    <w:rsid w:val="007A133D"/>
    <w:rsid w:val="007A142D"/>
    <w:rsid w:val="007A192A"/>
    <w:rsid w:val="007A1A49"/>
    <w:rsid w:val="007A1C80"/>
    <w:rsid w:val="007A2612"/>
    <w:rsid w:val="007A284D"/>
    <w:rsid w:val="007A28F9"/>
    <w:rsid w:val="007A305B"/>
    <w:rsid w:val="007A332B"/>
    <w:rsid w:val="007A3959"/>
    <w:rsid w:val="007A3C54"/>
    <w:rsid w:val="007A3C88"/>
    <w:rsid w:val="007A4458"/>
    <w:rsid w:val="007A4520"/>
    <w:rsid w:val="007A4914"/>
    <w:rsid w:val="007A51BB"/>
    <w:rsid w:val="007A5B82"/>
    <w:rsid w:val="007A5BA8"/>
    <w:rsid w:val="007A5D88"/>
    <w:rsid w:val="007A603C"/>
    <w:rsid w:val="007A6436"/>
    <w:rsid w:val="007A6928"/>
    <w:rsid w:val="007A78BE"/>
    <w:rsid w:val="007A7951"/>
    <w:rsid w:val="007A7A40"/>
    <w:rsid w:val="007A7FCA"/>
    <w:rsid w:val="007B012F"/>
    <w:rsid w:val="007B0132"/>
    <w:rsid w:val="007B0458"/>
    <w:rsid w:val="007B08E9"/>
    <w:rsid w:val="007B0ED8"/>
    <w:rsid w:val="007B1421"/>
    <w:rsid w:val="007B1476"/>
    <w:rsid w:val="007B1660"/>
    <w:rsid w:val="007B1737"/>
    <w:rsid w:val="007B1D6C"/>
    <w:rsid w:val="007B1D8D"/>
    <w:rsid w:val="007B1EB0"/>
    <w:rsid w:val="007B2915"/>
    <w:rsid w:val="007B2F16"/>
    <w:rsid w:val="007B3048"/>
    <w:rsid w:val="007B3130"/>
    <w:rsid w:val="007B3EA6"/>
    <w:rsid w:val="007B49B2"/>
    <w:rsid w:val="007B49FA"/>
    <w:rsid w:val="007B5213"/>
    <w:rsid w:val="007B5325"/>
    <w:rsid w:val="007B5912"/>
    <w:rsid w:val="007B5BAE"/>
    <w:rsid w:val="007B5EA4"/>
    <w:rsid w:val="007B722A"/>
    <w:rsid w:val="007B775C"/>
    <w:rsid w:val="007C004E"/>
    <w:rsid w:val="007C02B9"/>
    <w:rsid w:val="007C148A"/>
    <w:rsid w:val="007C19DE"/>
    <w:rsid w:val="007C19E2"/>
    <w:rsid w:val="007C1A97"/>
    <w:rsid w:val="007C23CB"/>
    <w:rsid w:val="007C25A9"/>
    <w:rsid w:val="007C284D"/>
    <w:rsid w:val="007C30CF"/>
    <w:rsid w:val="007C3641"/>
    <w:rsid w:val="007C39D8"/>
    <w:rsid w:val="007C3AA1"/>
    <w:rsid w:val="007C3C80"/>
    <w:rsid w:val="007C4842"/>
    <w:rsid w:val="007C496C"/>
    <w:rsid w:val="007C4CCD"/>
    <w:rsid w:val="007C576C"/>
    <w:rsid w:val="007C5882"/>
    <w:rsid w:val="007C5C73"/>
    <w:rsid w:val="007C6960"/>
    <w:rsid w:val="007C6CE7"/>
    <w:rsid w:val="007C6E16"/>
    <w:rsid w:val="007C6F15"/>
    <w:rsid w:val="007C735D"/>
    <w:rsid w:val="007C7617"/>
    <w:rsid w:val="007C796B"/>
    <w:rsid w:val="007C7BE0"/>
    <w:rsid w:val="007C7D4E"/>
    <w:rsid w:val="007C7DD0"/>
    <w:rsid w:val="007D022E"/>
    <w:rsid w:val="007D052E"/>
    <w:rsid w:val="007D07A8"/>
    <w:rsid w:val="007D0F74"/>
    <w:rsid w:val="007D119D"/>
    <w:rsid w:val="007D127C"/>
    <w:rsid w:val="007D16D0"/>
    <w:rsid w:val="007D268D"/>
    <w:rsid w:val="007D28DC"/>
    <w:rsid w:val="007D298C"/>
    <w:rsid w:val="007D2F4F"/>
    <w:rsid w:val="007D3651"/>
    <w:rsid w:val="007D37A8"/>
    <w:rsid w:val="007D383E"/>
    <w:rsid w:val="007D38CA"/>
    <w:rsid w:val="007D3C92"/>
    <w:rsid w:val="007D3E28"/>
    <w:rsid w:val="007D40EC"/>
    <w:rsid w:val="007D4AE9"/>
    <w:rsid w:val="007D4E6F"/>
    <w:rsid w:val="007D55F7"/>
    <w:rsid w:val="007D56A6"/>
    <w:rsid w:val="007D5A40"/>
    <w:rsid w:val="007D5C15"/>
    <w:rsid w:val="007D5D69"/>
    <w:rsid w:val="007D5E89"/>
    <w:rsid w:val="007D6162"/>
    <w:rsid w:val="007D6164"/>
    <w:rsid w:val="007D61C7"/>
    <w:rsid w:val="007D6B79"/>
    <w:rsid w:val="007D6EA6"/>
    <w:rsid w:val="007D70F9"/>
    <w:rsid w:val="007D714E"/>
    <w:rsid w:val="007D78D2"/>
    <w:rsid w:val="007D7BA1"/>
    <w:rsid w:val="007E0744"/>
    <w:rsid w:val="007E07A3"/>
    <w:rsid w:val="007E1198"/>
    <w:rsid w:val="007E1ABC"/>
    <w:rsid w:val="007E230B"/>
    <w:rsid w:val="007E2681"/>
    <w:rsid w:val="007E29AB"/>
    <w:rsid w:val="007E2FDF"/>
    <w:rsid w:val="007E32FF"/>
    <w:rsid w:val="007E39A1"/>
    <w:rsid w:val="007E44C2"/>
    <w:rsid w:val="007E4677"/>
    <w:rsid w:val="007E495D"/>
    <w:rsid w:val="007E49DD"/>
    <w:rsid w:val="007E49F5"/>
    <w:rsid w:val="007E4B2D"/>
    <w:rsid w:val="007E507B"/>
    <w:rsid w:val="007E5210"/>
    <w:rsid w:val="007E53F9"/>
    <w:rsid w:val="007E5CEC"/>
    <w:rsid w:val="007E5F20"/>
    <w:rsid w:val="007E624E"/>
    <w:rsid w:val="007E7483"/>
    <w:rsid w:val="007E760E"/>
    <w:rsid w:val="007E7746"/>
    <w:rsid w:val="007E7C4E"/>
    <w:rsid w:val="007F0273"/>
    <w:rsid w:val="007F0E6B"/>
    <w:rsid w:val="007F126A"/>
    <w:rsid w:val="007F13A4"/>
    <w:rsid w:val="007F1AFE"/>
    <w:rsid w:val="007F2AFD"/>
    <w:rsid w:val="007F2DD5"/>
    <w:rsid w:val="007F304C"/>
    <w:rsid w:val="007F37D9"/>
    <w:rsid w:val="007F3A05"/>
    <w:rsid w:val="007F48C4"/>
    <w:rsid w:val="007F4918"/>
    <w:rsid w:val="007F4A1F"/>
    <w:rsid w:val="007F4DB2"/>
    <w:rsid w:val="007F4E59"/>
    <w:rsid w:val="007F4EC0"/>
    <w:rsid w:val="007F50BE"/>
    <w:rsid w:val="007F583C"/>
    <w:rsid w:val="007F627C"/>
    <w:rsid w:val="007F677F"/>
    <w:rsid w:val="007F6824"/>
    <w:rsid w:val="007F69C2"/>
    <w:rsid w:val="007F6EF2"/>
    <w:rsid w:val="007F70B5"/>
    <w:rsid w:val="007F73CF"/>
    <w:rsid w:val="007F75B8"/>
    <w:rsid w:val="007F7628"/>
    <w:rsid w:val="007F779B"/>
    <w:rsid w:val="007F79F7"/>
    <w:rsid w:val="008001CD"/>
    <w:rsid w:val="008005D5"/>
    <w:rsid w:val="00800797"/>
    <w:rsid w:val="00800EE6"/>
    <w:rsid w:val="008010B5"/>
    <w:rsid w:val="008013E8"/>
    <w:rsid w:val="008015DF"/>
    <w:rsid w:val="008016B9"/>
    <w:rsid w:val="00801C22"/>
    <w:rsid w:val="00801DF4"/>
    <w:rsid w:val="008024C3"/>
    <w:rsid w:val="008028C9"/>
    <w:rsid w:val="00802F5F"/>
    <w:rsid w:val="008031F0"/>
    <w:rsid w:val="008036AC"/>
    <w:rsid w:val="0080388D"/>
    <w:rsid w:val="00803B6B"/>
    <w:rsid w:val="00803C3D"/>
    <w:rsid w:val="00804070"/>
    <w:rsid w:val="00804C16"/>
    <w:rsid w:val="008055B4"/>
    <w:rsid w:val="008058B8"/>
    <w:rsid w:val="008058C9"/>
    <w:rsid w:val="00805EF5"/>
    <w:rsid w:val="00806433"/>
    <w:rsid w:val="0080657E"/>
    <w:rsid w:val="008068BD"/>
    <w:rsid w:val="00807253"/>
    <w:rsid w:val="008073A8"/>
    <w:rsid w:val="00807DB0"/>
    <w:rsid w:val="00810161"/>
    <w:rsid w:val="008101F4"/>
    <w:rsid w:val="0081089E"/>
    <w:rsid w:val="00810E4B"/>
    <w:rsid w:val="008110A4"/>
    <w:rsid w:val="008112B1"/>
    <w:rsid w:val="008118B2"/>
    <w:rsid w:val="00811F03"/>
    <w:rsid w:val="008128E2"/>
    <w:rsid w:val="00812C4F"/>
    <w:rsid w:val="00813049"/>
    <w:rsid w:val="0081320E"/>
    <w:rsid w:val="008141EB"/>
    <w:rsid w:val="008142BE"/>
    <w:rsid w:val="00814574"/>
    <w:rsid w:val="00814918"/>
    <w:rsid w:val="00814C41"/>
    <w:rsid w:val="008150D6"/>
    <w:rsid w:val="008155E6"/>
    <w:rsid w:val="00815DE7"/>
    <w:rsid w:val="00816362"/>
    <w:rsid w:val="00816914"/>
    <w:rsid w:val="00816A4B"/>
    <w:rsid w:val="00816B7C"/>
    <w:rsid w:val="00816D8E"/>
    <w:rsid w:val="00817CB2"/>
    <w:rsid w:val="008200D0"/>
    <w:rsid w:val="0082023B"/>
    <w:rsid w:val="008205A8"/>
    <w:rsid w:val="00820651"/>
    <w:rsid w:val="00820990"/>
    <w:rsid w:val="00820AF8"/>
    <w:rsid w:val="00820B7E"/>
    <w:rsid w:val="00820E22"/>
    <w:rsid w:val="0082112D"/>
    <w:rsid w:val="00821D6D"/>
    <w:rsid w:val="00821D9B"/>
    <w:rsid w:val="00822385"/>
    <w:rsid w:val="00822478"/>
    <w:rsid w:val="008225E2"/>
    <w:rsid w:val="008227CE"/>
    <w:rsid w:val="00822FC5"/>
    <w:rsid w:val="008230E1"/>
    <w:rsid w:val="008233A0"/>
    <w:rsid w:val="00823AF4"/>
    <w:rsid w:val="00823DAA"/>
    <w:rsid w:val="0082446F"/>
    <w:rsid w:val="00824615"/>
    <w:rsid w:val="00824D67"/>
    <w:rsid w:val="008251F6"/>
    <w:rsid w:val="00825296"/>
    <w:rsid w:val="00825923"/>
    <w:rsid w:val="00826579"/>
    <w:rsid w:val="00826781"/>
    <w:rsid w:val="00826A25"/>
    <w:rsid w:val="00826D29"/>
    <w:rsid w:val="00826E67"/>
    <w:rsid w:val="00827014"/>
    <w:rsid w:val="00827317"/>
    <w:rsid w:val="00827BBB"/>
    <w:rsid w:val="00827D19"/>
    <w:rsid w:val="008301A8"/>
    <w:rsid w:val="00830788"/>
    <w:rsid w:val="00830D6E"/>
    <w:rsid w:val="00831218"/>
    <w:rsid w:val="008316E0"/>
    <w:rsid w:val="00831755"/>
    <w:rsid w:val="00831A5D"/>
    <w:rsid w:val="00831AC1"/>
    <w:rsid w:val="00831B1C"/>
    <w:rsid w:val="008325D1"/>
    <w:rsid w:val="00832904"/>
    <w:rsid w:val="00833252"/>
    <w:rsid w:val="008332EC"/>
    <w:rsid w:val="008336B8"/>
    <w:rsid w:val="00833C55"/>
    <w:rsid w:val="008341F6"/>
    <w:rsid w:val="00834C2D"/>
    <w:rsid w:val="008352AF"/>
    <w:rsid w:val="00835DCE"/>
    <w:rsid w:val="008360CE"/>
    <w:rsid w:val="00836B23"/>
    <w:rsid w:val="00836E8D"/>
    <w:rsid w:val="00837C39"/>
    <w:rsid w:val="00837D86"/>
    <w:rsid w:val="008411E1"/>
    <w:rsid w:val="0084167D"/>
    <w:rsid w:val="008419ED"/>
    <w:rsid w:val="00841F8D"/>
    <w:rsid w:val="008422BF"/>
    <w:rsid w:val="0084247D"/>
    <w:rsid w:val="00842ACC"/>
    <w:rsid w:val="00842CD5"/>
    <w:rsid w:val="00842D7B"/>
    <w:rsid w:val="00842EB4"/>
    <w:rsid w:val="00843229"/>
    <w:rsid w:val="0084381D"/>
    <w:rsid w:val="0084466B"/>
    <w:rsid w:val="00844785"/>
    <w:rsid w:val="008447B0"/>
    <w:rsid w:val="0084532F"/>
    <w:rsid w:val="008453AD"/>
    <w:rsid w:val="008456EC"/>
    <w:rsid w:val="00845A42"/>
    <w:rsid w:val="00845A82"/>
    <w:rsid w:val="00845D53"/>
    <w:rsid w:val="008475D4"/>
    <w:rsid w:val="00847E27"/>
    <w:rsid w:val="0085038B"/>
    <w:rsid w:val="00850452"/>
    <w:rsid w:val="008506C0"/>
    <w:rsid w:val="0085099E"/>
    <w:rsid w:val="00851057"/>
    <w:rsid w:val="00851092"/>
    <w:rsid w:val="00851428"/>
    <w:rsid w:val="0085143A"/>
    <w:rsid w:val="00851CEF"/>
    <w:rsid w:val="00851F2F"/>
    <w:rsid w:val="008523CD"/>
    <w:rsid w:val="0085266B"/>
    <w:rsid w:val="00852C9E"/>
    <w:rsid w:val="00853DB1"/>
    <w:rsid w:val="00854097"/>
    <w:rsid w:val="008541AE"/>
    <w:rsid w:val="008544A1"/>
    <w:rsid w:val="00854C81"/>
    <w:rsid w:val="0085506C"/>
    <w:rsid w:val="00855294"/>
    <w:rsid w:val="00855939"/>
    <w:rsid w:val="00855CA1"/>
    <w:rsid w:val="00855DA6"/>
    <w:rsid w:val="008561E4"/>
    <w:rsid w:val="00856976"/>
    <w:rsid w:val="00856CCE"/>
    <w:rsid w:val="0085735B"/>
    <w:rsid w:val="00857576"/>
    <w:rsid w:val="008603D9"/>
    <w:rsid w:val="00860491"/>
    <w:rsid w:val="00860A37"/>
    <w:rsid w:val="00860EB0"/>
    <w:rsid w:val="00860ECA"/>
    <w:rsid w:val="00860FC9"/>
    <w:rsid w:val="008616D3"/>
    <w:rsid w:val="008619A5"/>
    <w:rsid w:val="008619B2"/>
    <w:rsid w:val="008619C5"/>
    <w:rsid w:val="00861EFC"/>
    <w:rsid w:val="008634B7"/>
    <w:rsid w:val="008637D2"/>
    <w:rsid w:val="00863872"/>
    <w:rsid w:val="00863EEA"/>
    <w:rsid w:val="00863EF3"/>
    <w:rsid w:val="0086432F"/>
    <w:rsid w:val="00864CBC"/>
    <w:rsid w:val="00864DFF"/>
    <w:rsid w:val="0086506B"/>
    <w:rsid w:val="0086594C"/>
    <w:rsid w:val="00865CC9"/>
    <w:rsid w:val="00865D79"/>
    <w:rsid w:val="00865EDF"/>
    <w:rsid w:val="008669FE"/>
    <w:rsid w:val="00866ACE"/>
    <w:rsid w:val="00866CCB"/>
    <w:rsid w:val="00867498"/>
    <w:rsid w:val="0086781E"/>
    <w:rsid w:val="00867E4C"/>
    <w:rsid w:val="008705B7"/>
    <w:rsid w:val="00871234"/>
    <w:rsid w:val="008712F1"/>
    <w:rsid w:val="00871760"/>
    <w:rsid w:val="008718D8"/>
    <w:rsid w:val="00871F79"/>
    <w:rsid w:val="008721E1"/>
    <w:rsid w:val="008730FE"/>
    <w:rsid w:val="008732DC"/>
    <w:rsid w:val="00873B1F"/>
    <w:rsid w:val="00874556"/>
    <w:rsid w:val="008747C1"/>
    <w:rsid w:val="00874C4E"/>
    <w:rsid w:val="00874E8F"/>
    <w:rsid w:val="0087506D"/>
    <w:rsid w:val="0087543E"/>
    <w:rsid w:val="00875A15"/>
    <w:rsid w:val="00875AB7"/>
    <w:rsid w:val="00875B12"/>
    <w:rsid w:val="00875B3F"/>
    <w:rsid w:val="008762EC"/>
    <w:rsid w:val="00876394"/>
    <w:rsid w:val="008765E1"/>
    <w:rsid w:val="0087692A"/>
    <w:rsid w:val="00876A3B"/>
    <w:rsid w:val="00876D2F"/>
    <w:rsid w:val="0087710A"/>
    <w:rsid w:val="008773D1"/>
    <w:rsid w:val="008774FE"/>
    <w:rsid w:val="00877CAF"/>
    <w:rsid w:val="008804DC"/>
    <w:rsid w:val="008805BF"/>
    <w:rsid w:val="008809D3"/>
    <w:rsid w:val="008813DA"/>
    <w:rsid w:val="008817E2"/>
    <w:rsid w:val="00881862"/>
    <w:rsid w:val="00881EE0"/>
    <w:rsid w:val="00882107"/>
    <w:rsid w:val="00882232"/>
    <w:rsid w:val="00882740"/>
    <w:rsid w:val="00882C8C"/>
    <w:rsid w:val="0088390B"/>
    <w:rsid w:val="0088413C"/>
    <w:rsid w:val="008845DB"/>
    <w:rsid w:val="00884928"/>
    <w:rsid w:val="0088496C"/>
    <w:rsid w:val="008855BC"/>
    <w:rsid w:val="00885914"/>
    <w:rsid w:val="00886598"/>
    <w:rsid w:val="0088675B"/>
    <w:rsid w:val="008867AB"/>
    <w:rsid w:val="00886ED6"/>
    <w:rsid w:val="00886F70"/>
    <w:rsid w:val="00887504"/>
    <w:rsid w:val="00887544"/>
    <w:rsid w:val="0088776C"/>
    <w:rsid w:val="00887773"/>
    <w:rsid w:val="00887AF8"/>
    <w:rsid w:val="00890527"/>
    <w:rsid w:val="00890D5F"/>
    <w:rsid w:val="00890DF3"/>
    <w:rsid w:val="00890FF1"/>
    <w:rsid w:val="00891D85"/>
    <w:rsid w:val="00891DE9"/>
    <w:rsid w:val="00892200"/>
    <w:rsid w:val="008923B7"/>
    <w:rsid w:val="0089307A"/>
    <w:rsid w:val="00893F4C"/>
    <w:rsid w:val="00894308"/>
    <w:rsid w:val="00894AEF"/>
    <w:rsid w:val="00894DA7"/>
    <w:rsid w:val="00894FD8"/>
    <w:rsid w:val="008950CC"/>
    <w:rsid w:val="00895F96"/>
    <w:rsid w:val="00896145"/>
    <w:rsid w:val="008961FF"/>
    <w:rsid w:val="0089631F"/>
    <w:rsid w:val="00896625"/>
    <w:rsid w:val="0089679B"/>
    <w:rsid w:val="00896822"/>
    <w:rsid w:val="00896BCC"/>
    <w:rsid w:val="0089736B"/>
    <w:rsid w:val="00897805"/>
    <w:rsid w:val="008A0098"/>
    <w:rsid w:val="008A0684"/>
    <w:rsid w:val="008A06CC"/>
    <w:rsid w:val="008A0808"/>
    <w:rsid w:val="008A147B"/>
    <w:rsid w:val="008A183E"/>
    <w:rsid w:val="008A1B41"/>
    <w:rsid w:val="008A1DA1"/>
    <w:rsid w:val="008A237F"/>
    <w:rsid w:val="008A2975"/>
    <w:rsid w:val="008A3034"/>
    <w:rsid w:val="008A306F"/>
    <w:rsid w:val="008A3725"/>
    <w:rsid w:val="008A3FAA"/>
    <w:rsid w:val="008A4D12"/>
    <w:rsid w:val="008A50B6"/>
    <w:rsid w:val="008A5399"/>
    <w:rsid w:val="008A5CEF"/>
    <w:rsid w:val="008A5F2D"/>
    <w:rsid w:val="008A71F2"/>
    <w:rsid w:val="008A7215"/>
    <w:rsid w:val="008A73D6"/>
    <w:rsid w:val="008A753B"/>
    <w:rsid w:val="008A7B59"/>
    <w:rsid w:val="008B072C"/>
    <w:rsid w:val="008B123C"/>
    <w:rsid w:val="008B1B72"/>
    <w:rsid w:val="008B1C68"/>
    <w:rsid w:val="008B1F6A"/>
    <w:rsid w:val="008B1FE9"/>
    <w:rsid w:val="008B21E9"/>
    <w:rsid w:val="008B262E"/>
    <w:rsid w:val="008B29DF"/>
    <w:rsid w:val="008B2E3C"/>
    <w:rsid w:val="008B30F2"/>
    <w:rsid w:val="008B31C8"/>
    <w:rsid w:val="008B3433"/>
    <w:rsid w:val="008B3CB0"/>
    <w:rsid w:val="008B40D3"/>
    <w:rsid w:val="008B41B9"/>
    <w:rsid w:val="008B479C"/>
    <w:rsid w:val="008B7464"/>
    <w:rsid w:val="008B75A1"/>
    <w:rsid w:val="008B7745"/>
    <w:rsid w:val="008B7BAD"/>
    <w:rsid w:val="008C1178"/>
    <w:rsid w:val="008C198C"/>
    <w:rsid w:val="008C1E34"/>
    <w:rsid w:val="008C24B3"/>
    <w:rsid w:val="008C257A"/>
    <w:rsid w:val="008C3427"/>
    <w:rsid w:val="008C35F5"/>
    <w:rsid w:val="008C3864"/>
    <w:rsid w:val="008C4174"/>
    <w:rsid w:val="008C43A0"/>
    <w:rsid w:val="008C43E7"/>
    <w:rsid w:val="008C4EBD"/>
    <w:rsid w:val="008C5509"/>
    <w:rsid w:val="008C59EE"/>
    <w:rsid w:val="008C5F06"/>
    <w:rsid w:val="008C6086"/>
    <w:rsid w:val="008C65A5"/>
    <w:rsid w:val="008C6D64"/>
    <w:rsid w:val="008C6DB5"/>
    <w:rsid w:val="008C6E4C"/>
    <w:rsid w:val="008C766E"/>
    <w:rsid w:val="008C78A5"/>
    <w:rsid w:val="008D0425"/>
    <w:rsid w:val="008D16CB"/>
    <w:rsid w:val="008D1A96"/>
    <w:rsid w:val="008D21F0"/>
    <w:rsid w:val="008D2AF2"/>
    <w:rsid w:val="008D3087"/>
    <w:rsid w:val="008D3117"/>
    <w:rsid w:val="008D3A97"/>
    <w:rsid w:val="008D3EB6"/>
    <w:rsid w:val="008D459A"/>
    <w:rsid w:val="008D47EC"/>
    <w:rsid w:val="008D4843"/>
    <w:rsid w:val="008D4C5C"/>
    <w:rsid w:val="008D4E3A"/>
    <w:rsid w:val="008D5E7A"/>
    <w:rsid w:val="008D623F"/>
    <w:rsid w:val="008D6FA5"/>
    <w:rsid w:val="008D7096"/>
    <w:rsid w:val="008D74FA"/>
    <w:rsid w:val="008D78D9"/>
    <w:rsid w:val="008E01DD"/>
    <w:rsid w:val="008E0710"/>
    <w:rsid w:val="008E0B90"/>
    <w:rsid w:val="008E0C06"/>
    <w:rsid w:val="008E1527"/>
    <w:rsid w:val="008E1B3D"/>
    <w:rsid w:val="008E1E7B"/>
    <w:rsid w:val="008E4171"/>
    <w:rsid w:val="008E4261"/>
    <w:rsid w:val="008E42EB"/>
    <w:rsid w:val="008E441D"/>
    <w:rsid w:val="008E44BC"/>
    <w:rsid w:val="008E4724"/>
    <w:rsid w:val="008E63AE"/>
    <w:rsid w:val="008E6512"/>
    <w:rsid w:val="008E69F6"/>
    <w:rsid w:val="008E6D8B"/>
    <w:rsid w:val="008E700E"/>
    <w:rsid w:val="008E701C"/>
    <w:rsid w:val="008E7951"/>
    <w:rsid w:val="008E7B30"/>
    <w:rsid w:val="008E7DB6"/>
    <w:rsid w:val="008E7DC3"/>
    <w:rsid w:val="008E7F3E"/>
    <w:rsid w:val="008F0491"/>
    <w:rsid w:val="008F0592"/>
    <w:rsid w:val="008F05B3"/>
    <w:rsid w:val="008F0BEC"/>
    <w:rsid w:val="008F0EB0"/>
    <w:rsid w:val="008F0F2A"/>
    <w:rsid w:val="008F1147"/>
    <w:rsid w:val="008F1718"/>
    <w:rsid w:val="008F185F"/>
    <w:rsid w:val="008F2E7A"/>
    <w:rsid w:val="008F30E6"/>
    <w:rsid w:val="008F3504"/>
    <w:rsid w:val="008F3AAC"/>
    <w:rsid w:val="008F3E38"/>
    <w:rsid w:val="008F4292"/>
    <w:rsid w:val="008F4755"/>
    <w:rsid w:val="008F4A13"/>
    <w:rsid w:val="008F4A72"/>
    <w:rsid w:val="008F51C2"/>
    <w:rsid w:val="008F5703"/>
    <w:rsid w:val="008F5721"/>
    <w:rsid w:val="008F5891"/>
    <w:rsid w:val="008F5ADC"/>
    <w:rsid w:val="008F5B96"/>
    <w:rsid w:val="008F5DD1"/>
    <w:rsid w:val="008F5FA7"/>
    <w:rsid w:val="008F6432"/>
    <w:rsid w:val="008F6460"/>
    <w:rsid w:val="008F706A"/>
    <w:rsid w:val="008F72C1"/>
    <w:rsid w:val="008F7883"/>
    <w:rsid w:val="008F7FD3"/>
    <w:rsid w:val="00900AC8"/>
    <w:rsid w:val="0090137D"/>
    <w:rsid w:val="00901739"/>
    <w:rsid w:val="009018AD"/>
    <w:rsid w:val="00902410"/>
    <w:rsid w:val="00902817"/>
    <w:rsid w:val="00902B0F"/>
    <w:rsid w:val="00902BBF"/>
    <w:rsid w:val="0090315B"/>
    <w:rsid w:val="00903195"/>
    <w:rsid w:val="00903CA3"/>
    <w:rsid w:val="009040E9"/>
    <w:rsid w:val="00904296"/>
    <w:rsid w:val="00904376"/>
    <w:rsid w:val="009049EC"/>
    <w:rsid w:val="00904DE6"/>
    <w:rsid w:val="00904E3E"/>
    <w:rsid w:val="00904EEF"/>
    <w:rsid w:val="00904F8C"/>
    <w:rsid w:val="00905242"/>
    <w:rsid w:val="00905440"/>
    <w:rsid w:val="00905608"/>
    <w:rsid w:val="00906156"/>
    <w:rsid w:val="009062BF"/>
    <w:rsid w:val="009063ED"/>
    <w:rsid w:val="009064E9"/>
    <w:rsid w:val="009069A4"/>
    <w:rsid w:val="0090763B"/>
    <w:rsid w:val="009078C9"/>
    <w:rsid w:val="00907C6C"/>
    <w:rsid w:val="00907FFE"/>
    <w:rsid w:val="00910240"/>
    <w:rsid w:val="0091090D"/>
    <w:rsid w:val="00910934"/>
    <w:rsid w:val="00910A0A"/>
    <w:rsid w:val="00910BD6"/>
    <w:rsid w:val="00910D8F"/>
    <w:rsid w:val="00910D97"/>
    <w:rsid w:val="00910FB9"/>
    <w:rsid w:val="00911676"/>
    <w:rsid w:val="00911726"/>
    <w:rsid w:val="00912D87"/>
    <w:rsid w:val="009133A7"/>
    <w:rsid w:val="00913899"/>
    <w:rsid w:val="009139EB"/>
    <w:rsid w:val="00914023"/>
    <w:rsid w:val="009145F5"/>
    <w:rsid w:val="009147A6"/>
    <w:rsid w:val="00914CB0"/>
    <w:rsid w:val="0091530E"/>
    <w:rsid w:val="009153EA"/>
    <w:rsid w:val="00916223"/>
    <w:rsid w:val="009165D8"/>
    <w:rsid w:val="0091682F"/>
    <w:rsid w:val="0091694D"/>
    <w:rsid w:val="00916C6C"/>
    <w:rsid w:val="00916F9C"/>
    <w:rsid w:val="00917893"/>
    <w:rsid w:val="00917B53"/>
    <w:rsid w:val="00917DDB"/>
    <w:rsid w:val="00917E9B"/>
    <w:rsid w:val="009203C8"/>
    <w:rsid w:val="00920504"/>
    <w:rsid w:val="00920777"/>
    <w:rsid w:val="0092077D"/>
    <w:rsid w:val="00920EC5"/>
    <w:rsid w:val="00920ED9"/>
    <w:rsid w:val="00921778"/>
    <w:rsid w:val="0092187E"/>
    <w:rsid w:val="009218B3"/>
    <w:rsid w:val="0092191E"/>
    <w:rsid w:val="00921A60"/>
    <w:rsid w:val="00921B2B"/>
    <w:rsid w:val="00921F60"/>
    <w:rsid w:val="0092228D"/>
    <w:rsid w:val="00922764"/>
    <w:rsid w:val="0092299B"/>
    <w:rsid w:val="00922A4C"/>
    <w:rsid w:val="00922C7E"/>
    <w:rsid w:val="00922D9F"/>
    <w:rsid w:val="0092355D"/>
    <w:rsid w:val="009235DC"/>
    <w:rsid w:val="00923820"/>
    <w:rsid w:val="0092389C"/>
    <w:rsid w:val="00924130"/>
    <w:rsid w:val="009247F7"/>
    <w:rsid w:val="00924CBA"/>
    <w:rsid w:val="00925049"/>
    <w:rsid w:val="0092512A"/>
    <w:rsid w:val="00925490"/>
    <w:rsid w:val="00925A0D"/>
    <w:rsid w:val="00925E64"/>
    <w:rsid w:val="00926163"/>
    <w:rsid w:val="00926A86"/>
    <w:rsid w:val="00926E42"/>
    <w:rsid w:val="009271E3"/>
    <w:rsid w:val="00927349"/>
    <w:rsid w:val="009276DE"/>
    <w:rsid w:val="00927959"/>
    <w:rsid w:val="00927C28"/>
    <w:rsid w:val="00927F8A"/>
    <w:rsid w:val="009301B6"/>
    <w:rsid w:val="009301E4"/>
    <w:rsid w:val="009303E0"/>
    <w:rsid w:val="00930742"/>
    <w:rsid w:val="00930BCF"/>
    <w:rsid w:val="00930F5E"/>
    <w:rsid w:val="009313FA"/>
    <w:rsid w:val="00931D72"/>
    <w:rsid w:val="0093216A"/>
    <w:rsid w:val="0093237D"/>
    <w:rsid w:val="009327C7"/>
    <w:rsid w:val="00932C18"/>
    <w:rsid w:val="00932DB3"/>
    <w:rsid w:val="009333E9"/>
    <w:rsid w:val="009337AF"/>
    <w:rsid w:val="00933CAD"/>
    <w:rsid w:val="009342C1"/>
    <w:rsid w:val="00935104"/>
    <w:rsid w:val="0093584A"/>
    <w:rsid w:val="00935B57"/>
    <w:rsid w:val="00936B77"/>
    <w:rsid w:val="00936D2B"/>
    <w:rsid w:val="00936EA9"/>
    <w:rsid w:val="00936FF1"/>
    <w:rsid w:val="0093762B"/>
    <w:rsid w:val="00937C01"/>
    <w:rsid w:val="00937EA9"/>
    <w:rsid w:val="00937ED9"/>
    <w:rsid w:val="00937F34"/>
    <w:rsid w:val="009401B2"/>
    <w:rsid w:val="009401D4"/>
    <w:rsid w:val="00940BE4"/>
    <w:rsid w:val="0094123F"/>
    <w:rsid w:val="0094134D"/>
    <w:rsid w:val="0094179C"/>
    <w:rsid w:val="00941EB4"/>
    <w:rsid w:val="00941FAD"/>
    <w:rsid w:val="0094217A"/>
    <w:rsid w:val="00942DB5"/>
    <w:rsid w:val="0094323B"/>
    <w:rsid w:val="0094340B"/>
    <w:rsid w:val="00943D9D"/>
    <w:rsid w:val="00943F62"/>
    <w:rsid w:val="00943FF8"/>
    <w:rsid w:val="009441A9"/>
    <w:rsid w:val="00944429"/>
    <w:rsid w:val="00944A1C"/>
    <w:rsid w:val="00944CE4"/>
    <w:rsid w:val="009451C7"/>
    <w:rsid w:val="009452F1"/>
    <w:rsid w:val="009454D9"/>
    <w:rsid w:val="00945D6C"/>
    <w:rsid w:val="00946106"/>
    <w:rsid w:val="00946BF0"/>
    <w:rsid w:val="009470F8"/>
    <w:rsid w:val="0094728C"/>
    <w:rsid w:val="00947831"/>
    <w:rsid w:val="009478D8"/>
    <w:rsid w:val="009479EA"/>
    <w:rsid w:val="00947AF5"/>
    <w:rsid w:val="00947C46"/>
    <w:rsid w:val="00950E02"/>
    <w:rsid w:val="009515A6"/>
    <w:rsid w:val="00951F84"/>
    <w:rsid w:val="00953372"/>
    <w:rsid w:val="009538EB"/>
    <w:rsid w:val="00953ECC"/>
    <w:rsid w:val="00954343"/>
    <w:rsid w:val="0095453D"/>
    <w:rsid w:val="00954EAC"/>
    <w:rsid w:val="00955662"/>
    <w:rsid w:val="00955C13"/>
    <w:rsid w:val="00956346"/>
    <w:rsid w:val="00956602"/>
    <w:rsid w:val="00956793"/>
    <w:rsid w:val="009571E8"/>
    <w:rsid w:val="009578B0"/>
    <w:rsid w:val="0095796C"/>
    <w:rsid w:val="00957D17"/>
    <w:rsid w:val="00960570"/>
    <w:rsid w:val="009605AB"/>
    <w:rsid w:val="009609C9"/>
    <w:rsid w:val="00961B99"/>
    <w:rsid w:val="00962365"/>
    <w:rsid w:val="00962609"/>
    <w:rsid w:val="0096283A"/>
    <w:rsid w:val="00962F55"/>
    <w:rsid w:val="009635F4"/>
    <w:rsid w:val="00964629"/>
    <w:rsid w:val="009649CE"/>
    <w:rsid w:val="00964CA5"/>
    <w:rsid w:val="009652F3"/>
    <w:rsid w:val="00965453"/>
    <w:rsid w:val="00965865"/>
    <w:rsid w:val="00965911"/>
    <w:rsid w:val="009664E0"/>
    <w:rsid w:val="0096794A"/>
    <w:rsid w:val="009703E4"/>
    <w:rsid w:val="009705E6"/>
    <w:rsid w:val="00970EA8"/>
    <w:rsid w:val="00970F60"/>
    <w:rsid w:val="00971385"/>
    <w:rsid w:val="009714EC"/>
    <w:rsid w:val="00971F3A"/>
    <w:rsid w:val="009721CB"/>
    <w:rsid w:val="00972344"/>
    <w:rsid w:val="00972D38"/>
    <w:rsid w:val="0097313E"/>
    <w:rsid w:val="00973582"/>
    <w:rsid w:val="00974946"/>
    <w:rsid w:val="009749AB"/>
    <w:rsid w:val="00974A19"/>
    <w:rsid w:val="00974ABB"/>
    <w:rsid w:val="009750C8"/>
    <w:rsid w:val="00975125"/>
    <w:rsid w:val="0097537F"/>
    <w:rsid w:val="00975603"/>
    <w:rsid w:val="00975A34"/>
    <w:rsid w:val="00976831"/>
    <w:rsid w:val="00976B95"/>
    <w:rsid w:val="00976CC2"/>
    <w:rsid w:val="00977307"/>
    <w:rsid w:val="0097741A"/>
    <w:rsid w:val="0097784E"/>
    <w:rsid w:val="00977AD1"/>
    <w:rsid w:val="00977B51"/>
    <w:rsid w:val="00977D93"/>
    <w:rsid w:val="00977DA4"/>
    <w:rsid w:val="009800E5"/>
    <w:rsid w:val="009800F2"/>
    <w:rsid w:val="00980277"/>
    <w:rsid w:val="00980858"/>
    <w:rsid w:val="00980F2C"/>
    <w:rsid w:val="0098109C"/>
    <w:rsid w:val="009815A0"/>
    <w:rsid w:val="009816CB"/>
    <w:rsid w:val="00981A71"/>
    <w:rsid w:val="00981B10"/>
    <w:rsid w:val="00981C06"/>
    <w:rsid w:val="009826C0"/>
    <w:rsid w:val="009826C2"/>
    <w:rsid w:val="00982C79"/>
    <w:rsid w:val="0098304C"/>
    <w:rsid w:val="00983335"/>
    <w:rsid w:val="009834EB"/>
    <w:rsid w:val="00983969"/>
    <w:rsid w:val="00983CF2"/>
    <w:rsid w:val="00983D71"/>
    <w:rsid w:val="00983E38"/>
    <w:rsid w:val="009840E1"/>
    <w:rsid w:val="009843CC"/>
    <w:rsid w:val="00984E2F"/>
    <w:rsid w:val="00984E5F"/>
    <w:rsid w:val="00984EAB"/>
    <w:rsid w:val="009856AD"/>
    <w:rsid w:val="009857DA"/>
    <w:rsid w:val="00985957"/>
    <w:rsid w:val="00985E67"/>
    <w:rsid w:val="0098600A"/>
    <w:rsid w:val="00987B82"/>
    <w:rsid w:val="00987F3E"/>
    <w:rsid w:val="00990251"/>
    <w:rsid w:val="009906EF"/>
    <w:rsid w:val="009912AA"/>
    <w:rsid w:val="00991724"/>
    <w:rsid w:val="00992353"/>
    <w:rsid w:val="0099373D"/>
    <w:rsid w:val="0099374D"/>
    <w:rsid w:val="009937DF"/>
    <w:rsid w:val="00993F2B"/>
    <w:rsid w:val="00994058"/>
    <w:rsid w:val="00994098"/>
    <w:rsid w:val="0099441A"/>
    <w:rsid w:val="00994709"/>
    <w:rsid w:val="00994A9D"/>
    <w:rsid w:val="00995A6A"/>
    <w:rsid w:val="00995B50"/>
    <w:rsid w:val="00995E1B"/>
    <w:rsid w:val="00996032"/>
    <w:rsid w:val="009979E3"/>
    <w:rsid w:val="00997B3F"/>
    <w:rsid w:val="00997C0C"/>
    <w:rsid w:val="00997C4C"/>
    <w:rsid w:val="00997E85"/>
    <w:rsid w:val="009A0443"/>
    <w:rsid w:val="009A044C"/>
    <w:rsid w:val="009A0ABC"/>
    <w:rsid w:val="009A1232"/>
    <w:rsid w:val="009A20A2"/>
    <w:rsid w:val="009A2510"/>
    <w:rsid w:val="009A27CC"/>
    <w:rsid w:val="009A2879"/>
    <w:rsid w:val="009A31E9"/>
    <w:rsid w:val="009A398F"/>
    <w:rsid w:val="009A46DC"/>
    <w:rsid w:val="009A4AD2"/>
    <w:rsid w:val="009A4D59"/>
    <w:rsid w:val="009A4F02"/>
    <w:rsid w:val="009A5277"/>
    <w:rsid w:val="009A7134"/>
    <w:rsid w:val="009A7951"/>
    <w:rsid w:val="009A7A2A"/>
    <w:rsid w:val="009A7C94"/>
    <w:rsid w:val="009A7E05"/>
    <w:rsid w:val="009B022E"/>
    <w:rsid w:val="009B037C"/>
    <w:rsid w:val="009B0955"/>
    <w:rsid w:val="009B0B49"/>
    <w:rsid w:val="009B0C7A"/>
    <w:rsid w:val="009B0E26"/>
    <w:rsid w:val="009B0F25"/>
    <w:rsid w:val="009B11D8"/>
    <w:rsid w:val="009B12E4"/>
    <w:rsid w:val="009B1385"/>
    <w:rsid w:val="009B1647"/>
    <w:rsid w:val="009B21F9"/>
    <w:rsid w:val="009B2563"/>
    <w:rsid w:val="009B2CA0"/>
    <w:rsid w:val="009B313F"/>
    <w:rsid w:val="009B3476"/>
    <w:rsid w:val="009B3536"/>
    <w:rsid w:val="009B3A36"/>
    <w:rsid w:val="009B3DAC"/>
    <w:rsid w:val="009B4B66"/>
    <w:rsid w:val="009B4D14"/>
    <w:rsid w:val="009B51B5"/>
    <w:rsid w:val="009B527D"/>
    <w:rsid w:val="009B5404"/>
    <w:rsid w:val="009B5416"/>
    <w:rsid w:val="009B5716"/>
    <w:rsid w:val="009B5C2B"/>
    <w:rsid w:val="009B5ED1"/>
    <w:rsid w:val="009B6203"/>
    <w:rsid w:val="009B62A2"/>
    <w:rsid w:val="009B67A2"/>
    <w:rsid w:val="009B6F9B"/>
    <w:rsid w:val="009B7C9E"/>
    <w:rsid w:val="009C00A5"/>
    <w:rsid w:val="009C0258"/>
    <w:rsid w:val="009C0E81"/>
    <w:rsid w:val="009C0F5B"/>
    <w:rsid w:val="009C1F27"/>
    <w:rsid w:val="009C2095"/>
    <w:rsid w:val="009C2288"/>
    <w:rsid w:val="009C22C5"/>
    <w:rsid w:val="009C2342"/>
    <w:rsid w:val="009C2522"/>
    <w:rsid w:val="009C25B4"/>
    <w:rsid w:val="009C2A3F"/>
    <w:rsid w:val="009C379D"/>
    <w:rsid w:val="009C37AD"/>
    <w:rsid w:val="009C38E9"/>
    <w:rsid w:val="009C3F9C"/>
    <w:rsid w:val="009C45C8"/>
    <w:rsid w:val="009C4722"/>
    <w:rsid w:val="009C49D2"/>
    <w:rsid w:val="009C50C2"/>
    <w:rsid w:val="009C5634"/>
    <w:rsid w:val="009C613E"/>
    <w:rsid w:val="009C6263"/>
    <w:rsid w:val="009C6473"/>
    <w:rsid w:val="009C6659"/>
    <w:rsid w:val="009C69B0"/>
    <w:rsid w:val="009C6A9B"/>
    <w:rsid w:val="009C70FE"/>
    <w:rsid w:val="009C7FB5"/>
    <w:rsid w:val="009D02D3"/>
    <w:rsid w:val="009D059B"/>
    <w:rsid w:val="009D071A"/>
    <w:rsid w:val="009D088C"/>
    <w:rsid w:val="009D0E71"/>
    <w:rsid w:val="009D1E5F"/>
    <w:rsid w:val="009D20AF"/>
    <w:rsid w:val="009D23D9"/>
    <w:rsid w:val="009D2649"/>
    <w:rsid w:val="009D2AF8"/>
    <w:rsid w:val="009D2C03"/>
    <w:rsid w:val="009D313B"/>
    <w:rsid w:val="009D3180"/>
    <w:rsid w:val="009D39E7"/>
    <w:rsid w:val="009D40B5"/>
    <w:rsid w:val="009D449B"/>
    <w:rsid w:val="009D4939"/>
    <w:rsid w:val="009D51FB"/>
    <w:rsid w:val="009D597E"/>
    <w:rsid w:val="009D59B9"/>
    <w:rsid w:val="009D5C7E"/>
    <w:rsid w:val="009D6107"/>
    <w:rsid w:val="009D6624"/>
    <w:rsid w:val="009D6870"/>
    <w:rsid w:val="009D6DA2"/>
    <w:rsid w:val="009D7150"/>
    <w:rsid w:val="009D7492"/>
    <w:rsid w:val="009D74E2"/>
    <w:rsid w:val="009D76D6"/>
    <w:rsid w:val="009D7E61"/>
    <w:rsid w:val="009E0535"/>
    <w:rsid w:val="009E0763"/>
    <w:rsid w:val="009E0E69"/>
    <w:rsid w:val="009E0F20"/>
    <w:rsid w:val="009E1035"/>
    <w:rsid w:val="009E12C5"/>
    <w:rsid w:val="009E1514"/>
    <w:rsid w:val="009E1910"/>
    <w:rsid w:val="009E1A90"/>
    <w:rsid w:val="009E1BDD"/>
    <w:rsid w:val="009E20C3"/>
    <w:rsid w:val="009E21C6"/>
    <w:rsid w:val="009E280A"/>
    <w:rsid w:val="009E29C7"/>
    <w:rsid w:val="009E2D69"/>
    <w:rsid w:val="009E3360"/>
    <w:rsid w:val="009E3C56"/>
    <w:rsid w:val="009E3D5C"/>
    <w:rsid w:val="009E4223"/>
    <w:rsid w:val="009E4553"/>
    <w:rsid w:val="009E466F"/>
    <w:rsid w:val="009E47BB"/>
    <w:rsid w:val="009E4A37"/>
    <w:rsid w:val="009E4BA6"/>
    <w:rsid w:val="009E51B3"/>
    <w:rsid w:val="009E54E3"/>
    <w:rsid w:val="009E5844"/>
    <w:rsid w:val="009E595F"/>
    <w:rsid w:val="009E6EA7"/>
    <w:rsid w:val="009E7225"/>
    <w:rsid w:val="009E76EB"/>
    <w:rsid w:val="009E7764"/>
    <w:rsid w:val="009E77CD"/>
    <w:rsid w:val="009E7936"/>
    <w:rsid w:val="009E7AA5"/>
    <w:rsid w:val="009E7AF6"/>
    <w:rsid w:val="009E7D04"/>
    <w:rsid w:val="009E7E6F"/>
    <w:rsid w:val="009F0151"/>
    <w:rsid w:val="009F020E"/>
    <w:rsid w:val="009F05D1"/>
    <w:rsid w:val="009F12A7"/>
    <w:rsid w:val="009F14E0"/>
    <w:rsid w:val="009F15D2"/>
    <w:rsid w:val="009F1683"/>
    <w:rsid w:val="009F1C81"/>
    <w:rsid w:val="009F1D4E"/>
    <w:rsid w:val="009F1EC7"/>
    <w:rsid w:val="009F1F15"/>
    <w:rsid w:val="009F2530"/>
    <w:rsid w:val="009F26DD"/>
    <w:rsid w:val="009F319E"/>
    <w:rsid w:val="009F3399"/>
    <w:rsid w:val="009F3A5C"/>
    <w:rsid w:val="009F3F68"/>
    <w:rsid w:val="009F3F8D"/>
    <w:rsid w:val="009F43C4"/>
    <w:rsid w:val="009F46CA"/>
    <w:rsid w:val="009F46D4"/>
    <w:rsid w:val="009F4A1C"/>
    <w:rsid w:val="009F4B9D"/>
    <w:rsid w:val="009F4EA1"/>
    <w:rsid w:val="009F5081"/>
    <w:rsid w:val="009F52C1"/>
    <w:rsid w:val="009F5321"/>
    <w:rsid w:val="009F558F"/>
    <w:rsid w:val="009F59D9"/>
    <w:rsid w:val="009F5F09"/>
    <w:rsid w:val="009F6137"/>
    <w:rsid w:val="009F67AD"/>
    <w:rsid w:val="009F68BF"/>
    <w:rsid w:val="009F68F9"/>
    <w:rsid w:val="009F69D1"/>
    <w:rsid w:val="009F6BDE"/>
    <w:rsid w:val="009F6D22"/>
    <w:rsid w:val="009F6F4A"/>
    <w:rsid w:val="009F6FF6"/>
    <w:rsid w:val="009F70B9"/>
    <w:rsid w:val="009F72D0"/>
    <w:rsid w:val="009F7990"/>
    <w:rsid w:val="009F7A99"/>
    <w:rsid w:val="00A000CB"/>
    <w:rsid w:val="00A0036B"/>
    <w:rsid w:val="00A00373"/>
    <w:rsid w:val="00A00571"/>
    <w:rsid w:val="00A0085E"/>
    <w:rsid w:val="00A01700"/>
    <w:rsid w:val="00A01A55"/>
    <w:rsid w:val="00A01E6A"/>
    <w:rsid w:val="00A01F81"/>
    <w:rsid w:val="00A023CF"/>
    <w:rsid w:val="00A02464"/>
    <w:rsid w:val="00A02729"/>
    <w:rsid w:val="00A02E0D"/>
    <w:rsid w:val="00A02E15"/>
    <w:rsid w:val="00A0305B"/>
    <w:rsid w:val="00A03AD7"/>
    <w:rsid w:val="00A03B99"/>
    <w:rsid w:val="00A03EC9"/>
    <w:rsid w:val="00A04255"/>
    <w:rsid w:val="00A0428C"/>
    <w:rsid w:val="00A0431E"/>
    <w:rsid w:val="00A0470B"/>
    <w:rsid w:val="00A04D4A"/>
    <w:rsid w:val="00A05149"/>
    <w:rsid w:val="00A052CF"/>
    <w:rsid w:val="00A05C0D"/>
    <w:rsid w:val="00A06450"/>
    <w:rsid w:val="00A0666A"/>
    <w:rsid w:val="00A06DA3"/>
    <w:rsid w:val="00A06E88"/>
    <w:rsid w:val="00A0749D"/>
    <w:rsid w:val="00A07813"/>
    <w:rsid w:val="00A07CCD"/>
    <w:rsid w:val="00A100E5"/>
    <w:rsid w:val="00A10351"/>
    <w:rsid w:val="00A11A76"/>
    <w:rsid w:val="00A11AC2"/>
    <w:rsid w:val="00A1229A"/>
    <w:rsid w:val="00A12394"/>
    <w:rsid w:val="00A1256E"/>
    <w:rsid w:val="00A125A1"/>
    <w:rsid w:val="00A12602"/>
    <w:rsid w:val="00A12B1E"/>
    <w:rsid w:val="00A14499"/>
    <w:rsid w:val="00A14548"/>
    <w:rsid w:val="00A146B5"/>
    <w:rsid w:val="00A147CD"/>
    <w:rsid w:val="00A1483B"/>
    <w:rsid w:val="00A1499A"/>
    <w:rsid w:val="00A14A86"/>
    <w:rsid w:val="00A14D31"/>
    <w:rsid w:val="00A152AA"/>
    <w:rsid w:val="00A16061"/>
    <w:rsid w:val="00A160F9"/>
    <w:rsid w:val="00A1619F"/>
    <w:rsid w:val="00A167C2"/>
    <w:rsid w:val="00A1684F"/>
    <w:rsid w:val="00A168BB"/>
    <w:rsid w:val="00A16B1D"/>
    <w:rsid w:val="00A16F6B"/>
    <w:rsid w:val="00A17C11"/>
    <w:rsid w:val="00A2035F"/>
    <w:rsid w:val="00A20686"/>
    <w:rsid w:val="00A206F6"/>
    <w:rsid w:val="00A20A55"/>
    <w:rsid w:val="00A20B53"/>
    <w:rsid w:val="00A21335"/>
    <w:rsid w:val="00A21379"/>
    <w:rsid w:val="00A21541"/>
    <w:rsid w:val="00A21688"/>
    <w:rsid w:val="00A219A8"/>
    <w:rsid w:val="00A21A0A"/>
    <w:rsid w:val="00A21CE4"/>
    <w:rsid w:val="00A21EB0"/>
    <w:rsid w:val="00A22360"/>
    <w:rsid w:val="00A2240A"/>
    <w:rsid w:val="00A228D8"/>
    <w:rsid w:val="00A2290B"/>
    <w:rsid w:val="00A22BC1"/>
    <w:rsid w:val="00A22DEB"/>
    <w:rsid w:val="00A2342A"/>
    <w:rsid w:val="00A23A29"/>
    <w:rsid w:val="00A23C7D"/>
    <w:rsid w:val="00A23DEB"/>
    <w:rsid w:val="00A24335"/>
    <w:rsid w:val="00A25146"/>
    <w:rsid w:val="00A257E9"/>
    <w:rsid w:val="00A25812"/>
    <w:rsid w:val="00A2596A"/>
    <w:rsid w:val="00A25B6F"/>
    <w:rsid w:val="00A25E25"/>
    <w:rsid w:val="00A26533"/>
    <w:rsid w:val="00A27072"/>
    <w:rsid w:val="00A277E8"/>
    <w:rsid w:val="00A27D1A"/>
    <w:rsid w:val="00A30180"/>
    <w:rsid w:val="00A301BC"/>
    <w:rsid w:val="00A30412"/>
    <w:rsid w:val="00A3073B"/>
    <w:rsid w:val="00A309A1"/>
    <w:rsid w:val="00A30A64"/>
    <w:rsid w:val="00A30E0D"/>
    <w:rsid w:val="00A3123F"/>
    <w:rsid w:val="00A3162E"/>
    <w:rsid w:val="00A31968"/>
    <w:rsid w:val="00A3199A"/>
    <w:rsid w:val="00A31B38"/>
    <w:rsid w:val="00A31E28"/>
    <w:rsid w:val="00A31EA7"/>
    <w:rsid w:val="00A321C7"/>
    <w:rsid w:val="00A32466"/>
    <w:rsid w:val="00A3251C"/>
    <w:rsid w:val="00A32721"/>
    <w:rsid w:val="00A32FD7"/>
    <w:rsid w:val="00A335EF"/>
    <w:rsid w:val="00A34161"/>
    <w:rsid w:val="00A34835"/>
    <w:rsid w:val="00A34CD8"/>
    <w:rsid w:val="00A35224"/>
    <w:rsid w:val="00A35244"/>
    <w:rsid w:val="00A3526F"/>
    <w:rsid w:val="00A356D5"/>
    <w:rsid w:val="00A35897"/>
    <w:rsid w:val="00A35976"/>
    <w:rsid w:val="00A36A67"/>
    <w:rsid w:val="00A36D7B"/>
    <w:rsid w:val="00A36E79"/>
    <w:rsid w:val="00A374D1"/>
    <w:rsid w:val="00A3783D"/>
    <w:rsid w:val="00A4003D"/>
    <w:rsid w:val="00A40611"/>
    <w:rsid w:val="00A40B2C"/>
    <w:rsid w:val="00A414C0"/>
    <w:rsid w:val="00A416AA"/>
    <w:rsid w:val="00A416DC"/>
    <w:rsid w:val="00A4176F"/>
    <w:rsid w:val="00A41970"/>
    <w:rsid w:val="00A419B2"/>
    <w:rsid w:val="00A41B0B"/>
    <w:rsid w:val="00A42C8E"/>
    <w:rsid w:val="00A42E86"/>
    <w:rsid w:val="00A43054"/>
    <w:rsid w:val="00A43144"/>
    <w:rsid w:val="00A43392"/>
    <w:rsid w:val="00A43977"/>
    <w:rsid w:val="00A43BEA"/>
    <w:rsid w:val="00A43C0A"/>
    <w:rsid w:val="00A43D72"/>
    <w:rsid w:val="00A442AB"/>
    <w:rsid w:val="00A449E1"/>
    <w:rsid w:val="00A452D4"/>
    <w:rsid w:val="00A4592A"/>
    <w:rsid w:val="00A45D37"/>
    <w:rsid w:val="00A46353"/>
    <w:rsid w:val="00A46C06"/>
    <w:rsid w:val="00A4735D"/>
    <w:rsid w:val="00A4758F"/>
    <w:rsid w:val="00A47758"/>
    <w:rsid w:val="00A4786A"/>
    <w:rsid w:val="00A47952"/>
    <w:rsid w:val="00A4797C"/>
    <w:rsid w:val="00A479DA"/>
    <w:rsid w:val="00A47CD2"/>
    <w:rsid w:val="00A502E5"/>
    <w:rsid w:val="00A50717"/>
    <w:rsid w:val="00A50D06"/>
    <w:rsid w:val="00A50E88"/>
    <w:rsid w:val="00A5110E"/>
    <w:rsid w:val="00A51739"/>
    <w:rsid w:val="00A51B06"/>
    <w:rsid w:val="00A52115"/>
    <w:rsid w:val="00A52201"/>
    <w:rsid w:val="00A522DB"/>
    <w:rsid w:val="00A5287C"/>
    <w:rsid w:val="00A52FFE"/>
    <w:rsid w:val="00A544C0"/>
    <w:rsid w:val="00A5464E"/>
    <w:rsid w:val="00A548B5"/>
    <w:rsid w:val="00A55355"/>
    <w:rsid w:val="00A55456"/>
    <w:rsid w:val="00A55DC7"/>
    <w:rsid w:val="00A5668A"/>
    <w:rsid w:val="00A56A73"/>
    <w:rsid w:val="00A56C81"/>
    <w:rsid w:val="00A56CE6"/>
    <w:rsid w:val="00A57322"/>
    <w:rsid w:val="00A60340"/>
    <w:rsid w:val="00A60421"/>
    <w:rsid w:val="00A60471"/>
    <w:rsid w:val="00A60A99"/>
    <w:rsid w:val="00A60CDA"/>
    <w:rsid w:val="00A60E49"/>
    <w:rsid w:val="00A60F87"/>
    <w:rsid w:val="00A6113B"/>
    <w:rsid w:val="00A61A62"/>
    <w:rsid w:val="00A61FB1"/>
    <w:rsid w:val="00A6221B"/>
    <w:rsid w:val="00A62328"/>
    <w:rsid w:val="00A62640"/>
    <w:rsid w:val="00A628A0"/>
    <w:rsid w:val="00A62BC8"/>
    <w:rsid w:val="00A6340B"/>
    <w:rsid w:val="00A63F68"/>
    <w:rsid w:val="00A64436"/>
    <w:rsid w:val="00A64A3F"/>
    <w:rsid w:val="00A64D4A"/>
    <w:rsid w:val="00A65256"/>
    <w:rsid w:val="00A65831"/>
    <w:rsid w:val="00A65F21"/>
    <w:rsid w:val="00A6662F"/>
    <w:rsid w:val="00A6690B"/>
    <w:rsid w:val="00A66947"/>
    <w:rsid w:val="00A66979"/>
    <w:rsid w:val="00A66A2E"/>
    <w:rsid w:val="00A66C89"/>
    <w:rsid w:val="00A67920"/>
    <w:rsid w:val="00A67FC1"/>
    <w:rsid w:val="00A705E5"/>
    <w:rsid w:val="00A70E76"/>
    <w:rsid w:val="00A70F44"/>
    <w:rsid w:val="00A717AC"/>
    <w:rsid w:val="00A719C0"/>
    <w:rsid w:val="00A71BE0"/>
    <w:rsid w:val="00A72637"/>
    <w:rsid w:val="00A72A16"/>
    <w:rsid w:val="00A72ADE"/>
    <w:rsid w:val="00A72B06"/>
    <w:rsid w:val="00A72C25"/>
    <w:rsid w:val="00A72C60"/>
    <w:rsid w:val="00A72F05"/>
    <w:rsid w:val="00A7307E"/>
    <w:rsid w:val="00A7339A"/>
    <w:rsid w:val="00A73FD6"/>
    <w:rsid w:val="00A743D8"/>
    <w:rsid w:val="00A7446E"/>
    <w:rsid w:val="00A74D31"/>
    <w:rsid w:val="00A752DF"/>
    <w:rsid w:val="00A7548D"/>
    <w:rsid w:val="00A75888"/>
    <w:rsid w:val="00A75BC6"/>
    <w:rsid w:val="00A76115"/>
    <w:rsid w:val="00A7642B"/>
    <w:rsid w:val="00A76621"/>
    <w:rsid w:val="00A76694"/>
    <w:rsid w:val="00A767FA"/>
    <w:rsid w:val="00A769B2"/>
    <w:rsid w:val="00A76A52"/>
    <w:rsid w:val="00A77647"/>
    <w:rsid w:val="00A77B64"/>
    <w:rsid w:val="00A77FE7"/>
    <w:rsid w:val="00A80199"/>
    <w:rsid w:val="00A80A95"/>
    <w:rsid w:val="00A80CEC"/>
    <w:rsid w:val="00A80E49"/>
    <w:rsid w:val="00A8109C"/>
    <w:rsid w:val="00A81C9B"/>
    <w:rsid w:val="00A81D78"/>
    <w:rsid w:val="00A82165"/>
    <w:rsid w:val="00A82851"/>
    <w:rsid w:val="00A83127"/>
    <w:rsid w:val="00A83215"/>
    <w:rsid w:val="00A83503"/>
    <w:rsid w:val="00A83FF5"/>
    <w:rsid w:val="00A84858"/>
    <w:rsid w:val="00A8494A"/>
    <w:rsid w:val="00A84B5F"/>
    <w:rsid w:val="00A8553C"/>
    <w:rsid w:val="00A85C49"/>
    <w:rsid w:val="00A8601D"/>
    <w:rsid w:val="00A86184"/>
    <w:rsid w:val="00A86A98"/>
    <w:rsid w:val="00A86F75"/>
    <w:rsid w:val="00A871AF"/>
    <w:rsid w:val="00A876D8"/>
    <w:rsid w:val="00A90252"/>
    <w:rsid w:val="00A9099C"/>
    <w:rsid w:val="00A912FB"/>
    <w:rsid w:val="00A91436"/>
    <w:rsid w:val="00A916C5"/>
    <w:rsid w:val="00A916D5"/>
    <w:rsid w:val="00A91F1A"/>
    <w:rsid w:val="00A92833"/>
    <w:rsid w:val="00A92A28"/>
    <w:rsid w:val="00A92DF3"/>
    <w:rsid w:val="00A9302E"/>
    <w:rsid w:val="00A93173"/>
    <w:rsid w:val="00A93521"/>
    <w:rsid w:val="00A936B6"/>
    <w:rsid w:val="00A9373E"/>
    <w:rsid w:val="00A937C8"/>
    <w:rsid w:val="00A93950"/>
    <w:rsid w:val="00A93D8D"/>
    <w:rsid w:val="00A9466C"/>
    <w:rsid w:val="00A94962"/>
    <w:rsid w:val="00A94B78"/>
    <w:rsid w:val="00A955D3"/>
    <w:rsid w:val="00A96BDB"/>
    <w:rsid w:val="00A96C07"/>
    <w:rsid w:val="00A97414"/>
    <w:rsid w:val="00A97433"/>
    <w:rsid w:val="00A97C9A"/>
    <w:rsid w:val="00A97F99"/>
    <w:rsid w:val="00AA0060"/>
    <w:rsid w:val="00AA058A"/>
    <w:rsid w:val="00AA064B"/>
    <w:rsid w:val="00AA0936"/>
    <w:rsid w:val="00AA0B77"/>
    <w:rsid w:val="00AA0F82"/>
    <w:rsid w:val="00AA1256"/>
    <w:rsid w:val="00AA1647"/>
    <w:rsid w:val="00AA1A24"/>
    <w:rsid w:val="00AA1EFE"/>
    <w:rsid w:val="00AA2027"/>
    <w:rsid w:val="00AA2155"/>
    <w:rsid w:val="00AA2E7C"/>
    <w:rsid w:val="00AA2F03"/>
    <w:rsid w:val="00AA34C5"/>
    <w:rsid w:val="00AA365B"/>
    <w:rsid w:val="00AA386B"/>
    <w:rsid w:val="00AA3934"/>
    <w:rsid w:val="00AA3C84"/>
    <w:rsid w:val="00AA3D29"/>
    <w:rsid w:val="00AA3E83"/>
    <w:rsid w:val="00AA44B6"/>
    <w:rsid w:val="00AA4610"/>
    <w:rsid w:val="00AA4915"/>
    <w:rsid w:val="00AA544A"/>
    <w:rsid w:val="00AA5748"/>
    <w:rsid w:val="00AA5868"/>
    <w:rsid w:val="00AA6801"/>
    <w:rsid w:val="00AA6887"/>
    <w:rsid w:val="00AA6940"/>
    <w:rsid w:val="00AA6959"/>
    <w:rsid w:val="00AA6A45"/>
    <w:rsid w:val="00AA7033"/>
    <w:rsid w:val="00AA74D1"/>
    <w:rsid w:val="00AA7812"/>
    <w:rsid w:val="00AB006B"/>
    <w:rsid w:val="00AB00BC"/>
    <w:rsid w:val="00AB04E1"/>
    <w:rsid w:val="00AB0B57"/>
    <w:rsid w:val="00AB11A0"/>
    <w:rsid w:val="00AB134E"/>
    <w:rsid w:val="00AB18DF"/>
    <w:rsid w:val="00AB1E5E"/>
    <w:rsid w:val="00AB21AE"/>
    <w:rsid w:val="00AB2313"/>
    <w:rsid w:val="00AB233D"/>
    <w:rsid w:val="00AB268F"/>
    <w:rsid w:val="00AB2B6C"/>
    <w:rsid w:val="00AB2BA0"/>
    <w:rsid w:val="00AB2F4A"/>
    <w:rsid w:val="00AB3E83"/>
    <w:rsid w:val="00AB4366"/>
    <w:rsid w:val="00AB47F3"/>
    <w:rsid w:val="00AB49CF"/>
    <w:rsid w:val="00AB5166"/>
    <w:rsid w:val="00AB51AE"/>
    <w:rsid w:val="00AB54C8"/>
    <w:rsid w:val="00AB577A"/>
    <w:rsid w:val="00AB5C4D"/>
    <w:rsid w:val="00AB621D"/>
    <w:rsid w:val="00AB62C5"/>
    <w:rsid w:val="00AB640B"/>
    <w:rsid w:val="00AB6AA1"/>
    <w:rsid w:val="00AB6CF9"/>
    <w:rsid w:val="00AB77EE"/>
    <w:rsid w:val="00AB79BA"/>
    <w:rsid w:val="00AB7EA5"/>
    <w:rsid w:val="00AC06B8"/>
    <w:rsid w:val="00AC0AB1"/>
    <w:rsid w:val="00AC0D4B"/>
    <w:rsid w:val="00AC0E93"/>
    <w:rsid w:val="00AC0F7D"/>
    <w:rsid w:val="00AC148F"/>
    <w:rsid w:val="00AC1A66"/>
    <w:rsid w:val="00AC1AD6"/>
    <w:rsid w:val="00AC1DE8"/>
    <w:rsid w:val="00AC202D"/>
    <w:rsid w:val="00AC2302"/>
    <w:rsid w:val="00AC260F"/>
    <w:rsid w:val="00AC2662"/>
    <w:rsid w:val="00AC2771"/>
    <w:rsid w:val="00AC280D"/>
    <w:rsid w:val="00AC29B5"/>
    <w:rsid w:val="00AC321F"/>
    <w:rsid w:val="00AC348A"/>
    <w:rsid w:val="00AC3657"/>
    <w:rsid w:val="00AC3841"/>
    <w:rsid w:val="00AC4DE3"/>
    <w:rsid w:val="00AC51A9"/>
    <w:rsid w:val="00AC5652"/>
    <w:rsid w:val="00AC587F"/>
    <w:rsid w:val="00AC5B73"/>
    <w:rsid w:val="00AC5BDD"/>
    <w:rsid w:val="00AC5C67"/>
    <w:rsid w:val="00AC5FDB"/>
    <w:rsid w:val="00AC62FB"/>
    <w:rsid w:val="00AC7554"/>
    <w:rsid w:val="00AC7576"/>
    <w:rsid w:val="00AC79C2"/>
    <w:rsid w:val="00AD05D6"/>
    <w:rsid w:val="00AD0815"/>
    <w:rsid w:val="00AD0EEF"/>
    <w:rsid w:val="00AD1B66"/>
    <w:rsid w:val="00AD1C46"/>
    <w:rsid w:val="00AD2077"/>
    <w:rsid w:val="00AD20FF"/>
    <w:rsid w:val="00AD227F"/>
    <w:rsid w:val="00AD258D"/>
    <w:rsid w:val="00AD28FE"/>
    <w:rsid w:val="00AD31FE"/>
    <w:rsid w:val="00AD3400"/>
    <w:rsid w:val="00AD3658"/>
    <w:rsid w:val="00AD3777"/>
    <w:rsid w:val="00AD394E"/>
    <w:rsid w:val="00AD39BE"/>
    <w:rsid w:val="00AD430A"/>
    <w:rsid w:val="00AD488C"/>
    <w:rsid w:val="00AD5261"/>
    <w:rsid w:val="00AD52BF"/>
    <w:rsid w:val="00AD5F43"/>
    <w:rsid w:val="00AD621C"/>
    <w:rsid w:val="00AD644F"/>
    <w:rsid w:val="00AD672B"/>
    <w:rsid w:val="00AD6B87"/>
    <w:rsid w:val="00AD6E75"/>
    <w:rsid w:val="00AD6FB1"/>
    <w:rsid w:val="00AD749D"/>
    <w:rsid w:val="00AD7CF3"/>
    <w:rsid w:val="00AE0AC5"/>
    <w:rsid w:val="00AE10FF"/>
    <w:rsid w:val="00AE1D17"/>
    <w:rsid w:val="00AE2510"/>
    <w:rsid w:val="00AE29E5"/>
    <w:rsid w:val="00AE2E08"/>
    <w:rsid w:val="00AE3FED"/>
    <w:rsid w:val="00AE4174"/>
    <w:rsid w:val="00AE42EB"/>
    <w:rsid w:val="00AE4917"/>
    <w:rsid w:val="00AE4B72"/>
    <w:rsid w:val="00AE4C46"/>
    <w:rsid w:val="00AE4DF7"/>
    <w:rsid w:val="00AE500D"/>
    <w:rsid w:val="00AE52DE"/>
    <w:rsid w:val="00AE53EC"/>
    <w:rsid w:val="00AE53F1"/>
    <w:rsid w:val="00AE548F"/>
    <w:rsid w:val="00AE620A"/>
    <w:rsid w:val="00AE6A65"/>
    <w:rsid w:val="00AE6D0E"/>
    <w:rsid w:val="00AE6FB1"/>
    <w:rsid w:val="00AE735D"/>
    <w:rsid w:val="00AE7509"/>
    <w:rsid w:val="00AE7EE5"/>
    <w:rsid w:val="00AF1072"/>
    <w:rsid w:val="00AF1BAD"/>
    <w:rsid w:val="00AF1D40"/>
    <w:rsid w:val="00AF2176"/>
    <w:rsid w:val="00AF219A"/>
    <w:rsid w:val="00AF2208"/>
    <w:rsid w:val="00AF23F4"/>
    <w:rsid w:val="00AF287A"/>
    <w:rsid w:val="00AF2A0A"/>
    <w:rsid w:val="00AF2A84"/>
    <w:rsid w:val="00AF2C05"/>
    <w:rsid w:val="00AF340D"/>
    <w:rsid w:val="00AF3423"/>
    <w:rsid w:val="00AF3BFE"/>
    <w:rsid w:val="00AF3F32"/>
    <w:rsid w:val="00AF43E5"/>
    <w:rsid w:val="00AF45DE"/>
    <w:rsid w:val="00AF49C7"/>
    <w:rsid w:val="00AF4D7A"/>
    <w:rsid w:val="00AF5379"/>
    <w:rsid w:val="00AF54F4"/>
    <w:rsid w:val="00AF5982"/>
    <w:rsid w:val="00AF5B83"/>
    <w:rsid w:val="00AF5D3E"/>
    <w:rsid w:val="00AF6050"/>
    <w:rsid w:val="00AF6729"/>
    <w:rsid w:val="00AF6801"/>
    <w:rsid w:val="00AF727D"/>
    <w:rsid w:val="00AF7478"/>
    <w:rsid w:val="00AF7492"/>
    <w:rsid w:val="00AF77B8"/>
    <w:rsid w:val="00AF7B3D"/>
    <w:rsid w:val="00AF7D4E"/>
    <w:rsid w:val="00B00F4B"/>
    <w:rsid w:val="00B0155F"/>
    <w:rsid w:val="00B01F46"/>
    <w:rsid w:val="00B020AE"/>
    <w:rsid w:val="00B02177"/>
    <w:rsid w:val="00B027B4"/>
    <w:rsid w:val="00B027E5"/>
    <w:rsid w:val="00B0286A"/>
    <w:rsid w:val="00B02B62"/>
    <w:rsid w:val="00B03429"/>
    <w:rsid w:val="00B03835"/>
    <w:rsid w:val="00B03CB4"/>
    <w:rsid w:val="00B0407B"/>
    <w:rsid w:val="00B044A5"/>
    <w:rsid w:val="00B046A7"/>
    <w:rsid w:val="00B04B86"/>
    <w:rsid w:val="00B05094"/>
    <w:rsid w:val="00B053E8"/>
    <w:rsid w:val="00B054F0"/>
    <w:rsid w:val="00B05607"/>
    <w:rsid w:val="00B057C0"/>
    <w:rsid w:val="00B0612B"/>
    <w:rsid w:val="00B061FF"/>
    <w:rsid w:val="00B063FF"/>
    <w:rsid w:val="00B0675A"/>
    <w:rsid w:val="00B075C4"/>
    <w:rsid w:val="00B07949"/>
    <w:rsid w:val="00B102BB"/>
    <w:rsid w:val="00B105BE"/>
    <w:rsid w:val="00B10644"/>
    <w:rsid w:val="00B10731"/>
    <w:rsid w:val="00B1077F"/>
    <w:rsid w:val="00B107E0"/>
    <w:rsid w:val="00B1130C"/>
    <w:rsid w:val="00B1166A"/>
    <w:rsid w:val="00B11986"/>
    <w:rsid w:val="00B11ED9"/>
    <w:rsid w:val="00B1211B"/>
    <w:rsid w:val="00B122B8"/>
    <w:rsid w:val="00B12348"/>
    <w:rsid w:val="00B124A6"/>
    <w:rsid w:val="00B12A29"/>
    <w:rsid w:val="00B12BFA"/>
    <w:rsid w:val="00B12F12"/>
    <w:rsid w:val="00B135A0"/>
    <w:rsid w:val="00B13671"/>
    <w:rsid w:val="00B13753"/>
    <w:rsid w:val="00B13DBD"/>
    <w:rsid w:val="00B1449E"/>
    <w:rsid w:val="00B14DA8"/>
    <w:rsid w:val="00B151DA"/>
    <w:rsid w:val="00B1541E"/>
    <w:rsid w:val="00B1569B"/>
    <w:rsid w:val="00B15C32"/>
    <w:rsid w:val="00B16011"/>
    <w:rsid w:val="00B16566"/>
    <w:rsid w:val="00B16A64"/>
    <w:rsid w:val="00B16CCE"/>
    <w:rsid w:val="00B16F9D"/>
    <w:rsid w:val="00B1735E"/>
    <w:rsid w:val="00B17769"/>
    <w:rsid w:val="00B201AA"/>
    <w:rsid w:val="00B20635"/>
    <w:rsid w:val="00B20BCB"/>
    <w:rsid w:val="00B20FCD"/>
    <w:rsid w:val="00B21450"/>
    <w:rsid w:val="00B220E6"/>
    <w:rsid w:val="00B226DD"/>
    <w:rsid w:val="00B22923"/>
    <w:rsid w:val="00B22B6D"/>
    <w:rsid w:val="00B22C90"/>
    <w:rsid w:val="00B22F1E"/>
    <w:rsid w:val="00B22FF7"/>
    <w:rsid w:val="00B23C6F"/>
    <w:rsid w:val="00B23CD9"/>
    <w:rsid w:val="00B23D01"/>
    <w:rsid w:val="00B23D0A"/>
    <w:rsid w:val="00B2452E"/>
    <w:rsid w:val="00B253BC"/>
    <w:rsid w:val="00B260FB"/>
    <w:rsid w:val="00B26C5B"/>
    <w:rsid w:val="00B26F43"/>
    <w:rsid w:val="00B2703D"/>
    <w:rsid w:val="00B2730E"/>
    <w:rsid w:val="00B27D65"/>
    <w:rsid w:val="00B30015"/>
    <w:rsid w:val="00B3021B"/>
    <w:rsid w:val="00B3024D"/>
    <w:rsid w:val="00B30336"/>
    <w:rsid w:val="00B30D60"/>
    <w:rsid w:val="00B30EC1"/>
    <w:rsid w:val="00B3139E"/>
    <w:rsid w:val="00B31412"/>
    <w:rsid w:val="00B31470"/>
    <w:rsid w:val="00B315E5"/>
    <w:rsid w:val="00B31605"/>
    <w:rsid w:val="00B316B8"/>
    <w:rsid w:val="00B318E1"/>
    <w:rsid w:val="00B32963"/>
    <w:rsid w:val="00B32A75"/>
    <w:rsid w:val="00B33236"/>
    <w:rsid w:val="00B33370"/>
    <w:rsid w:val="00B33D5E"/>
    <w:rsid w:val="00B3452B"/>
    <w:rsid w:val="00B348CF"/>
    <w:rsid w:val="00B34BE7"/>
    <w:rsid w:val="00B34D89"/>
    <w:rsid w:val="00B35B53"/>
    <w:rsid w:val="00B35E5B"/>
    <w:rsid w:val="00B3610D"/>
    <w:rsid w:val="00B364D0"/>
    <w:rsid w:val="00B374CC"/>
    <w:rsid w:val="00B37C70"/>
    <w:rsid w:val="00B40094"/>
    <w:rsid w:val="00B402C0"/>
    <w:rsid w:val="00B406C5"/>
    <w:rsid w:val="00B41017"/>
    <w:rsid w:val="00B417D5"/>
    <w:rsid w:val="00B419C8"/>
    <w:rsid w:val="00B429C8"/>
    <w:rsid w:val="00B4364F"/>
    <w:rsid w:val="00B43960"/>
    <w:rsid w:val="00B43D15"/>
    <w:rsid w:val="00B440A0"/>
    <w:rsid w:val="00B44173"/>
    <w:rsid w:val="00B4434E"/>
    <w:rsid w:val="00B4443A"/>
    <w:rsid w:val="00B4445B"/>
    <w:rsid w:val="00B44858"/>
    <w:rsid w:val="00B4587B"/>
    <w:rsid w:val="00B45B46"/>
    <w:rsid w:val="00B461A5"/>
    <w:rsid w:val="00B46202"/>
    <w:rsid w:val="00B4641C"/>
    <w:rsid w:val="00B46476"/>
    <w:rsid w:val="00B46AC1"/>
    <w:rsid w:val="00B46B87"/>
    <w:rsid w:val="00B46EF6"/>
    <w:rsid w:val="00B47C00"/>
    <w:rsid w:val="00B500D2"/>
    <w:rsid w:val="00B5144D"/>
    <w:rsid w:val="00B516C6"/>
    <w:rsid w:val="00B520EB"/>
    <w:rsid w:val="00B52C15"/>
    <w:rsid w:val="00B52C3D"/>
    <w:rsid w:val="00B53289"/>
    <w:rsid w:val="00B53909"/>
    <w:rsid w:val="00B53C94"/>
    <w:rsid w:val="00B5413B"/>
    <w:rsid w:val="00B542EA"/>
    <w:rsid w:val="00B54457"/>
    <w:rsid w:val="00B5467B"/>
    <w:rsid w:val="00B546F2"/>
    <w:rsid w:val="00B549CB"/>
    <w:rsid w:val="00B54B20"/>
    <w:rsid w:val="00B54EAA"/>
    <w:rsid w:val="00B5574B"/>
    <w:rsid w:val="00B55885"/>
    <w:rsid w:val="00B55AA1"/>
    <w:rsid w:val="00B55EEB"/>
    <w:rsid w:val="00B5613C"/>
    <w:rsid w:val="00B562A1"/>
    <w:rsid w:val="00B56A4C"/>
    <w:rsid w:val="00B56A5B"/>
    <w:rsid w:val="00B56E4E"/>
    <w:rsid w:val="00B571BC"/>
    <w:rsid w:val="00B57243"/>
    <w:rsid w:val="00B57353"/>
    <w:rsid w:val="00B57957"/>
    <w:rsid w:val="00B57AAF"/>
    <w:rsid w:val="00B606F2"/>
    <w:rsid w:val="00B6079F"/>
    <w:rsid w:val="00B60B6C"/>
    <w:rsid w:val="00B60C11"/>
    <w:rsid w:val="00B60E27"/>
    <w:rsid w:val="00B60EFF"/>
    <w:rsid w:val="00B61781"/>
    <w:rsid w:val="00B61B4D"/>
    <w:rsid w:val="00B624B7"/>
    <w:rsid w:val="00B628E5"/>
    <w:rsid w:val="00B632AC"/>
    <w:rsid w:val="00B63CA3"/>
    <w:rsid w:val="00B642F3"/>
    <w:rsid w:val="00B6498D"/>
    <w:rsid w:val="00B64A75"/>
    <w:rsid w:val="00B64ABC"/>
    <w:rsid w:val="00B64DBB"/>
    <w:rsid w:val="00B66426"/>
    <w:rsid w:val="00B6684E"/>
    <w:rsid w:val="00B66BD4"/>
    <w:rsid w:val="00B66BD7"/>
    <w:rsid w:val="00B66D95"/>
    <w:rsid w:val="00B66E99"/>
    <w:rsid w:val="00B66FFB"/>
    <w:rsid w:val="00B67750"/>
    <w:rsid w:val="00B67A22"/>
    <w:rsid w:val="00B67A69"/>
    <w:rsid w:val="00B67C0B"/>
    <w:rsid w:val="00B67F0E"/>
    <w:rsid w:val="00B710E7"/>
    <w:rsid w:val="00B711C9"/>
    <w:rsid w:val="00B71332"/>
    <w:rsid w:val="00B717BC"/>
    <w:rsid w:val="00B72233"/>
    <w:rsid w:val="00B72310"/>
    <w:rsid w:val="00B72A61"/>
    <w:rsid w:val="00B72DC4"/>
    <w:rsid w:val="00B734A5"/>
    <w:rsid w:val="00B7370E"/>
    <w:rsid w:val="00B73EEB"/>
    <w:rsid w:val="00B7486F"/>
    <w:rsid w:val="00B74A7A"/>
    <w:rsid w:val="00B74BC3"/>
    <w:rsid w:val="00B74CB4"/>
    <w:rsid w:val="00B74DE7"/>
    <w:rsid w:val="00B74FE0"/>
    <w:rsid w:val="00B757B2"/>
    <w:rsid w:val="00B7580D"/>
    <w:rsid w:val="00B7591A"/>
    <w:rsid w:val="00B76025"/>
    <w:rsid w:val="00B76685"/>
    <w:rsid w:val="00B7698D"/>
    <w:rsid w:val="00B77502"/>
    <w:rsid w:val="00B77FAE"/>
    <w:rsid w:val="00B800DB"/>
    <w:rsid w:val="00B80638"/>
    <w:rsid w:val="00B80B5B"/>
    <w:rsid w:val="00B81002"/>
    <w:rsid w:val="00B810A7"/>
    <w:rsid w:val="00B812FB"/>
    <w:rsid w:val="00B81404"/>
    <w:rsid w:val="00B81429"/>
    <w:rsid w:val="00B815C5"/>
    <w:rsid w:val="00B8193C"/>
    <w:rsid w:val="00B81E83"/>
    <w:rsid w:val="00B81FCC"/>
    <w:rsid w:val="00B82463"/>
    <w:rsid w:val="00B827E1"/>
    <w:rsid w:val="00B82B86"/>
    <w:rsid w:val="00B8368E"/>
    <w:rsid w:val="00B83765"/>
    <w:rsid w:val="00B83E3B"/>
    <w:rsid w:val="00B83F38"/>
    <w:rsid w:val="00B84648"/>
    <w:rsid w:val="00B84C4E"/>
    <w:rsid w:val="00B84C98"/>
    <w:rsid w:val="00B851D1"/>
    <w:rsid w:val="00B85D27"/>
    <w:rsid w:val="00B85FF7"/>
    <w:rsid w:val="00B86758"/>
    <w:rsid w:val="00B86973"/>
    <w:rsid w:val="00B87406"/>
    <w:rsid w:val="00B8741F"/>
    <w:rsid w:val="00B875A9"/>
    <w:rsid w:val="00B87A59"/>
    <w:rsid w:val="00B87A63"/>
    <w:rsid w:val="00B90631"/>
    <w:rsid w:val="00B9065D"/>
    <w:rsid w:val="00B906BE"/>
    <w:rsid w:val="00B90CA9"/>
    <w:rsid w:val="00B915D2"/>
    <w:rsid w:val="00B91EDB"/>
    <w:rsid w:val="00B92707"/>
    <w:rsid w:val="00B92C49"/>
    <w:rsid w:val="00B92F90"/>
    <w:rsid w:val="00B92FB1"/>
    <w:rsid w:val="00B93BDC"/>
    <w:rsid w:val="00B93E82"/>
    <w:rsid w:val="00B93FF8"/>
    <w:rsid w:val="00B943C6"/>
    <w:rsid w:val="00B95070"/>
    <w:rsid w:val="00B95C16"/>
    <w:rsid w:val="00B95C3C"/>
    <w:rsid w:val="00B9667A"/>
    <w:rsid w:val="00B97033"/>
    <w:rsid w:val="00B97C71"/>
    <w:rsid w:val="00B97D03"/>
    <w:rsid w:val="00BA0018"/>
    <w:rsid w:val="00BA0D1A"/>
    <w:rsid w:val="00BA0FC4"/>
    <w:rsid w:val="00BA1211"/>
    <w:rsid w:val="00BA138A"/>
    <w:rsid w:val="00BA1E40"/>
    <w:rsid w:val="00BA2A6D"/>
    <w:rsid w:val="00BA2BB8"/>
    <w:rsid w:val="00BA2DAB"/>
    <w:rsid w:val="00BA2E3C"/>
    <w:rsid w:val="00BA38CD"/>
    <w:rsid w:val="00BA412B"/>
    <w:rsid w:val="00BA4193"/>
    <w:rsid w:val="00BA4461"/>
    <w:rsid w:val="00BA44F1"/>
    <w:rsid w:val="00BA459E"/>
    <w:rsid w:val="00BA45AD"/>
    <w:rsid w:val="00BA45F1"/>
    <w:rsid w:val="00BA46D1"/>
    <w:rsid w:val="00BA4773"/>
    <w:rsid w:val="00BA4995"/>
    <w:rsid w:val="00BA4DFB"/>
    <w:rsid w:val="00BA4E05"/>
    <w:rsid w:val="00BA50B5"/>
    <w:rsid w:val="00BA619C"/>
    <w:rsid w:val="00BA62CA"/>
    <w:rsid w:val="00BA6C2F"/>
    <w:rsid w:val="00BA6E00"/>
    <w:rsid w:val="00BA73E2"/>
    <w:rsid w:val="00BA74E0"/>
    <w:rsid w:val="00BA74F5"/>
    <w:rsid w:val="00BA786C"/>
    <w:rsid w:val="00BA7B17"/>
    <w:rsid w:val="00BB003B"/>
    <w:rsid w:val="00BB0610"/>
    <w:rsid w:val="00BB0741"/>
    <w:rsid w:val="00BB0789"/>
    <w:rsid w:val="00BB0C8D"/>
    <w:rsid w:val="00BB0CEF"/>
    <w:rsid w:val="00BB0CFC"/>
    <w:rsid w:val="00BB0ED2"/>
    <w:rsid w:val="00BB12E4"/>
    <w:rsid w:val="00BB1913"/>
    <w:rsid w:val="00BB1EC8"/>
    <w:rsid w:val="00BB1EF5"/>
    <w:rsid w:val="00BB250E"/>
    <w:rsid w:val="00BB2FEC"/>
    <w:rsid w:val="00BB3497"/>
    <w:rsid w:val="00BB3E7B"/>
    <w:rsid w:val="00BB4677"/>
    <w:rsid w:val="00BB4F5D"/>
    <w:rsid w:val="00BB5A64"/>
    <w:rsid w:val="00BB63AB"/>
    <w:rsid w:val="00BB6F34"/>
    <w:rsid w:val="00BB7C83"/>
    <w:rsid w:val="00BC0AD2"/>
    <w:rsid w:val="00BC0F61"/>
    <w:rsid w:val="00BC1243"/>
    <w:rsid w:val="00BC1562"/>
    <w:rsid w:val="00BC1708"/>
    <w:rsid w:val="00BC23FF"/>
    <w:rsid w:val="00BC26C7"/>
    <w:rsid w:val="00BC2E03"/>
    <w:rsid w:val="00BC32CF"/>
    <w:rsid w:val="00BC41DF"/>
    <w:rsid w:val="00BC4414"/>
    <w:rsid w:val="00BC470C"/>
    <w:rsid w:val="00BC54C2"/>
    <w:rsid w:val="00BC57DB"/>
    <w:rsid w:val="00BC5AF8"/>
    <w:rsid w:val="00BC5D77"/>
    <w:rsid w:val="00BC5E91"/>
    <w:rsid w:val="00BC605C"/>
    <w:rsid w:val="00BC6100"/>
    <w:rsid w:val="00BC62DF"/>
    <w:rsid w:val="00BC6D60"/>
    <w:rsid w:val="00BC7D05"/>
    <w:rsid w:val="00BD043E"/>
    <w:rsid w:val="00BD0AC3"/>
    <w:rsid w:val="00BD0B11"/>
    <w:rsid w:val="00BD0F60"/>
    <w:rsid w:val="00BD1189"/>
    <w:rsid w:val="00BD14B0"/>
    <w:rsid w:val="00BD19D2"/>
    <w:rsid w:val="00BD20B1"/>
    <w:rsid w:val="00BD2510"/>
    <w:rsid w:val="00BD2A00"/>
    <w:rsid w:val="00BD2ADB"/>
    <w:rsid w:val="00BD2B85"/>
    <w:rsid w:val="00BD2BF4"/>
    <w:rsid w:val="00BD3946"/>
    <w:rsid w:val="00BD3979"/>
    <w:rsid w:val="00BD3EB7"/>
    <w:rsid w:val="00BD3F70"/>
    <w:rsid w:val="00BD41DE"/>
    <w:rsid w:val="00BD4A94"/>
    <w:rsid w:val="00BD4F85"/>
    <w:rsid w:val="00BD5174"/>
    <w:rsid w:val="00BD58D3"/>
    <w:rsid w:val="00BD5C47"/>
    <w:rsid w:val="00BD5DB5"/>
    <w:rsid w:val="00BD67AF"/>
    <w:rsid w:val="00BD6A6A"/>
    <w:rsid w:val="00BD6DFB"/>
    <w:rsid w:val="00BD70F1"/>
    <w:rsid w:val="00BD7263"/>
    <w:rsid w:val="00BD7306"/>
    <w:rsid w:val="00BD7483"/>
    <w:rsid w:val="00BD787E"/>
    <w:rsid w:val="00BD7B51"/>
    <w:rsid w:val="00BD7C0B"/>
    <w:rsid w:val="00BE043F"/>
    <w:rsid w:val="00BE05B7"/>
    <w:rsid w:val="00BE07D5"/>
    <w:rsid w:val="00BE0AE0"/>
    <w:rsid w:val="00BE0C96"/>
    <w:rsid w:val="00BE0D9C"/>
    <w:rsid w:val="00BE0FC4"/>
    <w:rsid w:val="00BE1376"/>
    <w:rsid w:val="00BE17BD"/>
    <w:rsid w:val="00BE1A7A"/>
    <w:rsid w:val="00BE329A"/>
    <w:rsid w:val="00BE3455"/>
    <w:rsid w:val="00BE3463"/>
    <w:rsid w:val="00BE355E"/>
    <w:rsid w:val="00BE3A95"/>
    <w:rsid w:val="00BE3BFE"/>
    <w:rsid w:val="00BE46CE"/>
    <w:rsid w:val="00BE49CE"/>
    <w:rsid w:val="00BE4A2A"/>
    <w:rsid w:val="00BE4A5A"/>
    <w:rsid w:val="00BE4C03"/>
    <w:rsid w:val="00BE578F"/>
    <w:rsid w:val="00BE5E22"/>
    <w:rsid w:val="00BE5E3D"/>
    <w:rsid w:val="00BE68B3"/>
    <w:rsid w:val="00BE6990"/>
    <w:rsid w:val="00BE6C3D"/>
    <w:rsid w:val="00BE6F7B"/>
    <w:rsid w:val="00BE769B"/>
    <w:rsid w:val="00BF03E5"/>
    <w:rsid w:val="00BF094F"/>
    <w:rsid w:val="00BF166D"/>
    <w:rsid w:val="00BF1AF1"/>
    <w:rsid w:val="00BF2AED"/>
    <w:rsid w:val="00BF2B17"/>
    <w:rsid w:val="00BF37F9"/>
    <w:rsid w:val="00BF3BCF"/>
    <w:rsid w:val="00BF3E09"/>
    <w:rsid w:val="00BF42CB"/>
    <w:rsid w:val="00BF485B"/>
    <w:rsid w:val="00BF4C35"/>
    <w:rsid w:val="00BF5050"/>
    <w:rsid w:val="00BF5428"/>
    <w:rsid w:val="00BF559C"/>
    <w:rsid w:val="00BF55E8"/>
    <w:rsid w:val="00BF5A4D"/>
    <w:rsid w:val="00BF603C"/>
    <w:rsid w:val="00C0006A"/>
    <w:rsid w:val="00C01841"/>
    <w:rsid w:val="00C01CFA"/>
    <w:rsid w:val="00C01D27"/>
    <w:rsid w:val="00C01F7B"/>
    <w:rsid w:val="00C02186"/>
    <w:rsid w:val="00C02397"/>
    <w:rsid w:val="00C02D63"/>
    <w:rsid w:val="00C02DAA"/>
    <w:rsid w:val="00C032FF"/>
    <w:rsid w:val="00C0336C"/>
    <w:rsid w:val="00C034A7"/>
    <w:rsid w:val="00C03588"/>
    <w:rsid w:val="00C04A20"/>
    <w:rsid w:val="00C051E5"/>
    <w:rsid w:val="00C05C19"/>
    <w:rsid w:val="00C05DAC"/>
    <w:rsid w:val="00C06450"/>
    <w:rsid w:val="00C06513"/>
    <w:rsid w:val="00C06CCD"/>
    <w:rsid w:val="00C06F8B"/>
    <w:rsid w:val="00C0701D"/>
    <w:rsid w:val="00C0764C"/>
    <w:rsid w:val="00C079BD"/>
    <w:rsid w:val="00C07BEB"/>
    <w:rsid w:val="00C07EBB"/>
    <w:rsid w:val="00C1035A"/>
    <w:rsid w:val="00C107C3"/>
    <w:rsid w:val="00C10991"/>
    <w:rsid w:val="00C10B02"/>
    <w:rsid w:val="00C112E8"/>
    <w:rsid w:val="00C11510"/>
    <w:rsid w:val="00C11B66"/>
    <w:rsid w:val="00C1237F"/>
    <w:rsid w:val="00C12745"/>
    <w:rsid w:val="00C13251"/>
    <w:rsid w:val="00C13333"/>
    <w:rsid w:val="00C133D7"/>
    <w:rsid w:val="00C1415F"/>
    <w:rsid w:val="00C1446A"/>
    <w:rsid w:val="00C14AA3"/>
    <w:rsid w:val="00C14C67"/>
    <w:rsid w:val="00C14F54"/>
    <w:rsid w:val="00C154C6"/>
    <w:rsid w:val="00C1589C"/>
    <w:rsid w:val="00C16F07"/>
    <w:rsid w:val="00C1734B"/>
    <w:rsid w:val="00C173A5"/>
    <w:rsid w:val="00C173BF"/>
    <w:rsid w:val="00C1740D"/>
    <w:rsid w:val="00C178AB"/>
    <w:rsid w:val="00C17CC7"/>
    <w:rsid w:val="00C17E67"/>
    <w:rsid w:val="00C17EB4"/>
    <w:rsid w:val="00C20033"/>
    <w:rsid w:val="00C2026E"/>
    <w:rsid w:val="00C20874"/>
    <w:rsid w:val="00C209EA"/>
    <w:rsid w:val="00C213C0"/>
    <w:rsid w:val="00C21540"/>
    <w:rsid w:val="00C21683"/>
    <w:rsid w:val="00C21D30"/>
    <w:rsid w:val="00C22CCC"/>
    <w:rsid w:val="00C22D12"/>
    <w:rsid w:val="00C22DC1"/>
    <w:rsid w:val="00C2324F"/>
    <w:rsid w:val="00C2414C"/>
    <w:rsid w:val="00C24287"/>
    <w:rsid w:val="00C24B9C"/>
    <w:rsid w:val="00C24D2B"/>
    <w:rsid w:val="00C26076"/>
    <w:rsid w:val="00C266DC"/>
    <w:rsid w:val="00C267A9"/>
    <w:rsid w:val="00C273E4"/>
    <w:rsid w:val="00C27A76"/>
    <w:rsid w:val="00C30386"/>
    <w:rsid w:val="00C30423"/>
    <w:rsid w:val="00C306AE"/>
    <w:rsid w:val="00C308BD"/>
    <w:rsid w:val="00C30FB6"/>
    <w:rsid w:val="00C31A26"/>
    <w:rsid w:val="00C31FC1"/>
    <w:rsid w:val="00C3215E"/>
    <w:rsid w:val="00C32335"/>
    <w:rsid w:val="00C32477"/>
    <w:rsid w:val="00C32929"/>
    <w:rsid w:val="00C3307F"/>
    <w:rsid w:val="00C330C2"/>
    <w:rsid w:val="00C3381D"/>
    <w:rsid w:val="00C33870"/>
    <w:rsid w:val="00C34206"/>
    <w:rsid w:val="00C3429D"/>
    <w:rsid w:val="00C34820"/>
    <w:rsid w:val="00C34E8D"/>
    <w:rsid w:val="00C354A5"/>
    <w:rsid w:val="00C35AE8"/>
    <w:rsid w:val="00C35EB1"/>
    <w:rsid w:val="00C3606D"/>
    <w:rsid w:val="00C36088"/>
    <w:rsid w:val="00C36418"/>
    <w:rsid w:val="00C365B9"/>
    <w:rsid w:val="00C36791"/>
    <w:rsid w:val="00C36B9B"/>
    <w:rsid w:val="00C36D8F"/>
    <w:rsid w:val="00C36E46"/>
    <w:rsid w:val="00C37B22"/>
    <w:rsid w:val="00C37FCA"/>
    <w:rsid w:val="00C40789"/>
    <w:rsid w:val="00C40D57"/>
    <w:rsid w:val="00C40DFB"/>
    <w:rsid w:val="00C4108F"/>
    <w:rsid w:val="00C41369"/>
    <w:rsid w:val="00C41AFE"/>
    <w:rsid w:val="00C41FFF"/>
    <w:rsid w:val="00C42293"/>
    <w:rsid w:val="00C42373"/>
    <w:rsid w:val="00C42843"/>
    <w:rsid w:val="00C42D92"/>
    <w:rsid w:val="00C4362E"/>
    <w:rsid w:val="00C43A93"/>
    <w:rsid w:val="00C443ED"/>
    <w:rsid w:val="00C447F1"/>
    <w:rsid w:val="00C44D57"/>
    <w:rsid w:val="00C44F8C"/>
    <w:rsid w:val="00C44FED"/>
    <w:rsid w:val="00C4507E"/>
    <w:rsid w:val="00C4550F"/>
    <w:rsid w:val="00C456C6"/>
    <w:rsid w:val="00C45861"/>
    <w:rsid w:val="00C459A7"/>
    <w:rsid w:val="00C45FFE"/>
    <w:rsid w:val="00C46708"/>
    <w:rsid w:val="00C468DA"/>
    <w:rsid w:val="00C469CB"/>
    <w:rsid w:val="00C46C30"/>
    <w:rsid w:val="00C47374"/>
    <w:rsid w:val="00C4741F"/>
    <w:rsid w:val="00C474D6"/>
    <w:rsid w:val="00C4776F"/>
    <w:rsid w:val="00C477E2"/>
    <w:rsid w:val="00C479CD"/>
    <w:rsid w:val="00C47D31"/>
    <w:rsid w:val="00C47E97"/>
    <w:rsid w:val="00C501BB"/>
    <w:rsid w:val="00C50380"/>
    <w:rsid w:val="00C50895"/>
    <w:rsid w:val="00C508EE"/>
    <w:rsid w:val="00C511BF"/>
    <w:rsid w:val="00C51446"/>
    <w:rsid w:val="00C514C3"/>
    <w:rsid w:val="00C52760"/>
    <w:rsid w:val="00C52774"/>
    <w:rsid w:val="00C52DEA"/>
    <w:rsid w:val="00C5306F"/>
    <w:rsid w:val="00C5332C"/>
    <w:rsid w:val="00C535B0"/>
    <w:rsid w:val="00C53710"/>
    <w:rsid w:val="00C53956"/>
    <w:rsid w:val="00C53D59"/>
    <w:rsid w:val="00C54D8F"/>
    <w:rsid w:val="00C55097"/>
    <w:rsid w:val="00C553A0"/>
    <w:rsid w:val="00C553AE"/>
    <w:rsid w:val="00C5565A"/>
    <w:rsid w:val="00C55CC4"/>
    <w:rsid w:val="00C55EC5"/>
    <w:rsid w:val="00C568FF"/>
    <w:rsid w:val="00C56AC3"/>
    <w:rsid w:val="00C56F9A"/>
    <w:rsid w:val="00C5765C"/>
    <w:rsid w:val="00C578C0"/>
    <w:rsid w:val="00C57BA3"/>
    <w:rsid w:val="00C609B8"/>
    <w:rsid w:val="00C609D5"/>
    <w:rsid w:val="00C60B3F"/>
    <w:rsid w:val="00C61CA8"/>
    <w:rsid w:val="00C62214"/>
    <w:rsid w:val="00C625D2"/>
    <w:rsid w:val="00C62AA4"/>
    <w:rsid w:val="00C62D3E"/>
    <w:rsid w:val="00C62DB0"/>
    <w:rsid w:val="00C62F50"/>
    <w:rsid w:val="00C635BA"/>
    <w:rsid w:val="00C636F9"/>
    <w:rsid w:val="00C6385D"/>
    <w:rsid w:val="00C63B28"/>
    <w:rsid w:val="00C64768"/>
    <w:rsid w:val="00C64C65"/>
    <w:rsid w:val="00C64F2D"/>
    <w:rsid w:val="00C6505F"/>
    <w:rsid w:val="00C658F5"/>
    <w:rsid w:val="00C65A9C"/>
    <w:rsid w:val="00C65B00"/>
    <w:rsid w:val="00C65F05"/>
    <w:rsid w:val="00C66E97"/>
    <w:rsid w:val="00C67770"/>
    <w:rsid w:val="00C67A0A"/>
    <w:rsid w:val="00C70381"/>
    <w:rsid w:val="00C710F2"/>
    <w:rsid w:val="00C71349"/>
    <w:rsid w:val="00C71C4E"/>
    <w:rsid w:val="00C71DDC"/>
    <w:rsid w:val="00C71F95"/>
    <w:rsid w:val="00C71FC9"/>
    <w:rsid w:val="00C7206A"/>
    <w:rsid w:val="00C72276"/>
    <w:rsid w:val="00C72494"/>
    <w:rsid w:val="00C7269D"/>
    <w:rsid w:val="00C72F55"/>
    <w:rsid w:val="00C730F9"/>
    <w:rsid w:val="00C73122"/>
    <w:rsid w:val="00C731B3"/>
    <w:rsid w:val="00C738F1"/>
    <w:rsid w:val="00C73ABC"/>
    <w:rsid w:val="00C740A3"/>
    <w:rsid w:val="00C74AB1"/>
    <w:rsid w:val="00C74CD6"/>
    <w:rsid w:val="00C74D85"/>
    <w:rsid w:val="00C752CF"/>
    <w:rsid w:val="00C7536C"/>
    <w:rsid w:val="00C758F1"/>
    <w:rsid w:val="00C7604B"/>
    <w:rsid w:val="00C7633C"/>
    <w:rsid w:val="00C7636E"/>
    <w:rsid w:val="00C766AD"/>
    <w:rsid w:val="00C76765"/>
    <w:rsid w:val="00C76D3A"/>
    <w:rsid w:val="00C77484"/>
    <w:rsid w:val="00C7769A"/>
    <w:rsid w:val="00C77FBF"/>
    <w:rsid w:val="00C8024D"/>
    <w:rsid w:val="00C80984"/>
    <w:rsid w:val="00C80DB7"/>
    <w:rsid w:val="00C80DC6"/>
    <w:rsid w:val="00C81B99"/>
    <w:rsid w:val="00C81CF0"/>
    <w:rsid w:val="00C81DFC"/>
    <w:rsid w:val="00C81FA4"/>
    <w:rsid w:val="00C82443"/>
    <w:rsid w:val="00C827A9"/>
    <w:rsid w:val="00C827DB"/>
    <w:rsid w:val="00C82DA0"/>
    <w:rsid w:val="00C8398F"/>
    <w:rsid w:val="00C83D52"/>
    <w:rsid w:val="00C849BF"/>
    <w:rsid w:val="00C84A31"/>
    <w:rsid w:val="00C85556"/>
    <w:rsid w:val="00C85D06"/>
    <w:rsid w:val="00C863CD"/>
    <w:rsid w:val="00C86527"/>
    <w:rsid w:val="00C8712B"/>
    <w:rsid w:val="00C87552"/>
    <w:rsid w:val="00C875C4"/>
    <w:rsid w:val="00C87F38"/>
    <w:rsid w:val="00C901DF"/>
    <w:rsid w:val="00C90419"/>
    <w:rsid w:val="00C907E6"/>
    <w:rsid w:val="00C90EC7"/>
    <w:rsid w:val="00C9133E"/>
    <w:rsid w:val="00C915F6"/>
    <w:rsid w:val="00C916B6"/>
    <w:rsid w:val="00C91EDF"/>
    <w:rsid w:val="00C92087"/>
    <w:rsid w:val="00C924FA"/>
    <w:rsid w:val="00C92C60"/>
    <w:rsid w:val="00C92D74"/>
    <w:rsid w:val="00C92EED"/>
    <w:rsid w:val="00C93446"/>
    <w:rsid w:val="00C93801"/>
    <w:rsid w:val="00C93BA6"/>
    <w:rsid w:val="00C93CB2"/>
    <w:rsid w:val="00C93E79"/>
    <w:rsid w:val="00C94304"/>
    <w:rsid w:val="00C944C4"/>
    <w:rsid w:val="00C94AB7"/>
    <w:rsid w:val="00C94C75"/>
    <w:rsid w:val="00C95346"/>
    <w:rsid w:val="00C9554B"/>
    <w:rsid w:val="00C9591E"/>
    <w:rsid w:val="00C95DFF"/>
    <w:rsid w:val="00C95FBA"/>
    <w:rsid w:val="00C96250"/>
    <w:rsid w:val="00C968FE"/>
    <w:rsid w:val="00C969BC"/>
    <w:rsid w:val="00C96DDF"/>
    <w:rsid w:val="00C974EF"/>
    <w:rsid w:val="00C97A03"/>
    <w:rsid w:val="00C97B08"/>
    <w:rsid w:val="00C97CD9"/>
    <w:rsid w:val="00CA0164"/>
    <w:rsid w:val="00CA02DC"/>
    <w:rsid w:val="00CA0B3B"/>
    <w:rsid w:val="00CA0D4C"/>
    <w:rsid w:val="00CA0F41"/>
    <w:rsid w:val="00CA1320"/>
    <w:rsid w:val="00CA151D"/>
    <w:rsid w:val="00CA15BC"/>
    <w:rsid w:val="00CA1E97"/>
    <w:rsid w:val="00CA1EA0"/>
    <w:rsid w:val="00CA2169"/>
    <w:rsid w:val="00CA298C"/>
    <w:rsid w:val="00CA2DB4"/>
    <w:rsid w:val="00CA3ECE"/>
    <w:rsid w:val="00CA3F78"/>
    <w:rsid w:val="00CA3FC4"/>
    <w:rsid w:val="00CA4124"/>
    <w:rsid w:val="00CA4BE2"/>
    <w:rsid w:val="00CA4F7B"/>
    <w:rsid w:val="00CA536A"/>
    <w:rsid w:val="00CA5757"/>
    <w:rsid w:val="00CA589D"/>
    <w:rsid w:val="00CA58E6"/>
    <w:rsid w:val="00CA5FE5"/>
    <w:rsid w:val="00CA6082"/>
    <w:rsid w:val="00CA6112"/>
    <w:rsid w:val="00CA6713"/>
    <w:rsid w:val="00CA6C14"/>
    <w:rsid w:val="00CA6FB6"/>
    <w:rsid w:val="00CA70F7"/>
    <w:rsid w:val="00CA766C"/>
    <w:rsid w:val="00CA77AB"/>
    <w:rsid w:val="00CA7ADB"/>
    <w:rsid w:val="00CA7B12"/>
    <w:rsid w:val="00CA7E25"/>
    <w:rsid w:val="00CA7F90"/>
    <w:rsid w:val="00CB0072"/>
    <w:rsid w:val="00CB1154"/>
    <w:rsid w:val="00CB1681"/>
    <w:rsid w:val="00CB1E7F"/>
    <w:rsid w:val="00CB21B9"/>
    <w:rsid w:val="00CB295D"/>
    <w:rsid w:val="00CB32A6"/>
    <w:rsid w:val="00CB3474"/>
    <w:rsid w:val="00CB3571"/>
    <w:rsid w:val="00CB3B69"/>
    <w:rsid w:val="00CB3B6A"/>
    <w:rsid w:val="00CB3B87"/>
    <w:rsid w:val="00CB405C"/>
    <w:rsid w:val="00CB4503"/>
    <w:rsid w:val="00CB4D7E"/>
    <w:rsid w:val="00CB52CB"/>
    <w:rsid w:val="00CB5687"/>
    <w:rsid w:val="00CB572C"/>
    <w:rsid w:val="00CB58E7"/>
    <w:rsid w:val="00CB5E4B"/>
    <w:rsid w:val="00CB5F5B"/>
    <w:rsid w:val="00CB6173"/>
    <w:rsid w:val="00CB64E3"/>
    <w:rsid w:val="00CB6A0B"/>
    <w:rsid w:val="00CB6D54"/>
    <w:rsid w:val="00CB6D9E"/>
    <w:rsid w:val="00CB7297"/>
    <w:rsid w:val="00CB7318"/>
    <w:rsid w:val="00CB7603"/>
    <w:rsid w:val="00CB7B7A"/>
    <w:rsid w:val="00CC06E1"/>
    <w:rsid w:val="00CC0A90"/>
    <w:rsid w:val="00CC0C4F"/>
    <w:rsid w:val="00CC135E"/>
    <w:rsid w:val="00CC148D"/>
    <w:rsid w:val="00CC1643"/>
    <w:rsid w:val="00CC2130"/>
    <w:rsid w:val="00CC2BE2"/>
    <w:rsid w:val="00CC3076"/>
    <w:rsid w:val="00CC34A5"/>
    <w:rsid w:val="00CC34B7"/>
    <w:rsid w:val="00CC4547"/>
    <w:rsid w:val="00CC4574"/>
    <w:rsid w:val="00CC4933"/>
    <w:rsid w:val="00CC4DB1"/>
    <w:rsid w:val="00CC5767"/>
    <w:rsid w:val="00CC63B2"/>
    <w:rsid w:val="00CC6BE0"/>
    <w:rsid w:val="00CC6D4F"/>
    <w:rsid w:val="00CC7B98"/>
    <w:rsid w:val="00CC7E45"/>
    <w:rsid w:val="00CC7FB2"/>
    <w:rsid w:val="00CD0123"/>
    <w:rsid w:val="00CD0189"/>
    <w:rsid w:val="00CD0F0E"/>
    <w:rsid w:val="00CD10A0"/>
    <w:rsid w:val="00CD146A"/>
    <w:rsid w:val="00CD1843"/>
    <w:rsid w:val="00CD18E3"/>
    <w:rsid w:val="00CD1944"/>
    <w:rsid w:val="00CD19C0"/>
    <w:rsid w:val="00CD1AB6"/>
    <w:rsid w:val="00CD1E2F"/>
    <w:rsid w:val="00CD1EDB"/>
    <w:rsid w:val="00CD2118"/>
    <w:rsid w:val="00CD2476"/>
    <w:rsid w:val="00CD2660"/>
    <w:rsid w:val="00CD2951"/>
    <w:rsid w:val="00CD29FC"/>
    <w:rsid w:val="00CD2C39"/>
    <w:rsid w:val="00CD3248"/>
    <w:rsid w:val="00CD3761"/>
    <w:rsid w:val="00CD49FF"/>
    <w:rsid w:val="00CD5984"/>
    <w:rsid w:val="00CD60CC"/>
    <w:rsid w:val="00CD676A"/>
    <w:rsid w:val="00CD6E14"/>
    <w:rsid w:val="00CD6E4F"/>
    <w:rsid w:val="00CD6EC2"/>
    <w:rsid w:val="00CD70DD"/>
    <w:rsid w:val="00CD72A9"/>
    <w:rsid w:val="00CD7327"/>
    <w:rsid w:val="00CE0255"/>
    <w:rsid w:val="00CE04AC"/>
    <w:rsid w:val="00CE08D7"/>
    <w:rsid w:val="00CE09E1"/>
    <w:rsid w:val="00CE0DDB"/>
    <w:rsid w:val="00CE1621"/>
    <w:rsid w:val="00CE1F10"/>
    <w:rsid w:val="00CE1F1D"/>
    <w:rsid w:val="00CE2185"/>
    <w:rsid w:val="00CE2B17"/>
    <w:rsid w:val="00CE2B81"/>
    <w:rsid w:val="00CE2E60"/>
    <w:rsid w:val="00CE32D4"/>
    <w:rsid w:val="00CE3A2E"/>
    <w:rsid w:val="00CE4021"/>
    <w:rsid w:val="00CE4298"/>
    <w:rsid w:val="00CE4305"/>
    <w:rsid w:val="00CE4B05"/>
    <w:rsid w:val="00CE548A"/>
    <w:rsid w:val="00CE5B6D"/>
    <w:rsid w:val="00CE5B9E"/>
    <w:rsid w:val="00CE5CC5"/>
    <w:rsid w:val="00CE65B7"/>
    <w:rsid w:val="00CE6832"/>
    <w:rsid w:val="00CE6EE0"/>
    <w:rsid w:val="00CE774A"/>
    <w:rsid w:val="00CE78FA"/>
    <w:rsid w:val="00CF0091"/>
    <w:rsid w:val="00CF02EE"/>
    <w:rsid w:val="00CF034D"/>
    <w:rsid w:val="00CF03BE"/>
    <w:rsid w:val="00CF0501"/>
    <w:rsid w:val="00CF0A91"/>
    <w:rsid w:val="00CF1A05"/>
    <w:rsid w:val="00CF1C6F"/>
    <w:rsid w:val="00CF22DC"/>
    <w:rsid w:val="00CF2580"/>
    <w:rsid w:val="00CF25B7"/>
    <w:rsid w:val="00CF273B"/>
    <w:rsid w:val="00CF2A6D"/>
    <w:rsid w:val="00CF2D7E"/>
    <w:rsid w:val="00CF3FAA"/>
    <w:rsid w:val="00CF405E"/>
    <w:rsid w:val="00CF419C"/>
    <w:rsid w:val="00CF4DDC"/>
    <w:rsid w:val="00CF573E"/>
    <w:rsid w:val="00CF5B48"/>
    <w:rsid w:val="00CF5B85"/>
    <w:rsid w:val="00CF6A42"/>
    <w:rsid w:val="00CF6D8D"/>
    <w:rsid w:val="00CF73D2"/>
    <w:rsid w:val="00CF7655"/>
    <w:rsid w:val="00D003D0"/>
    <w:rsid w:val="00D00AE3"/>
    <w:rsid w:val="00D00BEF"/>
    <w:rsid w:val="00D01180"/>
    <w:rsid w:val="00D014FC"/>
    <w:rsid w:val="00D016A0"/>
    <w:rsid w:val="00D025F0"/>
    <w:rsid w:val="00D04084"/>
    <w:rsid w:val="00D043D7"/>
    <w:rsid w:val="00D047F4"/>
    <w:rsid w:val="00D0496B"/>
    <w:rsid w:val="00D04991"/>
    <w:rsid w:val="00D04C58"/>
    <w:rsid w:val="00D05194"/>
    <w:rsid w:val="00D0519E"/>
    <w:rsid w:val="00D05E42"/>
    <w:rsid w:val="00D05E79"/>
    <w:rsid w:val="00D0606B"/>
    <w:rsid w:val="00D0624E"/>
    <w:rsid w:val="00D063B8"/>
    <w:rsid w:val="00D06AE0"/>
    <w:rsid w:val="00D06CCC"/>
    <w:rsid w:val="00D06DD8"/>
    <w:rsid w:val="00D06F12"/>
    <w:rsid w:val="00D072CD"/>
    <w:rsid w:val="00D07618"/>
    <w:rsid w:val="00D0783B"/>
    <w:rsid w:val="00D0787B"/>
    <w:rsid w:val="00D07901"/>
    <w:rsid w:val="00D079BF"/>
    <w:rsid w:val="00D07A86"/>
    <w:rsid w:val="00D07CEE"/>
    <w:rsid w:val="00D10265"/>
    <w:rsid w:val="00D106D8"/>
    <w:rsid w:val="00D10E6A"/>
    <w:rsid w:val="00D1193E"/>
    <w:rsid w:val="00D11ABA"/>
    <w:rsid w:val="00D11AC8"/>
    <w:rsid w:val="00D12060"/>
    <w:rsid w:val="00D121A3"/>
    <w:rsid w:val="00D12A15"/>
    <w:rsid w:val="00D12CCE"/>
    <w:rsid w:val="00D12E65"/>
    <w:rsid w:val="00D1309F"/>
    <w:rsid w:val="00D1335B"/>
    <w:rsid w:val="00D13649"/>
    <w:rsid w:val="00D13889"/>
    <w:rsid w:val="00D14113"/>
    <w:rsid w:val="00D14141"/>
    <w:rsid w:val="00D142D5"/>
    <w:rsid w:val="00D14740"/>
    <w:rsid w:val="00D14AC5"/>
    <w:rsid w:val="00D14ACF"/>
    <w:rsid w:val="00D14B8F"/>
    <w:rsid w:val="00D14E5A"/>
    <w:rsid w:val="00D14F36"/>
    <w:rsid w:val="00D1595D"/>
    <w:rsid w:val="00D159F6"/>
    <w:rsid w:val="00D1643C"/>
    <w:rsid w:val="00D1653B"/>
    <w:rsid w:val="00D1757A"/>
    <w:rsid w:val="00D175CE"/>
    <w:rsid w:val="00D17B5E"/>
    <w:rsid w:val="00D17B85"/>
    <w:rsid w:val="00D17D37"/>
    <w:rsid w:val="00D20248"/>
    <w:rsid w:val="00D20515"/>
    <w:rsid w:val="00D2082F"/>
    <w:rsid w:val="00D20A83"/>
    <w:rsid w:val="00D21140"/>
    <w:rsid w:val="00D214D2"/>
    <w:rsid w:val="00D219D5"/>
    <w:rsid w:val="00D226C7"/>
    <w:rsid w:val="00D22737"/>
    <w:rsid w:val="00D22AB6"/>
    <w:rsid w:val="00D22DD6"/>
    <w:rsid w:val="00D22F5E"/>
    <w:rsid w:val="00D230AF"/>
    <w:rsid w:val="00D234DA"/>
    <w:rsid w:val="00D24881"/>
    <w:rsid w:val="00D24A27"/>
    <w:rsid w:val="00D24B9B"/>
    <w:rsid w:val="00D24F65"/>
    <w:rsid w:val="00D251CA"/>
    <w:rsid w:val="00D25601"/>
    <w:rsid w:val="00D25955"/>
    <w:rsid w:val="00D26048"/>
    <w:rsid w:val="00D261A4"/>
    <w:rsid w:val="00D268C2"/>
    <w:rsid w:val="00D26BA9"/>
    <w:rsid w:val="00D26DA2"/>
    <w:rsid w:val="00D27184"/>
    <w:rsid w:val="00D2724B"/>
    <w:rsid w:val="00D279E3"/>
    <w:rsid w:val="00D279E9"/>
    <w:rsid w:val="00D30162"/>
    <w:rsid w:val="00D30DE1"/>
    <w:rsid w:val="00D30ED8"/>
    <w:rsid w:val="00D3174A"/>
    <w:rsid w:val="00D31802"/>
    <w:rsid w:val="00D31B46"/>
    <w:rsid w:val="00D32246"/>
    <w:rsid w:val="00D32371"/>
    <w:rsid w:val="00D3265A"/>
    <w:rsid w:val="00D32B15"/>
    <w:rsid w:val="00D32BCC"/>
    <w:rsid w:val="00D32E28"/>
    <w:rsid w:val="00D334FE"/>
    <w:rsid w:val="00D33B86"/>
    <w:rsid w:val="00D33D2A"/>
    <w:rsid w:val="00D33E54"/>
    <w:rsid w:val="00D34C8B"/>
    <w:rsid w:val="00D353A2"/>
    <w:rsid w:val="00D356D1"/>
    <w:rsid w:val="00D35CEB"/>
    <w:rsid w:val="00D35DBA"/>
    <w:rsid w:val="00D3617B"/>
    <w:rsid w:val="00D368B5"/>
    <w:rsid w:val="00D36DC8"/>
    <w:rsid w:val="00D36F18"/>
    <w:rsid w:val="00D37153"/>
    <w:rsid w:val="00D37707"/>
    <w:rsid w:val="00D377D3"/>
    <w:rsid w:val="00D37A71"/>
    <w:rsid w:val="00D40215"/>
    <w:rsid w:val="00D40A32"/>
    <w:rsid w:val="00D411EB"/>
    <w:rsid w:val="00D413AA"/>
    <w:rsid w:val="00D4153C"/>
    <w:rsid w:val="00D41A66"/>
    <w:rsid w:val="00D41D02"/>
    <w:rsid w:val="00D41E7C"/>
    <w:rsid w:val="00D422BD"/>
    <w:rsid w:val="00D4372F"/>
    <w:rsid w:val="00D43BD2"/>
    <w:rsid w:val="00D43FD4"/>
    <w:rsid w:val="00D441E1"/>
    <w:rsid w:val="00D44371"/>
    <w:rsid w:val="00D445A7"/>
    <w:rsid w:val="00D4529C"/>
    <w:rsid w:val="00D4582D"/>
    <w:rsid w:val="00D4593B"/>
    <w:rsid w:val="00D45BC7"/>
    <w:rsid w:val="00D45C6D"/>
    <w:rsid w:val="00D45C93"/>
    <w:rsid w:val="00D45D2A"/>
    <w:rsid w:val="00D45E93"/>
    <w:rsid w:val="00D45EB5"/>
    <w:rsid w:val="00D45F66"/>
    <w:rsid w:val="00D46B53"/>
    <w:rsid w:val="00D4727E"/>
    <w:rsid w:val="00D50ACE"/>
    <w:rsid w:val="00D515C0"/>
    <w:rsid w:val="00D518C0"/>
    <w:rsid w:val="00D51984"/>
    <w:rsid w:val="00D519B5"/>
    <w:rsid w:val="00D519BB"/>
    <w:rsid w:val="00D51DDA"/>
    <w:rsid w:val="00D52050"/>
    <w:rsid w:val="00D52382"/>
    <w:rsid w:val="00D523C1"/>
    <w:rsid w:val="00D52821"/>
    <w:rsid w:val="00D53870"/>
    <w:rsid w:val="00D53932"/>
    <w:rsid w:val="00D53960"/>
    <w:rsid w:val="00D546AC"/>
    <w:rsid w:val="00D54978"/>
    <w:rsid w:val="00D54AC3"/>
    <w:rsid w:val="00D54B55"/>
    <w:rsid w:val="00D559F1"/>
    <w:rsid w:val="00D564B5"/>
    <w:rsid w:val="00D568A2"/>
    <w:rsid w:val="00D56D6D"/>
    <w:rsid w:val="00D56F51"/>
    <w:rsid w:val="00D57562"/>
    <w:rsid w:val="00D5760E"/>
    <w:rsid w:val="00D57B47"/>
    <w:rsid w:val="00D60031"/>
    <w:rsid w:val="00D603A7"/>
    <w:rsid w:val="00D6050E"/>
    <w:rsid w:val="00D60ADF"/>
    <w:rsid w:val="00D60F6A"/>
    <w:rsid w:val="00D61324"/>
    <w:rsid w:val="00D61962"/>
    <w:rsid w:val="00D621DE"/>
    <w:rsid w:val="00D62800"/>
    <w:rsid w:val="00D6290D"/>
    <w:rsid w:val="00D634AF"/>
    <w:rsid w:val="00D634BA"/>
    <w:rsid w:val="00D6357E"/>
    <w:rsid w:val="00D63EFB"/>
    <w:rsid w:val="00D6403B"/>
    <w:rsid w:val="00D64340"/>
    <w:rsid w:val="00D648FB"/>
    <w:rsid w:val="00D64ED0"/>
    <w:rsid w:val="00D6516C"/>
    <w:rsid w:val="00D65370"/>
    <w:rsid w:val="00D6615B"/>
    <w:rsid w:val="00D6695C"/>
    <w:rsid w:val="00D669A7"/>
    <w:rsid w:val="00D66EC5"/>
    <w:rsid w:val="00D66F23"/>
    <w:rsid w:val="00D672FD"/>
    <w:rsid w:val="00D6757B"/>
    <w:rsid w:val="00D6782D"/>
    <w:rsid w:val="00D6784B"/>
    <w:rsid w:val="00D67F9D"/>
    <w:rsid w:val="00D71732"/>
    <w:rsid w:val="00D71864"/>
    <w:rsid w:val="00D71A2D"/>
    <w:rsid w:val="00D71DA6"/>
    <w:rsid w:val="00D71EB6"/>
    <w:rsid w:val="00D720D7"/>
    <w:rsid w:val="00D72576"/>
    <w:rsid w:val="00D72580"/>
    <w:rsid w:val="00D725ED"/>
    <w:rsid w:val="00D728C7"/>
    <w:rsid w:val="00D728F0"/>
    <w:rsid w:val="00D73E35"/>
    <w:rsid w:val="00D73F93"/>
    <w:rsid w:val="00D7414A"/>
    <w:rsid w:val="00D7423A"/>
    <w:rsid w:val="00D74856"/>
    <w:rsid w:val="00D7493B"/>
    <w:rsid w:val="00D74D4F"/>
    <w:rsid w:val="00D74DFD"/>
    <w:rsid w:val="00D74E3B"/>
    <w:rsid w:val="00D74E6D"/>
    <w:rsid w:val="00D74F66"/>
    <w:rsid w:val="00D74F9D"/>
    <w:rsid w:val="00D750ED"/>
    <w:rsid w:val="00D7541D"/>
    <w:rsid w:val="00D75605"/>
    <w:rsid w:val="00D75B36"/>
    <w:rsid w:val="00D75C06"/>
    <w:rsid w:val="00D7624E"/>
    <w:rsid w:val="00D76256"/>
    <w:rsid w:val="00D7629E"/>
    <w:rsid w:val="00D76A97"/>
    <w:rsid w:val="00D76F1C"/>
    <w:rsid w:val="00D77364"/>
    <w:rsid w:val="00D77439"/>
    <w:rsid w:val="00D77471"/>
    <w:rsid w:val="00D779EF"/>
    <w:rsid w:val="00D77E6A"/>
    <w:rsid w:val="00D80165"/>
    <w:rsid w:val="00D803C4"/>
    <w:rsid w:val="00D80AF7"/>
    <w:rsid w:val="00D80B1F"/>
    <w:rsid w:val="00D81237"/>
    <w:rsid w:val="00D81596"/>
    <w:rsid w:val="00D81A35"/>
    <w:rsid w:val="00D81EE1"/>
    <w:rsid w:val="00D8213F"/>
    <w:rsid w:val="00D8233B"/>
    <w:rsid w:val="00D82446"/>
    <w:rsid w:val="00D826C9"/>
    <w:rsid w:val="00D826D6"/>
    <w:rsid w:val="00D82FF1"/>
    <w:rsid w:val="00D83378"/>
    <w:rsid w:val="00D833B9"/>
    <w:rsid w:val="00D835A4"/>
    <w:rsid w:val="00D83747"/>
    <w:rsid w:val="00D84212"/>
    <w:rsid w:val="00D84394"/>
    <w:rsid w:val="00D84A3D"/>
    <w:rsid w:val="00D84EC5"/>
    <w:rsid w:val="00D85273"/>
    <w:rsid w:val="00D854F3"/>
    <w:rsid w:val="00D85DDE"/>
    <w:rsid w:val="00D86238"/>
    <w:rsid w:val="00D86486"/>
    <w:rsid w:val="00D86CF2"/>
    <w:rsid w:val="00D876ED"/>
    <w:rsid w:val="00D87A20"/>
    <w:rsid w:val="00D87AB8"/>
    <w:rsid w:val="00D9006E"/>
    <w:rsid w:val="00D9020C"/>
    <w:rsid w:val="00D905E6"/>
    <w:rsid w:val="00D90C6B"/>
    <w:rsid w:val="00D90DF6"/>
    <w:rsid w:val="00D911E3"/>
    <w:rsid w:val="00D91667"/>
    <w:rsid w:val="00D918FB"/>
    <w:rsid w:val="00D920D8"/>
    <w:rsid w:val="00D92362"/>
    <w:rsid w:val="00D92B38"/>
    <w:rsid w:val="00D93424"/>
    <w:rsid w:val="00D93912"/>
    <w:rsid w:val="00D93F99"/>
    <w:rsid w:val="00D947B7"/>
    <w:rsid w:val="00D94BF4"/>
    <w:rsid w:val="00D94CAB"/>
    <w:rsid w:val="00D94F71"/>
    <w:rsid w:val="00D95243"/>
    <w:rsid w:val="00D95670"/>
    <w:rsid w:val="00D956BE"/>
    <w:rsid w:val="00D956BF"/>
    <w:rsid w:val="00D95CB4"/>
    <w:rsid w:val="00D95EA9"/>
    <w:rsid w:val="00D96383"/>
    <w:rsid w:val="00D9643D"/>
    <w:rsid w:val="00D97018"/>
    <w:rsid w:val="00D97180"/>
    <w:rsid w:val="00D974C8"/>
    <w:rsid w:val="00D97FE4"/>
    <w:rsid w:val="00DA00FA"/>
    <w:rsid w:val="00DA0C1E"/>
    <w:rsid w:val="00DA117B"/>
    <w:rsid w:val="00DA119E"/>
    <w:rsid w:val="00DA13D8"/>
    <w:rsid w:val="00DA14CA"/>
    <w:rsid w:val="00DA1502"/>
    <w:rsid w:val="00DA1C62"/>
    <w:rsid w:val="00DA1D50"/>
    <w:rsid w:val="00DA1E01"/>
    <w:rsid w:val="00DA2161"/>
    <w:rsid w:val="00DA234E"/>
    <w:rsid w:val="00DA2856"/>
    <w:rsid w:val="00DA2A9F"/>
    <w:rsid w:val="00DA2C43"/>
    <w:rsid w:val="00DA30C7"/>
    <w:rsid w:val="00DA39D0"/>
    <w:rsid w:val="00DA3BF4"/>
    <w:rsid w:val="00DA3CC0"/>
    <w:rsid w:val="00DA3D28"/>
    <w:rsid w:val="00DA40F2"/>
    <w:rsid w:val="00DA437B"/>
    <w:rsid w:val="00DA499B"/>
    <w:rsid w:val="00DA4C7A"/>
    <w:rsid w:val="00DA5427"/>
    <w:rsid w:val="00DA55C4"/>
    <w:rsid w:val="00DA5F4B"/>
    <w:rsid w:val="00DA625C"/>
    <w:rsid w:val="00DA6594"/>
    <w:rsid w:val="00DA65B2"/>
    <w:rsid w:val="00DA6A13"/>
    <w:rsid w:val="00DA6F17"/>
    <w:rsid w:val="00DA710C"/>
    <w:rsid w:val="00DA7680"/>
    <w:rsid w:val="00DA77C9"/>
    <w:rsid w:val="00DA77FD"/>
    <w:rsid w:val="00DA7DB1"/>
    <w:rsid w:val="00DB0505"/>
    <w:rsid w:val="00DB08EE"/>
    <w:rsid w:val="00DB0B93"/>
    <w:rsid w:val="00DB0BD1"/>
    <w:rsid w:val="00DB12DB"/>
    <w:rsid w:val="00DB1C3F"/>
    <w:rsid w:val="00DB2FB0"/>
    <w:rsid w:val="00DB300F"/>
    <w:rsid w:val="00DB3100"/>
    <w:rsid w:val="00DB3395"/>
    <w:rsid w:val="00DB40C2"/>
    <w:rsid w:val="00DB459B"/>
    <w:rsid w:val="00DB5513"/>
    <w:rsid w:val="00DB5559"/>
    <w:rsid w:val="00DB5761"/>
    <w:rsid w:val="00DB5FAE"/>
    <w:rsid w:val="00DB6543"/>
    <w:rsid w:val="00DB6CAB"/>
    <w:rsid w:val="00DB742D"/>
    <w:rsid w:val="00DB7529"/>
    <w:rsid w:val="00DB7585"/>
    <w:rsid w:val="00DB795A"/>
    <w:rsid w:val="00DB7B66"/>
    <w:rsid w:val="00DB7C17"/>
    <w:rsid w:val="00DB7DDB"/>
    <w:rsid w:val="00DC055D"/>
    <w:rsid w:val="00DC0CD7"/>
    <w:rsid w:val="00DC0F8A"/>
    <w:rsid w:val="00DC0F94"/>
    <w:rsid w:val="00DC1B23"/>
    <w:rsid w:val="00DC2560"/>
    <w:rsid w:val="00DC2DC3"/>
    <w:rsid w:val="00DC3253"/>
    <w:rsid w:val="00DC34CA"/>
    <w:rsid w:val="00DC34F8"/>
    <w:rsid w:val="00DC3545"/>
    <w:rsid w:val="00DC36BB"/>
    <w:rsid w:val="00DC3C68"/>
    <w:rsid w:val="00DC3D72"/>
    <w:rsid w:val="00DC3E62"/>
    <w:rsid w:val="00DC4902"/>
    <w:rsid w:val="00DC490E"/>
    <w:rsid w:val="00DC4995"/>
    <w:rsid w:val="00DC4BE5"/>
    <w:rsid w:val="00DC52E4"/>
    <w:rsid w:val="00DC5632"/>
    <w:rsid w:val="00DC58F4"/>
    <w:rsid w:val="00DC5D59"/>
    <w:rsid w:val="00DC64E1"/>
    <w:rsid w:val="00DC65DE"/>
    <w:rsid w:val="00DC66F2"/>
    <w:rsid w:val="00DC69E2"/>
    <w:rsid w:val="00DC6D0C"/>
    <w:rsid w:val="00DC6D3A"/>
    <w:rsid w:val="00DC7041"/>
    <w:rsid w:val="00DC73A3"/>
    <w:rsid w:val="00DC74E4"/>
    <w:rsid w:val="00DD0AF6"/>
    <w:rsid w:val="00DD106B"/>
    <w:rsid w:val="00DD1D37"/>
    <w:rsid w:val="00DD2846"/>
    <w:rsid w:val="00DD28F1"/>
    <w:rsid w:val="00DD2AC3"/>
    <w:rsid w:val="00DD2D5F"/>
    <w:rsid w:val="00DD2DB1"/>
    <w:rsid w:val="00DD3B0B"/>
    <w:rsid w:val="00DD3DF0"/>
    <w:rsid w:val="00DD42FC"/>
    <w:rsid w:val="00DD4B99"/>
    <w:rsid w:val="00DD5010"/>
    <w:rsid w:val="00DD5193"/>
    <w:rsid w:val="00DD5B67"/>
    <w:rsid w:val="00DD5E58"/>
    <w:rsid w:val="00DD665A"/>
    <w:rsid w:val="00DD6876"/>
    <w:rsid w:val="00DD69AA"/>
    <w:rsid w:val="00DD6CC5"/>
    <w:rsid w:val="00DD6DAA"/>
    <w:rsid w:val="00DD7480"/>
    <w:rsid w:val="00DD7E22"/>
    <w:rsid w:val="00DE063E"/>
    <w:rsid w:val="00DE0997"/>
    <w:rsid w:val="00DE0AE7"/>
    <w:rsid w:val="00DE0F2D"/>
    <w:rsid w:val="00DE109C"/>
    <w:rsid w:val="00DE1497"/>
    <w:rsid w:val="00DE19E3"/>
    <w:rsid w:val="00DE1E49"/>
    <w:rsid w:val="00DE220F"/>
    <w:rsid w:val="00DE2630"/>
    <w:rsid w:val="00DE2A36"/>
    <w:rsid w:val="00DE368A"/>
    <w:rsid w:val="00DE40D1"/>
    <w:rsid w:val="00DE40E6"/>
    <w:rsid w:val="00DE441F"/>
    <w:rsid w:val="00DE4467"/>
    <w:rsid w:val="00DE4743"/>
    <w:rsid w:val="00DE4C55"/>
    <w:rsid w:val="00DE4DFB"/>
    <w:rsid w:val="00DE5065"/>
    <w:rsid w:val="00DE518F"/>
    <w:rsid w:val="00DE532A"/>
    <w:rsid w:val="00DE5A51"/>
    <w:rsid w:val="00DE5E46"/>
    <w:rsid w:val="00DE6062"/>
    <w:rsid w:val="00DE6389"/>
    <w:rsid w:val="00DE66B0"/>
    <w:rsid w:val="00DE68CC"/>
    <w:rsid w:val="00DE76C8"/>
    <w:rsid w:val="00DE7874"/>
    <w:rsid w:val="00DE7AA8"/>
    <w:rsid w:val="00DE7ADB"/>
    <w:rsid w:val="00DE7B31"/>
    <w:rsid w:val="00DE7CFC"/>
    <w:rsid w:val="00DF075B"/>
    <w:rsid w:val="00DF0A83"/>
    <w:rsid w:val="00DF0DC6"/>
    <w:rsid w:val="00DF1149"/>
    <w:rsid w:val="00DF1B99"/>
    <w:rsid w:val="00DF1D78"/>
    <w:rsid w:val="00DF21BD"/>
    <w:rsid w:val="00DF2534"/>
    <w:rsid w:val="00DF33EF"/>
    <w:rsid w:val="00DF349A"/>
    <w:rsid w:val="00DF35EE"/>
    <w:rsid w:val="00DF38D9"/>
    <w:rsid w:val="00DF3C09"/>
    <w:rsid w:val="00DF4223"/>
    <w:rsid w:val="00DF4449"/>
    <w:rsid w:val="00DF457B"/>
    <w:rsid w:val="00DF4F24"/>
    <w:rsid w:val="00DF4F80"/>
    <w:rsid w:val="00DF4FB2"/>
    <w:rsid w:val="00DF63CC"/>
    <w:rsid w:val="00DF68E4"/>
    <w:rsid w:val="00DF6975"/>
    <w:rsid w:val="00DF6D61"/>
    <w:rsid w:val="00DF72DA"/>
    <w:rsid w:val="00E00742"/>
    <w:rsid w:val="00E009B1"/>
    <w:rsid w:val="00E00CAD"/>
    <w:rsid w:val="00E014D3"/>
    <w:rsid w:val="00E0211E"/>
    <w:rsid w:val="00E0238D"/>
    <w:rsid w:val="00E02C15"/>
    <w:rsid w:val="00E02D31"/>
    <w:rsid w:val="00E034AD"/>
    <w:rsid w:val="00E03DA1"/>
    <w:rsid w:val="00E03F5A"/>
    <w:rsid w:val="00E0400B"/>
    <w:rsid w:val="00E04280"/>
    <w:rsid w:val="00E046EB"/>
    <w:rsid w:val="00E049EF"/>
    <w:rsid w:val="00E04A35"/>
    <w:rsid w:val="00E04A5E"/>
    <w:rsid w:val="00E050E6"/>
    <w:rsid w:val="00E0514E"/>
    <w:rsid w:val="00E055C4"/>
    <w:rsid w:val="00E0562F"/>
    <w:rsid w:val="00E05B2B"/>
    <w:rsid w:val="00E06916"/>
    <w:rsid w:val="00E07FAE"/>
    <w:rsid w:val="00E10609"/>
    <w:rsid w:val="00E10626"/>
    <w:rsid w:val="00E107AB"/>
    <w:rsid w:val="00E108BE"/>
    <w:rsid w:val="00E10BDD"/>
    <w:rsid w:val="00E1102F"/>
    <w:rsid w:val="00E117CD"/>
    <w:rsid w:val="00E11BEF"/>
    <w:rsid w:val="00E11D58"/>
    <w:rsid w:val="00E123F0"/>
    <w:rsid w:val="00E12401"/>
    <w:rsid w:val="00E12F9B"/>
    <w:rsid w:val="00E13164"/>
    <w:rsid w:val="00E1337D"/>
    <w:rsid w:val="00E135B1"/>
    <w:rsid w:val="00E13E69"/>
    <w:rsid w:val="00E13F29"/>
    <w:rsid w:val="00E14140"/>
    <w:rsid w:val="00E1466E"/>
    <w:rsid w:val="00E14AA9"/>
    <w:rsid w:val="00E14D03"/>
    <w:rsid w:val="00E156AF"/>
    <w:rsid w:val="00E164D7"/>
    <w:rsid w:val="00E16E89"/>
    <w:rsid w:val="00E17309"/>
    <w:rsid w:val="00E1751F"/>
    <w:rsid w:val="00E1755A"/>
    <w:rsid w:val="00E17675"/>
    <w:rsid w:val="00E17B95"/>
    <w:rsid w:val="00E20077"/>
    <w:rsid w:val="00E201C9"/>
    <w:rsid w:val="00E20257"/>
    <w:rsid w:val="00E2123C"/>
    <w:rsid w:val="00E212A5"/>
    <w:rsid w:val="00E21C8C"/>
    <w:rsid w:val="00E22234"/>
    <w:rsid w:val="00E22374"/>
    <w:rsid w:val="00E22DCE"/>
    <w:rsid w:val="00E23974"/>
    <w:rsid w:val="00E23C99"/>
    <w:rsid w:val="00E242C7"/>
    <w:rsid w:val="00E24406"/>
    <w:rsid w:val="00E2498A"/>
    <w:rsid w:val="00E24BF2"/>
    <w:rsid w:val="00E24E9C"/>
    <w:rsid w:val="00E24F86"/>
    <w:rsid w:val="00E25401"/>
    <w:rsid w:val="00E256DB"/>
    <w:rsid w:val="00E25977"/>
    <w:rsid w:val="00E25A8D"/>
    <w:rsid w:val="00E25AE2"/>
    <w:rsid w:val="00E26390"/>
    <w:rsid w:val="00E265E6"/>
    <w:rsid w:val="00E26652"/>
    <w:rsid w:val="00E269B0"/>
    <w:rsid w:val="00E26B0F"/>
    <w:rsid w:val="00E26BF1"/>
    <w:rsid w:val="00E26D6C"/>
    <w:rsid w:val="00E26FC9"/>
    <w:rsid w:val="00E27051"/>
    <w:rsid w:val="00E278EF"/>
    <w:rsid w:val="00E27996"/>
    <w:rsid w:val="00E305E4"/>
    <w:rsid w:val="00E30954"/>
    <w:rsid w:val="00E30D2A"/>
    <w:rsid w:val="00E30DBB"/>
    <w:rsid w:val="00E3117A"/>
    <w:rsid w:val="00E313C2"/>
    <w:rsid w:val="00E3170F"/>
    <w:rsid w:val="00E318BE"/>
    <w:rsid w:val="00E31A0B"/>
    <w:rsid w:val="00E31FC4"/>
    <w:rsid w:val="00E32511"/>
    <w:rsid w:val="00E325AB"/>
    <w:rsid w:val="00E32663"/>
    <w:rsid w:val="00E32899"/>
    <w:rsid w:val="00E32B44"/>
    <w:rsid w:val="00E33A92"/>
    <w:rsid w:val="00E33A9A"/>
    <w:rsid w:val="00E33D40"/>
    <w:rsid w:val="00E33EE5"/>
    <w:rsid w:val="00E33F00"/>
    <w:rsid w:val="00E33F19"/>
    <w:rsid w:val="00E34375"/>
    <w:rsid w:val="00E343E1"/>
    <w:rsid w:val="00E34917"/>
    <w:rsid w:val="00E3496E"/>
    <w:rsid w:val="00E34A68"/>
    <w:rsid w:val="00E34B4D"/>
    <w:rsid w:val="00E3502B"/>
    <w:rsid w:val="00E35139"/>
    <w:rsid w:val="00E35FF8"/>
    <w:rsid w:val="00E37A97"/>
    <w:rsid w:val="00E37D9D"/>
    <w:rsid w:val="00E37DCF"/>
    <w:rsid w:val="00E40BC5"/>
    <w:rsid w:val="00E40BD4"/>
    <w:rsid w:val="00E4105D"/>
    <w:rsid w:val="00E4140D"/>
    <w:rsid w:val="00E416B5"/>
    <w:rsid w:val="00E41752"/>
    <w:rsid w:val="00E41BA2"/>
    <w:rsid w:val="00E4210C"/>
    <w:rsid w:val="00E421B9"/>
    <w:rsid w:val="00E42510"/>
    <w:rsid w:val="00E42528"/>
    <w:rsid w:val="00E425B5"/>
    <w:rsid w:val="00E42F19"/>
    <w:rsid w:val="00E42F99"/>
    <w:rsid w:val="00E4313F"/>
    <w:rsid w:val="00E4351D"/>
    <w:rsid w:val="00E43AAF"/>
    <w:rsid w:val="00E44368"/>
    <w:rsid w:val="00E44857"/>
    <w:rsid w:val="00E45553"/>
    <w:rsid w:val="00E457D0"/>
    <w:rsid w:val="00E458B9"/>
    <w:rsid w:val="00E45BD8"/>
    <w:rsid w:val="00E46168"/>
    <w:rsid w:val="00E46A56"/>
    <w:rsid w:val="00E470A7"/>
    <w:rsid w:val="00E47421"/>
    <w:rsid w:val="00E4743F"/>
    <w:rsid w:val="00E47DF0"/>
    <w:rsid w:val="00E501B8"/>
    <w:rsid w:val="00E50975"/>
    <w:rsid w:val="00E50CF7"/>
    <w:rsid w:val="00E515DA"/>
    <w:rsid w:val="00E516D3"/>
    <w:rsid w:val="00E5187C"/>
    <w:rsid w:val="00E51AC1"/>
    <w:rsid w:val="00E520B5"/>
    <w:rsid w:val="00E5214B"/>
    <w:rsid w:val="00E52A92"/>
    <w:rsid w:val="00E52E0E"/>
    <w:rsid w:val="00E52EF5"/>
    <w:rsid w:val="00E532C5"/>
    <w:rsid w:val="00E5380B"/>
    <w:rsid w:val="00E54177"/>
    <w:rsid w:val="00E541D7"/>
    <w:rsid w:val="00E546D8"/>
    <w:rsid w:val="00E54868"/>
    <w:rsid w:val="00E54990"/>
    <w:rsid w:val="00E54D21"/>
    <w:rsid w:val="00E5570F"/>
    <w:rsid w:val="00E56108"/>
    <w:rsid w:val="00E562D5"/>
    <w:rsid w:val="00E56438"/>
    <w:rsid w:val="00E56A50"/>
    <w:rsid w:val="00E573DF"/>
    <w:rsid w:val="00E57564"/>
    <w:rsid w:val="00E575BA"/>
    <w:rsid w:val="00E60871"/>
    <w:rsid w:val="00E60A14"/>
    <w:rsid w:val="00E60A1B"/>
    <w:rsid w:val="00E60D28"/>
    <w:rsid w:val="00E610EF"/>
    <w:rsid w:val="00E61C11"/>
    <w:rsid w:val="00E6209A"/>
    <w:rsid w:val="00E62B2C"/>
    <w:rsid w:val="00E62ECD"/>
    <w:rsid w:val="00E62EF4"/>
    <w:rsid w:val="00E63177"/>
    <w:rsid w:val="00E6337D"/>
    <w:rsid w:val="00E63828"/>
    <w:rsid w:val="00E63F6A"/>
    <w:rsid w:val="00E642E0"/>
    <w:rsid w:val="00E644BE"/>
    <w:rsid w:val="00E649E6"/>
    <w:rsid w:val="00E64DB9"/>
    <w:rsid w:val="00E65A98"/>
    <w:rsid w:val="00E65C6E"/>
    <w:rsid w:val="00E66653"/>
    <w:rsid w:val="00E66C6F"/>
    <w:rsid w:val="00E66D82"/>
    <w:rsid w:val="00E676E9"/>
    <w:rsid w:val="00E67744"/>
    <w:rsid w:val="00E67A38"/>
    <w:rsid w:val="00E70716"/>
    <w:rsid w:val="00E707FE"/>
    <w:rsid w:val="00E70981"/>
    <w:rsid w:val="00E70FA9"/>
    <w:rsid w:val="00E71070"/>
    <w:rsid w:val="00E71318"/>
    <w:rsid w:val="00E71DE6"/>
    <w:rsid w:val="00E7209F"/>
    <w:rsid w:val="00E72143"/>
    <w:rsid w:val="00E72240"/>
    <w:rsid w:val="00E724F7"/>
    <w:rsid w:val="00E725D1"/>
    <w:rsid w:val="00E72C7D"/>
    <w:rsid w:val="00E73235"/>
    <w:rsid w:val="00E732BA"/>
    <w:rsid w:val="00E74185"/>
    <w:rsid w:val="00E74F07"/>
    <w:rsid w:val="00E75123"/>
    <w:rsid w:val="00E75CA1"/>
    <w:rsid w:val="00E75D90"/>
    <w:rsid w:val="00E767B6"/>
    <w:rsid w:val="00E774F0"/>
    <w:rsid w:val="00E7753F"/>
    <w:rsid w:val="00E77565"/>
    <w:rsid w:val="00E77850"/>
    <w:rsid w:val="00E77940"/>
    <w:rsid w:val="00E77A60"/>
    <w:rsid w:val="00E801B6"/>
    <w:rsid w:val="00E8029F"/>
    <w:rsid w:val="00E803B5"/>
    <w:rsid w:val="00E80CEE"/>
    <w:rsid w:val="00E810B1"/>
    <w:rsid w:val="00E81193"/>
    <w:rsid w:val="00E8126B"/>
    <w:rsid w:val="00E813E2"/>
    <w:rsid w:val="00E8142E"/>
    <w:rsid w:val="00E81F35"/>
    <w:rsid w:val="00E8207D"/>
    <w:rsid w:val="00E82860"/>
    <w:rsid w:val="00E82A8A"/>
    <w:rsid w:val="00E82E49"/>
    <w:rsid w:val="00E82FEB"/>
    <w:rsid w:val="00E83D0C"/>
    <w:rsid w:val="00E83D94"/>
    <w:rsid w:val="00E83F1D"/>
    <w:rsid w:val="00E848F6"/>
    <w:rsid w:val="00E84A1F"/>
    <w:rsid w:val="00E85C48"/>
    <w:rsid w:val="00E860DA"/>
    <w:rsid w:val="00E860E2"/>
    <w:rsid w:val="00E86175"/>
    <w:rsid w:val="00E86F79"/>
    <w:rsid w:val="00E87719"/>
    <w:rsid w:val="00E878CA"/>
    <w:rsid w:val="00E87991"/>
    <w:rsid w:val="00E87BB6"/>
    <w:rsid w:val="00E87BF3"/>
    <w:rsid w:val="00E87E36"/>
    <w:rsid w:val="00E90131"/>
    <w:rsid w:val="00E906A5"/>
    <w:rsid w:val="00E916F7"/>
    <w:rsid w:val="00E91D85"/>
    <w:rsid w:val="00E928D0"/>
    <w:rsid w:val="00E92C8D"/>
    <w:rsid w:val="00E93227"/>
    <w:rsid w:val="00E932A3"/>
    <w:rsid w:val="00E93835"/>
    <w:rsid w:val="00E94254"/>
    <w:rsid w:val="00E94402"/>
    <w:rsid w:val="00E9476E"/>
    <w:rsid w:val="00E94A12"/>
    <w:rsid w:val="00E957DE"/>
    <w:rsid w:val="00E959C5"/>
    <w:rsid w:val="00E95A17"/>
    <w:rsid w:val="00E96947"/>
    <w:rsid w:val="00E9733B"/>
    <w:rsid w:val="00E97636"/>
    <w:rsid w:val="00E978C5"/>
    <w:rsid w:val="00E97CF5"/>
    <w:rsid w:val="00E97E58"/>
    <w:rsid w:val="00EA02E9"/>
    <w:rsid w:val="00EA08DA"/>
    <w:rsid w:val="00EA0A6A"/>
    <w:rsid w:val="00EA1141"/>
    <w:rsid w:val="00EA1525"/>
    <w:rsid w:val="00EA17A8"/>
    <w:rsid w:val="00EA1FD3"/>
    <w:rsid w:val="00EA24F8"/>
    <w:rsid w:val="00EA2BE1"/>
    <w:rsid w:val="00EA2C1D"/>
    <w:rsid w:val="00EA2C2A"/>
    <w:rsid w:val="00EA2C60"/>
    <w:rsid w:val="00EA31F2"/>
    <w:rsid w:val="00EA3678"/>
    <w:rsid w:val="00EA39D0"/>
    <w:rsid w:val="00EA3BD9"/>
    <w:rsid w:val="00EA411A"/>
    <w:rsid w:val="00EA451C"/>
    <w:rsid w:val="00EA4D92"/>
    <w:rsid w:val="00EA4E0E"/>
    <w:rsid w:val="00EA50B5"/>
    <w:rsid w:val="00EA5307"/>
    <w:rsid w:val="00EA5FB7"/>
    <w:rsid w:val="00EA6FB8"/>
    <w:rsid w:val="00EA719C"/>
    <w:rsid w:val="00EA72AD"/>
    <w:rsid w:val="00EA7CB7"/>
    <w:rsid w:val="00EA7E37"/>
    <w:rsid w:val="00EA7FA7"/>
    <w:rsid w:val="00EA7FDD"/>
    <w:rsid w:val="00EB028B"/>
    <w:rsid w:val="00EB0DF1"/>
    <w:rsid w:val="00EB15D9"/>
    <w:rsid w:val="00EB16E4"/>
    <w:rsid w:val="00EB1853"/>
    <w:rsid w:val="00EB1C76"/>
    <w:rsid w:val="00EB23C8"/>
    <w:rsid w:val="00EB25AD"/>
    <w:rsid w:val="00EB2E15"/>
    <w:rsid w:val="00EB2FD2"/>
    <w:rsid w:val="00EB3378"/>
    <w:rsid w:val="00EB34FC"/>
    <w:rsid w:val="00EB35F2"/>
    <w:rsid w:val="00EB37A9"/>
    <w:rsid w:val="00EB405E"/>
    <w:rsid w:val="00EB45BE"/>
    <w:rsid w:val="00EB4CD5"/>
    <w:rsid w:val="00EB4FCF"/>
    <w:rsid w:val="00EB5219"/>
    <w:rsid w:val="00EB52EC"/>
    <w:rsid w:val="00EB54B2"/>
    <w:rsid w:val="00EB5546"/>
    <w:rsid w:val="00EB56AE"/>
    <w:rsid w:val="00EB56E0"/>
    <w:rsid w:val="00EB5F2B"/>
    <w:rsid w:val="00EB609F"/>
    <w:rsid w:val="00EB67D7"/>
    <w:rsid w:val="00EB6C6B"/>
    <w:rsid w:val="00EB6D69"/>
    <w:rsid w:val="00EB73C4"/>
    <w:rsid w:val="00EC0259"/>
    <w:rsid w:val="00EC0837"/>
    <w:rsid w:val="00EC0E59"/>
    <w:rsid w:val="00EC13D1"/>
    <w:rsid w:val="00EC141C"/>
    <w:rsid w:val="00EC1585"/>
    <w:rsid w:val="00EC15C5"/>
    <w:rsid w:val="00EC17B2"/>
    <w:rsid w:val="00EC1A4D"/>
    <w:rsid w:val="00EC1AF7"/>
    <w:rsid w:val="00EC1C0D"/>
    <w:rsid w:val="00EC1C1B"/>
    <w:rsid w:val="00EC2162"/>
    <w:rsid w:val="00EC23CB"/>
    <w:rsid w:val="00EC2487"/>
    <w:rsid w:val="00EC2685"/>
    <w:rsid w:val="00EC295B"/>
    <w:rsid w:val="00EC2C55"/>
    <w:rsid w:val="00EC3416"/>
    <w:rsid w:val="00EC444A"/>
    <w:rsid w:val="00EC4F33"/>
    <w:rsid w:val="00EC5799"/>
    <w:rsid w:val="00EC5D01"/>
    <w:rsid w:val="00EC5EFC"/>
    <w:rsid w:val="00EC601E"/>
    <w:rsid w:val="00EC603E"/>
    <w:rsid w:val="00EC61B9"/>
    <w:rsid w:val="00EC6326"/>
    <w:rsid w:val="00EC6913"/>
    <w:rsid w:val="00EC69DB"/>
    <w:rsid w:val="00EC6EEC"/>
    <w:rsid w:val="00EC6F11"/>
    <w:rsid w:val="00EC743B"/>
    <w:rsid w:val="00EC74EA"/>
    <w:rsid w:val="00EC7829"/>
    <w:rsid w:val="00EC7A50"/>
    <w:rsid w:val="00EC7A73"/>
    <w:rsid w:val="00EC7A8B"/>
    <w:rsid w:val="00EC7B87"/>
    <w:rsid w:val="00EC7BA7"/>
    <w:rsid w:val="00EC7DDB"/>
    <w:rsid w:val="00EC7EC8"/>
    <w:rsid w:val="00ED073F"/>
    <w:rsid w:val="00ED09B5"/>
    <w:rsid w:val="00ED0EB0"/>
    <w:rsid w:val="00ED0F4B"/>
    <w:rsid w:val="00ED140B"/>
    <w:rsid w:val="00ED1714"/>
    <w:rsid w:val="00ED26AA"/>
    <w:rsid w:val="00ED307A"/>
    <w:rsid w:val="00ED3F45"/>
    <w:rsid w:val="00ED472A"/>
    <w:rsid w:val="00ED4B0A"/>
    <w:rsid w:val="00ED4B66"/>
    <w:rsid w:val="00ED52E7"/>
    <w:rsid w:val="00ED5DC7"/>
    <w:rsid w:val="00ED5E4E"/>
    <w:rsid w:val="00ED600A"/>
    <w:rsid w:val="00ED62F6"/>
    <w:rsid w:val="00ED63F5"/>
    <w:rsid w:val="00ED6B52"/>
    <w:rsid w:val="00ED6C30"/>
    <w:rsid w:val="00ED6D2E"/>
    <w:rsid w:val="00ED700A"/>
    <w:rsid w:val="00ED71A8"/>
    <w:rsid w:val="00ED74CE"/>
    <w:rsid w:val="00ED77BC"/>
    <w:rsid w:val="00ED7A5B"/>
    <w:rsid w:val="00ED7B53"/>
    <w:rsid w:val="00ED7DE2"/>
    <w:rsid w:val="00EE0BAF"/>
    <w:rsid w:val="00EE0D61"/>
    <w:rsid w:val="00EE24E9"/>
    <w:rsid w:val="00EE254A"/>
    <w:rsid w:val="00EE2E70"/>
    <w:rsid w:val="00EE2F92"/>
    <w:rsid w:val="00EE2FD9"/>
    <w:rsid w:val="00EE345F"/>
    <w:rsid w:val="00EE366E"/>
    <w:rsid w:val="00EE410D"/>
    <w:rsid w:val="00EE4322"/>
    <w:rsid w:val="00EE441D"/>
    <w:rsid w:val="00EE52D8"/>
    <w:rsid w:val="00EE58ED"/>
    <w:rsid w:val="00EE5AF1"/>
    <w:rsid w:val="00EE5B23"/>
    <w:rsid w:val="00EE5DEB"/>
    <w:rsid w:val="00EE5F72"/>
    <w:rsid w:val="00EE6868"/>
    <w:rsid w:val="00EE6B4A"/>
    <w:rsid w:val="00EE6CA8"/>
    <w:rsid w:val="00EE742D"/>
    <w:rsid w:val="00EE783B"/>
    <w:rsid w:val="00EE79B1"/>
    <w:rsid w:val="00EF021B"/>
    <w:rsid w:val="00EF0CBA"/>
    <w:rsid w:val="00EF1298"/>
    <w:rsid w:val="00EF1524"/>
    <w:rsid w:val="00EF174F"/>
    <w:rsid w:val="00EF18E2"/>
    <w:rsid w:val="00EF1AA7"/>
    <w:rsid w:val="00EF1B49"/>
    <w:rsid w:val="00EF1FDC"/>
    <w:rsid w:val="00EF250A"/>
    <w:rsid w:val="00EF25C7"/>
    <w:rsid w:val="00EF3C60"/>
    <w:rsid w:val="00EF3F12"/>
    <w:rsid w:val="00EF4881"/>
    <w:rsid w:val="00EF5B2D"/>
    <w:rsid w:val="00EF5C7D"/>
    <w:rsid w:val="00EF5E36"/>
    <w:rsid w:val="00EF5E8C"/>
    <w:rsid w:val="00EF607E"/>
    <w:rsid w:val="00EF60B1"/>
    <w:rsid w:val="00EF69D1"/>
    <w:rsid w:val="00EF6B4C"/>
    <w:rsid w:val="00EF6D44"/>
    <w:rsid w:val="00EF7467"/>
    <w:rsid w:val="00F00ACF"/>
    <w:rsid w:val="00F0179E"/>
    <w:rsid w:val="00F01AB3"/>
    <w:rsid w:val="00F020B9"/>
    <w:rsid w:val="00F0305C"/>
    <w:rsid w:val="00F04A10"/>
    <w:rsid w:val="00F04C8E"/>
    <w:rsid w:val="00F04D24"/>
    <w:rsid w:val="00F04D3A"/>
    <w:rsid w:val="00F057F7"/>
    <w:rsid w:val="00F05C0F"/>
    <w:rsid w:val="00F05C39"/>
    <w:rsid w:val="00F06268"/>
    <w:rsid w:val="00F0632B"/>
    <w:rsid w:val="00F0649F"/>
    <w:rsid w:val="00F066E0"/>
    <w:rsid w:val="00F06AE7"/>
    <w:rsid w:val="00F06BD6"/>
    <w:rsid w:val="00F07397"/>
    <w:rsid w:val="00F074B6"/>
    <w:rsid w:val="00F0767F"/>
    <w:rsid w:val="00F07B0D"/>
    <w:rsid w:val="00F07CE1"/>
    <w:rsid w:val="00F07D06"/>
    <w:rsid w:val="00F07F25"/>
    <w:rsid w:val="00F07F27"/>
    <w:rsid w:val="00F1031A"/>
    <w:rsid w:val="00F115B8"/>
    <w:rsid w:val="00F116F8"/>
    <w:rsid w:val="00F11B79"/>
    <w:rsid w:val="00F11D01"/>
    <w:rsid w:val="00F12D91"/>
    <w:rsid w:val="00F12FD9"/>
    <w:rsid w:val="00F1303C"/>
    <w:rsid w:val="00F13681"/>
    <w:rsid w:val="00F13B33"/>
    <w:rsid w:val="00F13DDC"/>
    <w:rsid w:val="00F1452F"/>
    <w:rsid w:val="00F146BF"/>
    <w:rsid w:val="00F14E81"/>
    <w:rsid w:val="00F150CE"/>
    <w:rsid w:val="00F1569A"/>
    <w:rsid w:val="00F15B75"/>
    <w:rsid w:val="00F16033"/>
    <w:rsid w:val="00F16303"/>
    <w:rsid w:val="00F16681"/>
    <w:rsid w:val="00F16A44"/>
    <w:rsid w:val="00F16CB6"/>
    <w:rsid w:val="00F16D47"/>
    <w:rsid w:val="00F16E88"/>
    <w:rsid w:val="00F16FAD"/>
    <w:rsid w:val="00F17264"/>
    <w:rsid w:val="00F172FC"/>
    <w:rsid w:val="00F17440"/>
    <w:rsid w:val="00F17452"/>
    <w:rsid w:val="00F177F2"/>
    <w:rsid w:val="00F17930"/>
    <w:rsid w:val="00F17D14"/>
    <w:rsid w:val="00F2040D"/>
    <w:rsid w:val="00F2077C"/>
    <w:rsid w:val="00F20DF9"/>
    <w:rsid w:val="00F21697"/>
    <w:rsid w:val="00F21C78"/>
    <w:rsid w:val="00F21EB9"/>
    <w:rsid w:val="00F22275"/>
    <w:rsid w:val="00F225B4"/>
    <w:rsid w:val="00F22890"/>
    <w:rsid w:val="00F22B3B"/>
    <w:rsid w:val="00F22BE7"/>
    <w:rsid w:val="00F22C45"/>
    <w:rsid w:val="00F22D00"/>
    <w:rsid w:val="00F22EFD"/>
    <w:rsid w:val="00F23BEE"/>
    <w:rsid w:val="00F24085"/>
    <w:rsid w:val="00F242E8"/>
    <w:rsid w:val="00F243CE"/>
    <w:rsid w:val="00F2486E"/>
    <w:rsid w:val="00F24900"/>
    <w:rsid w:val="00F24988"/>
    <w:rsid w:val="00F24D59"/>
    <w:rsid w:val="00F25459"/>
    <w:rsid w:val="00F25A11"/>
    <w:rsid w:val="00F25A71"/>
    <w:rsid w:val="00F262A7"/>
    <w:rsid w:val="00F2669A"/>
    <w:rsid w:val="00F26EFF"/>
    <w:rsid w:val="00F26F51"/>
    <w:rsid w:val="00F27036"/>
    <w:rsid w:val="00F27DF7"/>
    <w:rsid w:val="00F30406"/>
    <w:rsid w:val="00F30412"/>
    <w:rsid w:val="00F304F6"/>
    <w:rsid w:val="00F3074F"/>
    <w:rsid w:val="00F308FB"/>
    <w:rsid w:val="00F30D3C"/>
    <w:rsid w:val="00F3256C"/>
    <w:rsid w:val="00F32CD4"/>
    <w:rsid w:val="00F32FBB"/>
    <w:rsid w:val="00F33072"/>
    <w:rsid w:val="00F33340"/>
    <w:rsid w:val="00F33574"/>
    <w:rsid w:val="00F33E66"/>
    <w:rsid w:val="00F340CC"/>
    <w:rsid w:val="00F34317"/>
    <w:rsid w:val="00F3456B"/>
    <w:rsid w:val="00F3469F"/>
    <w:rsid w:val="00F34803"/>
    <w:rsid w:val="00F348B9"/>
    <w:rsid w:val="00F34D29"/>
    <w:rsid w:val="00F3578B"/>
    <w:rsid w:val="00F35D86"/>
    <w:rsid w:val="00F3640F"/>
    <w:rsid w:val="00F36601"/>
    <w:rsid w:val="00F376DC"/>
    <w:rsid w:val="00F404DC"/>
    <w:rsid w:val="00F40821"/>
    <w:rsid w:val="00F40AB6"/>
    <w:rsid w:val="00F41029"/>
    <w:rsid w:val="00F410F7"/>
    <w:rsid w:val="00F4188D"/>
    <w:rsid w:val="00F420AF"/>
    <w:rsid w:val="00F4231D"/>
    <w:rsid w:val="00F424FD"/>
    <w:rsid w:val="00F4292C"/>
    <w:rsid w:val="00F43C59"/>
    <w:rsid w:val="00F43DE7"/>
    <w:rsid w:val="00F43FDA"/>
    <w:rsid w:val="00F445A2"/>
    <w:rsid w:val="00F44E07"/>
    <w:rsid w:val="00F450D8"/>
    <w:rsid w:val="00F4516D"/>
    <w:rsid w:val="00F45426"/>
    <w:rsid w:val="00F45550"/>
    <w:rsid w:val="00F459A9"/>
    <w:rsid w:val="00F45ADC"/>
    <w:rsid w:val="00F466F5"/>
    <w:rsid w:val="00F46973"/>
    <w:rsid w:val="00F46AD7"/>
    <w:rsid w:val="00F46E79"/>
    <w:rsid w:val="00F47099"/>
    <w:rsid w:val="00F47574"/>
    <w:rsid w:val="00F47678"/>
    <w:rsid w:val="00F476F5"/>
    <w:rsid w:val="00F47803"/>
    <w:rsid w:val="00F47CFC"/>
    <w:rsid w:val="00F47FAB"/>
    <w:rsid w:val="00F502ED"/>
    <w:rsid w:val="00F50559"/>
    <w:rsid w:val="00F507B3"/>
    <w:rsid w:val="00F5094A"/>
    <w:rsid w:val="00F510A3"/>
    <w:rsid w:val="00F51287"/>
    <w:rsid w:val="00F5156E"/>
    <w:rsid w:val="00F51A06"/>
    <w:rsid w:val="00F52368"/>
    <w:rsid w:val="00F52427"/>
    <w:rsid w:val="00F534AC"/>
    <w:rsid w:val="00F535D9"/>
    <w:rsid w:val="00F540A6"/>
    <w:rsid w:val="00F545FB"/>
    <w:rsid w:val="00F54DC8"/>
    <w:rsid w:val="00F54F6F"/>
    <w:rsid w:val="00F553C0"/>
    <w:rsid w:val="00F553E9"/>
    <w:rsid w:val="00F55815"/>
    <w:rsid w:val="00F55AEA"/>
    <w:rsid w:val="00F55F56"/>
    <w:rsid w:val="00F55FD3"/>
    <w:rsid w:val="00F56066"/>
    <w:rsid w:val="00F56AC2"/>
    <w:rsid w:val="00F56DF5"/>
    <w:rsid w:val="00F57038"/>
    <w:rsid w:val="00F57651"/>
    <w:rsid w:val="00F60132"/>
    <w:rsid w:val="00F60A66"/>
    <w:rsid w:val="00F619C7"/>
    <w:rsid w:val="00F61EEC"/>
    <w:rsid w:val="00F62349"/>
    <w:rsid w:val="00F629E8"/>
    <w:rsid w:val="00F62B8F"/>
    <w:rsid w:val="00F62F2C"/>
    <w:rsid w:val="00F631D7"/>
    <w:rsid w:val="00F635B9"/>
    <w:rsid w:val="00F63870"/>
    <w:rsid w:val="00F63930"/>
    <w:rsid w:val="00F63A33"/>
    <w:rsid w:val="00F63ADB"/>
    <w:rsid w:val="00F63ADC"/>
    <w:rsid w:val="00F64A8E"/>
    <w:rsid w:val="00F64B81"/>
    <w:rsid w:val="00F653CD"/>
    <w:rsid w:val="00F65858"/>
    <w:rsid w:val="00F658CA"/>
    <w:rsid w:val="00F660A6"/>
    <w:rsid w:val="00F66709"/>
    <w:rsid w:val="00F6719E"/>
    <w:rsid w:val="00F6724C"/>
    <w:rsid w:val="00F675EE"/>
    <w:rsid w:val="00F675F1"/>
    <w:rsid w:val="00F67C01"/>
    <w:rsid w:val="00F67E06"/>
    <w:rsid w:val="00F67EEE"/>
    <w:rsid w:val="00F7094D"/>
    <w:rsid w:val="00F716FA"/>
    <w:rsid w:val="00F72886"/>
    <w:rsid w:val="00F72E36"/>
    <w:rsid w:val="00F731F8"/>
    <w:rsid w:val="00F73F9D"/>
    <w:rsid w:val="00F74152"/>
    <w:rsid w:val="00F74A60"/>
    <w:rsid w:val="00F74D7B"/>
    <w:rsid w:val="00F75286"/>
    <w:rsid w:val="00F752F1"/>
    <w:rsid w:val="00F75306"/>
    <w:rsid w:val="00F754F8"/>
    <w:rsid w:val="00F7611F"/>
    <w:rsid w:val="00F766E1"/>
    <w:rsid w:val="00F76B26"/>
    <w:rsid w:val="00F76DE9"/>
    <w:rsid w:val="00F7773E"/>
    <w:rsid w:val="00F77E43"/>
    <w:rsid w:val="00F77F85"/>
    <w:rsid w:val="00F80576"/>
    <w:rsid w:val="00F80A9C"/>
    <w:rsid w:val="00F80EC5"/>
    <w:rsid w:val="00F80F84"/>
    <w:rsid w:val="00F80FBD"/>
    <w:rsid w:val="00F8103A"/>
    <w:rsid w:val="00F8127A"/>
    <w:rsid w:val="00F81383"/>
    <w:rsid w:val="00F8156E"/>
    <w:rsid w:val="00F8165A"/>
    <w:rsid w:val="00F81E0A"/>
    <w:rsid w:val="00F81F49"/>
    <w:rsid w:val="00F81FD5"/>
    <w:rsid w:val="00F824B6"/>
    <w:rsid w:val="00F827C4"/>
    <w:rsid w:val="00F82B11"/>
    <w:rsid w:val="00F82D2C"/>
    <w:rsid w:val="00F82DC0"/>
    <w:rsid w:val="00F830CF"/>
    <w:rsid w:val="00F83C04"/>
    <w:rsid w:val="00F83C0E"/>
    <w:rsid w:val="00F83D8A"/>
    <w:rsid w:val="00F842CE"/>
    <w:rsid w:val="00F84795"/>
    <w:rsid w:val="00F84C89"/>
    <w:rsid w:val="00F85376"/>
    <w:rsid w:val="00F857D2"/>
    <w:rsid w:val="00F858AB"/>
    <w:rsid w:val="00F8592A"/>
    <w:rsid w:val="00F86EF8"/>
    <w:rsid w:val="00F87E03"/>
    <w:rsid w:val="00F9026E"/>
    <w:rsid w:val="00F90757"/>
    <w:rsid w:val="00F91284"/>
    <w:rsid w:val="00F91834"/>
    <w:rsid w:val="00F91905"/>
    <w:rsid w:val="00F91922"/>
    <w:rsid w:val="00F91ABA"/>
    <w:rsid w:val="00F923E2"/>
    <w:rsid w:val="00F924F5"/>
    <w:rsid w:val="00F928F1"/>
    <w:rsid w:val="00F92E2B"/>
    <w:rsid w:val="00F942EC"/>
    <w:rsid w:val="00F9475C"/>
    <w:rsid w:val="00F94805"/>
    <w:rsid w:val="00F94B23"/>
    <w:rsid w:val="00F94CA3"/>
    <w:rsid w:val="00F95362"/>
    <w:rsid w:val="00F956AC"/>
    <w:rsid w:val="00F96614"/>
    <w:rsid w:val="00F96F1F"/>
    <w:rsid w:val="00F971CF"/>
    <w:rsid w:val="00F97202"/>
    <w:rsid w:val="00F9744E"/>
    <w:rsid w:val="00F977AC"/>
    <w:rsid w:val="00F97D20"/>
    <w:rsid w:val="00F97EED"/>
    <w:rsid w:val="00FA09B2"/>
    <w:rsid w:val="00FA0D6A"/>
    <w:rsid w:val="00FA1213"/>
    <w:rsid w:val="00FA2255"/>
    <w:rsid w:val="00FA2659"/>
    <w:rsid w:val="00FA2ACA"/>
    <w:rsid w:val="00FA2C02"/>
    <w:rsid w:val="00FA2F1B"/>
    <w:rsid w:val="00FA2FF9"/>
    <w:rsid w:val="00FA301F"/>
    <w:rsid w:val="00FA3096"/>
    <w:rsid w:val="00FA3207"/>
    <w:rsid w:val="00FA32FD"/>
    <w:rsid w:val="00FA372D"/>
    <w:rsid w:val="00FA3C14"/>
    <w:rsid w:val="00FA4CF1"/>
    <w:rsid w:val="00FA547A"/>
    <w:rsid w:val="00FA5CC1"/>
    <w:rsid w:val="00FA5DA4"/>
    <w:rsid w:val="00FA6673"/>
    <w:rsid w:val="00FA66E4"/>
    <w:rsid w:val="00FA6881"/>
    <w:rsid w:val="00FA6CD9"/>
    <w:rsid w:val="00FA704A"/>
    <w:rsid w:val="00FA76AD"/>
    <w:rsid w:val="00FA77B3"/>
    <w:rsid w:val="00FA7E9F"/>
    <w:rsid w:val="00FB0648"/>
    <w:rsid w:val="00FB0715"/>
    <w:rsid w:val="00FB07A1"/>
    <w:rsid w:val="00FB0921"/>
    <w:rsid w:val="00FB0CF1"/>
    <w:rsid w:val="00FB23F1"/>
    <w:rsid w:val="00FB2C39"/>
    <w:rsid w:val="00FB3425"/>
    <w:rsid w:val="00FB3636"/>
    <w:rsid w:val="00FB4442"/>
    <w:rsid w:val="00FB478D"/>
    <w:rsid w:val="00FB4893"/>
    <w:rsid w:val="00FB5139"/>
    <w:rsid w:val="00FB5618"/>
    <w:rsid w:val="00FB56E6"/>
    <w:rsid w:val="00FB574F"/>
    <w:rsid w:val="00FB6257"/>
    <w:rsid w:val="00FB6494"/>
    <w:rsid w:val="00FB6573"/>
    <w:rsid w:val="00FB66D4"/>
    <w:rsid w:val="00FB6779"/>
    <w:rsid w:val="00FB6AAC"/>
    <w:rsid w:val="00FB7173"/>
    <w:rsid w:val="00FB7279"/>
    <w:rsid w:val="00FB744A"/>
    <w:rsid w:val="00FB79FD"/>
    <w:rsid w:val="00FC06D2"/>
    <w:rsid w:val="00FC0A76"/>
    <w:rsid w:val="00FC0E3F"/>
    <w:rsid w:val="00FC0EC1"/>
    <w:rsid w:val="00FC1502"/>
    <w:rsid w:val="00FC1915"/>
    <w:rsid w:val="00FC2357"/>
    <w:rsid w:val="00FC241A"/>
    <w:rsid w:val="00FC2607"/>
    <w:rsid w:val="00FC30CB"/>
    <w:rsid w:val="00FC3647"/>
    <w:rsid w:val="00FC457B"/>
    <w:rsid w:val="00FC489F"/>
    <w:rsid w:val="00FC4E3A"/>
    <w:rsid w:val="00FC520C"/>
    <w:rsid w:val="00FC6092"/>
    <w:rsid w:val="00FC6199"/>
    <w:rsid w:val="00FC6A6A"/>
    <w:rsid w:val="00FC6CF4"/>
    <w:rsid w:val="00FC75EE"/>
    <w:rsid w:val="00FC7707"/>
    <w:rsid w:val="00FC7C73"/>
    <w:rsid w:val="00FD011B"/>
    <w:rsid w:val="00FD0AEB"/>
    <w:rsid w:val="00FD16C3"/>
    <w:rsid w:val="00FD1C36"/>
    <w:rsid w:val="00FD3042"/>
    <w:rsid w:val="00FD3362"/>
    <w:rsid w:val="00FD3628"/>
    <w:rsid w:val="00FD377F"/>
    <w:rsid w:val="00FD3CBF"/>
    <w:rsid w:val="00FD45A6"/>
    <w:rsid w:val="00FD4AC0"/>
    <w:rsid w:val="00FD4B07"/>
    <w:rsid w:val="00FD4F29"/>
    <w:rsid w:val="00FD55A4"/>
    <w:rsid w:val="00FD5ABD"/>
    <w:rsid w:val="00FD62DF"/>
    <w:rsid w:val="00FD6879"/>
    <w:rsid w:val="00FD6898"/>
    <w:rsid w:val="00FD6D33"/>
    <w:rsid w:val="00FD6E91"/>
    <w:rsid w:val="00FD6FC5"/>
    <w:rsid w:val="00FD7726"/>
    <w:rsid w:val="00FD7D3B"/>
    <w:rsid w:val="00FE01A8"/>
    <w:rsid w:val="00FE01E0"/>
    <w:rsid w:val="00FE0204"/>
    <w:rsid w:val="00FE02A1"/>
    <w:rsid w:val="00FE0AE3"/>
    <w:rsid w:val="00FE0F64"/>
    <w:rsid w:val="00FE152E"/>
    <w:rsid w:val="00FE1F7E"/>
    <w:rsid w:val="00FE2690"/>
    <w:rsid w:val="00FE2F8A"/>
    <w:rsid w:val="00FE3E70"/>
    <w:rsid w:val="00FE47D5"/>
    <w:rsid w:val="00FE4BAF"/>
    <w:rsid w:val="00FE4D59"/>
    <w:rsid w:val="00FE56DF"/>
    <w:rsid w:val="00FE5818"/>
    <w:rsid w:val="00FE590F"/>
    <w:rsid w:val="00FE69F3"/>
    <w:rsid w:val="00FE6BA5"/>
    <w:rsid w:val="00FE6E45"/>
    <w:rsid w:val="00FE6F8C"/>
    <w:rsid w:val="00FE733E"/>
    <w:rsid w:val="00FE7C5D"/>
    <w:rsid w:val="00FF0023"/>
    <w:rsid w:val="00FF00FD"/>
    <w:rsid w:val="00FF0B10"/>
    <w:rsid w:val="00FF11F4"/>
    <w:rsid w:val="00FF127E"/>
    <w:rsid w:val="00FF12CC"/>
    <w:rsid w:val="00FF1438"/>
    <w:rsid w:val="00FF1B83"/>
    <w:rsid w:val="00FF1CB6"/>
    <w:rsid w:val="00FF2884"/>
    <w:rsid w:val="00FF2E6A"/>
    <w:rsid w:val="00FF37B6"/>
    <w:rsid w:val="00FF420C"/>
    <w:rsid w:val="00FF495D"/>
    <w:rsid w:val="00FF4A96"/>
    <w:rsid w:val="00FF4ABC"/>
    <w:rsid w:val="00FF540B"/>
    <w:rsid w:val="00FF5687"/>
    <w:rsid w:val="00FF5797"/>
    <w:rsid w:val="00FF59AD"/>
    <w:rsid w:val="00FF681F"/>
    <w:rsid w:val="00FF6AD6"/>
    <w:rsid w:val="00FF7333"/>
    <w:rsid w:val="00FF7738"/>
    <w:rsid w:val="00FF7932"/>
    <w:rsid w:val="00FF7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41C6401B"/>
  <w15:docId w15:val="{AF1EE4F4-890A-4D4D-B6D7-60D3CDBA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Hyperlink" w:uiPriority="99"/>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8F4"/>
    <w:rPr>
      <w:sz w:val="24"/>
      <w:szCs w:val="24"/>
    </w:rPr>
  </w:style>
  <w:style w:type="paragraph" w:styleId="Ttulo1">
    <w:name w:val="heading 1"/>
    <w:basedOn w:val="Normal"/>
    <w:next w:val="Normal"/>
    <w:qFormat/>
    <w:rsid w:val="00DC58F4"/>
    <w:pPr>
      <w:keepNext/>
      <w:tabs>
        <w:tab w:val="left" w:pos="1418"/>
      </w:tabs>
      <w:ind w:right="-143"/>
      <w:jc w:val="center"/>
      <w:outlineLvl w:val="0"/>
    </w:pPr>
    <w:rPr>
      <w:rFonts w:ascii="Tahoma" w:hAnsi="Tahoma"/>
      <w:b/>
      <w:sz w:val="22"/>
      <w:szCs w:val="20"/>
    </w:rPr>
  </w:style>
  <w:style w:type="paragraph" w:styleId="Ttulo2">
    <w:name w:val="heading 2"/>
    <w:basedOn w:val="Normal"/>
    <w:next w:val="Normal"/>
    <w:qFormat/>
    <w:rsid w:val="00DC58F4"/>
    <w:pPr>
      <w:keepNext/>
      <w:spacing w:line="312" w:lineRule="auto"/>
      <w:ind w:right="-142"/>
      <w:outlineLvl w:val="1"/>
    </w:pPr>
    <w:rPr>
      <w:rFonts w:ascii="Arial" w:hAnsi="Arial" w:cs="Arial"/>
      <w:b/>
      <w:bCs/>
      <w:sz w:val="20"/>
    </w:rPr>
  </w:style>
  <w:style w:type="paragraph" w:styleId="Ttulo3">
    <w:name w:val="heading 3"/>
    <w:basedOn w:val="Normal"/>
    <w:next w:val="Normal"/>
    <w:qFormat/>
    <w:rsid w:val="00DC58F4"/>
    <w:pPr>
      <w:keepNext/>
      <w:spacing w:line="312" w:lineRule="auto"/>
      <w:ind w:right="-142"/>
      <w:jc w:val="both"/>
      <w:outlineLvl w:val="2"/>
    </w:pPr>
    <w:rPr>
      <w:b/>
      <w:bCs/>
    </w:rPr>
  </w:style>
  <w:style w:type="paragraph" w:styleId="Ttulo4">
    <w:name w:val="heading 4"/>
    <w:basedOn w:val="Normal"/>
    <w:next w:val="Normal"/>
    <w:qFormat/>
    <w:rsid w:val="00DC58F4"/>
    <w:pPr>
      <w:keepNext/>
      <w:spacing w:line="312" w:lineRule="auto"/>
      <w:ind w:right="-142"/>
      <w:jc w:val="both"/>
      <w:outlineLvl w:val="3"/>
    </w:pPr>
    <w:rPr>
      <w:rFonts w:ascii="Tahoma" w:hAnsi="Tahoma"/>
      <w:b/>
      <w:bCs/>
      <w:sz w:val="20"/>
      <w:szCs w:val="20"/>
    </w:rPr>
  </w:style>
  <w:style w:type="paragraph" w:styleId="Ttulo5">
    <w:name w:val="heading 5"/>
    <w:basedOn w:val="Normal"/>
    <w:next w:val="Normal"/>
    <w:qFormat/>
    <w:rsid w:val="00DC58F4"/>
    <w:pPr>
      <w:keepNext/>
      <w:spacing w:line="312" w:lineRule="auto"/>
      <w:ind w:right="-142"/>
      <w:jc w:val="center"/>
      <w:outlineLvl w:val="4"/>
    </w:pPr>
    <w:rPr>
      <w:rFonts w:ascii="Arial" w:hAnsi="Arial"/>
      <w:b/>
      <w:sz w:val="20"/>
      <w:u w:val="single"/>
    </w:rPr>
  </w:style>
  <w:style w:type="paragraph" w:styleId="Ttulo6">
    <w:name w:val="heading 6"/>
    <w:basedOn w:val="Normal"/>
    <w:next w:val="Normal"/>
    <w:qFormat/>
    <w:rsid w:val="00DC58F4"/>
    <w:pPr>
      <w:keepNext/>
      <w:spacing w:line="312" w:lineRule="auto"/>
      <w:ind w:right="-5747"/>
      <w:jc w:val="both"/>
      <w:outlineLvl w:val="5"/>
    </w:pPr>
    <w:rPr>
      <w:rFonts w:ascii="Tahoma" w:hAnsi="Tahoma"/>
      <w:b/>
      <w:bCs/>
      <w:sz w:val="20"/>
      <w:szCs w:val="20"/>
    </w:rPr>
  </w:style>
  <w:style w:type="paragraph" w:styleId="Ttulo7">
    <w:name w:val="heading 7"/>
    <w:basedOn w:val="Normal"/>
    <w:next w:val="Normal"/>
    <w:qFormat/>
    <w:rsid w:val="00DC58F4"/>
    <w:pPr>
      <w:keepNext/>
      <w:spacing w:line="312" w:lineRule="auto"/>
      <w:ind w:right="-142"/>
      <w:jc w:val="center"/>
      <w:outlineLvl w:val="6"/>
    </w:pPr>
    <w:rPr>
      <w:rFonts w:ascii="Tahoma" w:hAnsi="Tahoma"/>
      <w:b/>
      <w:bCs/>
      <w:sz w:val="20"/>
      <w:szCs w:val="20"/>
    </w:rPr>
  </w:style>
  <w:style w:type="paragraph" w:styleId="Ttulo8">
    <w:name w:val="heading 8"/>
    <w:basedOn w:val="Normal"/>
    <w:next w:val="Normal"/>
    <w:qFormat/>
    <w:rsid w:val="00DC58F4"/>
    <w:pPr>
      <w:keepNext/>
      <w:outlineLvl w:val="7"/>
    </w:pPr>
    <w:rPr>
      <w:rFonts w:ascii="Arial" w:hAnsi="Arial" w:cs="Arial"/>
      <w:b/>
      <w:sz w:val="32"/>
    </w:rPr>
  </w:style>
  <w:style w:type="paragraph" w:styleId="Ttulo9">
    <w:name w:val="heading 9"/>
    <w:basedOn w:val="Normal"/>
    <w:next w:val="Normal"/>
    <w:qFormat/>
    <w:rsid w:val="00DC58F4"/>
    <w:pPr>
      <w:keepNext/>
      <w:spacing w:before="100" w:beforeAutospacing="1" w:after="100" w:afterAutospacing="1"/>
      <w:ind w:right="-143"/>
      <w:outlineLvl w:val="8"/>
    </w:pPr>
    <w:rPr>
      <w:rFonts w:ascii="Arial" w:hAnsi="Arial" w:cs="Arial"/>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uiPriority w:val="99"/>
    <w:rsid w:val="00DC58F4"/>
    <w:pPr>
      <w:tabs>
        <w:tab w:val="left" w:pos="0"/>
      </w:tabs>
      <w:spacing w:line="312" w:lineRule="auto"/>
      <w:ind w:left="705" w:right="-142"/>
      <w:jc w:val="both"/>
    </w:pPr>
    <w:rPr>
      <w:rFonts w:ascii="Arial" w:hAnsi="Arial"/>
      <w:bCs/>
      <w:sz w:val="20"/>
      <w:szCs w:val="20"/>
    </w:rPr>
  </w:style>
  <w:style w:type="paragraph" w:styleId="Cabealho">
    <w:name w:val="header"/>
    <w:basedOn w:val="Normal"/>
    <w:link w:val="CabealhoChar"/>
    <w:uiPriority w:val="99"/>
    <w:rsid w:val="00DC58F4"/>
    <w:pPr>
      <w:tabs>
        <w:tab w:val="center" w:pos="4419"/>
        <w:tab w:val="right" w:pos="8838"/>
      </w:tabs>
    </w:pPr>
    <w:rPr>
      <w:sz w:val="20"/>
      <w:szCs w:val="20"/>
    </w:rPr>
  </w:style>
  <w:style w:type="paragraph" w:styleId="Corpodetexto">
    <w:name w:val="Body Text"/>
    <w:basedOn w:val="Normal"/>
    <w:rsid w:val="00DC58F4"/>
    <w:pPr>
      <w:spacing w:line="312" w:lineRule="auto"/>
      <w:ind w:right="-142"/>
      <w:jc w:val="both"/>
    </w:pPr>
    <w:rPr>
      <w:rFonts w:ascii="Arial" w:hAnsi="Arial" w:cs="Arial"/>
      <w:sz w:val="20"/>
    </w:rPr>
  </w:style>
  <w:style w:type="paragraph" w:styleId="Rodap">
    <w:name w:val="footer"/>
    <w:basedOn w:val="Normal"/>
    <w:link w:val="RodapChar"/>
    <w:uiPriority w:val="99"/>
    <w:rsid w:val="00DC58F4"/>
    <w:pPr>
      <w:tabs>
        <w:tab w:val="center" w:pos="4419"/>
        <w:tab w:val="right" w:pos="8838"/>
      </w:tabs>
    </w:pPr>
    <w:rPr>
      <w:lang w:val="x-none" w:eastAsia="x-none"/>
    </w:rPr>
  </w:style>
  <w:style w:type="character" w:styleId="Nmerodepgina">
    <w:name w:val="page number"/>
    <w:basedOn w:val="Fontepargpadro"/>
    <w:rsid w:val="00DC58F4"/>
  </w:style>
  <w:style w:type="paragraph" w:customStyle="1" w:styleId="-PGINA-">
    <w:name w:val="- PÁGINA -"/>
    <w:rsid w:val="00DC58F4"/>
    <w:rPr>
      <w:sz w:val="24"/>
      <w:szCs w:val="24"/>
    </w:rPr>
  </w:style>
  <w:style w:type="paragraph" w:styleId="Ttulo">
    <w:name w:val="Title"/>
    <w:basedOn w:val="Normal"/>
    <w:qFormat/>
    <w:rsid w:val="00DC58F4"/>
    <w:pPr>
      <w:jc w:val="center"/>
    </w:pPr>
    <w:rPr>
      <w:rFonts w:ascii="Arial" w:hAnsi="Arial"/>
      <w:b/>
      <w:i/>
      <w:sz w:val="16"/>
      <w:szCs w:val="20"/>
    </w:rPr>
  </w:style>
  <w:style w:type="paragraph" w:styleId="Corpodetexto2">
    <w:name w:val="Body Text 2"/>
    <w:basedOn w:val="Normal"/>
    <w:rsid w:val="00DC58F4"/>
    <w:pPr>
      <w:spacing w:before="60"/>
      <w:jc w:val="both"/>
    </w:pPr>
    <w:rPr>
      <w:rFonts w:ascii="Arial" w:hAnsi="Arial" w:cs="Arial"/>
      <w:sz w:val="20"/>
    </w:rPr>
  </w:style>
  <w:style w:type="paragraph" w:styleId="Corpodetexto3">
    <w:name w:val="Body Text 3"/>
    <w:basedOn w:val="Normal"/>
    <w:rsid w:val="00DC58F4"/>
    <w:pPr>
      <w:jc w:val="right"/>
    </w:pPr>
    <w:rPr>
      <w:rFonts w:ascii="Arial" w:hAnsi="Arial" w:cs="Arial"/>
      <w:sz w:val="20"/>
    </w:rPr>
  </w:style>
  <w:style w:type="paragraph" w:styleId="Recuodecorpodetexto">
    <w:name w:val="Body Text Indent"/>
    <w:basedOn w:val="Normal"/>
    <w:rsid w:val="00AA7812"/>
    <w:pPr>
      <w:spacing w:after="120"/>
      <w:ind w:left="283"/>
    </w:pPr>
  </w:style>
  <w:style w:type="paragraph" w:styleId="Recuodecorpodetexto2">
    <w:name w:val="Body Text Indent 2"/>
    <w:basedOn w:val="Normal"/>
    <w:rsid w:val="00AA7812"/>
    <w:pPr>
      <w:spacing w:after="120" w:line="480" w:lineRule="auto"/>
      <w:ind w:left="283"/>
    </w:pPr>
    <w:rPr>
      <w:rFonts w:ascii="Arial" w:hAnsi="Arial"/>
    </w:rPr>
  </w:style>
  <w:style w:type="paragraph" w:styleId="Recuodecorpodetexto3">
    <w:name w:val="Body Text Indent 3"/>
    <w:basedOn w:val="Normal"/>
    <w:rsid w:val="00AA7812"/>
    <w:pPr>
      <w:spacing w:after="120"/>
      <w:ind w:left="283"/>
    </w:pPr>
    <w:rPr>
      <w:rFonts w:ascii="Arial" w:hAnsi="Arial"/>
      <w:sz w:val="16"/>
      <w:szCs w:val="16"/>
    </w:rPr>
  </w:style>
  <w:style w:type="table" w:styleId="Tabelacomgrade">
    <w:name w:val="Table Grid"/>
    <w:basedOn w:val="Tabelanormal"/>
    <w:uiPriority w:val="39"/>
    <w:rsid w:val="002A2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A43977"/>
    <w:rPr>
      <w:rFonts w:ascii="Tahoma" w:hAnsi="Tahoma" w:cs="Tahoma"/>
      <w:sz w:val="16"/>
      <w:szCs w:val="16"/>
    </w:rPr>
  </w:style>
  <w:style w:type="paragraph" w:styleId="NormalWeb">
    <w:name w:val="Normal (Web)"/>
    <w:basedOn w:val="Normal"/>
    <w:uiPriority w:val="99"/>
    <w:unhideWhenUsed/>
    <w:rsid w:val="004C6E14"/>
    <w:pPr>
      <w:spacing w:before="100" w:beforeAutospacing="1" w:after="100" w:afterAutospacing="1"/>
    </w:pPr>
  </w:style>
  <w:style w:type="character" w:customStyle="1" w:styleId="RodapChar">
    <w:name w:val="Rodapé Char"/>
    <w:link w:val="Rodap"/>
    <w:uiPriority w:val="99"/>
    <w:rsid w:val="00910D8F"/>
    <w:rPr>
      <w:sz w:val="24"/>
      <w:szCs w:val="24"/>
    </w:rPr>
  </w:style>
  <w:style w:type="character" w:customStyle="1" w:styleId="CabealhoChar">
    <w:name w:val="Cabeçalho Char"/>
    <w:link w:val="Cabealho"/>
    <w:uiPriority w:val="99"/>
    <w:rsid w:val="00910D8F"/>
  </w:style>
  <w:style w:type="paragraph" w:styleId="PargrafodaLista">
    <w:name w:val="List Paragraph"/>
    <w:aliases w:val="Título Médio"/>
    <w:basedOn w:val="Normal"/>
    <w:link w:val="PargrafodaListaChar"/>
    <w:uiPriority w:val="34"/>
    <w:qFormat/>
    <w:rsid w:val="00377FE8"/>
    <w:pPr>
      <w:ind w:left="708"/>
    </w:pPr>
  </w:style>
  <w:style w:type="character" w:styleId="Forte">
    <w:name w:val="Strong"/>
    <w:uiPriority w:val="22"/>
    <w:qFormat/>
    <w:rsid w:val="003772E3"/>
    <w:rPr>
      <w:b/>
      <w:bCs/>
    </w:rPr>
  </w:style>
  <w:style w:type="table" w:styleId="Tabelacomgrade1">
    <w:name w:val="Table Grid 1"/>
    <w:basedOn w:val="Tabelanormal"/>
    <w:rsid w:val="005D73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rio">
    <w:name w:val="annotation reference"/>
    <w:rsid w:val="007C3C80"/>
    <w:rPr>
      <w:sz w:val="16"/>
      <w:szCs w:val="16"/>
    </w:rPr>
  </w:style>
  <w:style w:type="paragraph" w:styleId="Textodecomentrio">
    <w:name w:val="annotation text"/>
    <w:basedOn w:val="Normal"/>
    <w:link w:val="TextodecomentrioChar"/>
    <w:rsid w:val="007C3C80"/>
    <w:rPr>
      <w:sz w:val="20"/>
      <w:szCs w:val="20"/>
    </w:rPr>
  </w:style>
  <w:style w:type="character" w:customStyle="1" w:styleId="TextodecomentrioChar">
    <w:name w:val="Texto de comentário Char"/>
    <w:basedOn w:val="Fontepargpadro"/>
    <w:link w:val="Textodecomentrio"/>
    <w:rsid w:val="007C3C80"/>
  </w:style>
  <w:style w:type="paragraph" w:styleId="Assuntodocomentrio">
    <w:name w:val="annotation subject"/>
    <w:basedOn w:val="Textodecomentrio"/>
    <w:next w:val="Textodecomentrio"/>
    <w:link w:val="AssuntodocomentrioChar"/>
    <w:rsid w:val="007C3C80"/>
    <w:rPr>
      <w:b/>
      <w:bCs/>
      <w:lang w:val="x-none" w:eastAsia="x-none"/>
    </w:rPr>
  </w:style>
  <w:style w:type="character" w:customStyle="1" w:styleId="AssuntodocomentrioChar">
    <w:name w:val="Assunto do comentário Char"/>
    <w:link w:val="Assuntodocomentrio"/>
    <w:rsid w:val="007C3C80"/>
    <w:rPr>
      <w:b/>
      <w:bCs/>
    </w:rPr>
  </w:style>
  <w:style w:type="table" w:styleId="Tabelacomgrade2">
    <w:name w:val="Table Grid 2"/>
    <w:basedOn w:val="Tabelanormal"/>
    <w:rsid w:val="004D317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Reviso">
    <w:name w:val="Revision"/>
    <w:hidden/>
    <w:uiPriority w:val="99"/>
    <w:semiHidden/>
    <w:rsid w:val="00296D1E"/>
    <w:rPr>
      <w:sz w:val="24"/>
      <w:szCs w:val="24"/>
    </w:rPr>
  </w:style>
  <w:style w:type="paragraph" w:customStyle="1" w:styleId="full">
    <w:name w:val="full"/>
    <w:basedOn w:val="Normal"/>
    <w:rsid w:val="0049122B"/>
    <w:pPr>
      <w:spacing w:before="100" w:beforeAutospacing="1" w:after="100" w:afterAutospacing="1"/>
    </w:pPr>
  </w:style>
  <w:style w:type="paragraph" w:customStyle="1" w:styleId="Default">
    <w:name w:val="Default"/>
    <w:rsid w:val="00A03EC9"/>
    <w:pPr>
      <w:autoSpaceDE w:val="0"/>
      <w:autoSpaceDN w:val="0"/>
      <w:adjustRightInd w:val="0"/>
    </w:pPr>
    <w:rPr>
      <w:rFonts w:ascii="Verdana" w:hAnsi="Verdana" w:cs="Verdana"/>
      <w:color w:val="000000"/>
      <w:sz w:val="24"/>
      <w:szCs w:val="24"/>
    </w:rPr>
  </w:style>
  <w:style w:type="character" w:customStyle="1" w:styleId="PargrafodaListaChar">
    <w:name w:val="Parágrafo da Lista Char"/>
    <w:aliases w:val="Título Médio Char"/>
    <w:link w:val="PargrafodaLista"/>
    <w:uiPriority w:val="34"/>
    <w:rsid w:val="00CC7FB2"/>
    <w:rPr>
      <w:sz w:val="24"/>
      <w:szCs w:val="24"/>
    </w:rPr>
  </w:style>
  <w:style w:type="paragraph" w:customStyle="1" w:styleId="textojustificadorecuoprimeiralinha">
    <w:name w:val="texto_justificado_recuo_primeira_linha"/>
    <w:basedOn w:val="Normal"/>
    <w:rsid w:val="00B7580D"/>
    <w:pPr>
      <w:spacing w:before="100" w:beforeAutospacing="1" w:after="100" w:afterAutospacing="1"/>
    </w:pPr>
  </w:style>
  <w:style w:type="paragraph" w:customStyle="1" w:styleId="paragrafonumeradonivel3">
    <w:name w:val="paragrafo_numerado_nivel3"/>
    <w:basedOn w:val="Normal"/>
    <w:rsid w:val="00337667"/>
    <w:pPr>
      <w:spacing w:before="100" w:beforeAutospacing="1" w:after="100" w:afterAutospacing="1"/>
    </w:pPr>
  </w:style>
  <w:style w:type="character" w:styleId="nfase">
    <w:name w:val="Emphasis"/>
    <w:uiPriority w:val="20"/>
    <w:qFormat/>
    <w:rsid w:val="00337667"/>
    <w:rPr>
      <w:i/>
      <w:iCs/>
    </w:rPr>
  </w:style>
  <w:style w:type="paragraph" w:customStyle="1" w:styleId="paragrafonumeradonivel1">
    <w:name w:val="paragrafo_numerado_nivel1"/>
    <w:basedOn w:val="Normal"/>
    <w:rsid w:val="005D7B2E"/>
    <w:pPr>
      <w:spacing w:before="100" w:beforeAutospacing="1" w:after="100" w:afterAutospacing="1"/>
    </w:pPr>
  </w:style>
  <w:style w:type="paragraph" w:customStyle="1" w:styleId="Pa0">
    <w:name w:val="Pa0"/>
    <w:basedOn w:val="Normal"/>
    <w:next w:val="Normal"/>
    <w:uiPriority w:val="99"/>
    <w:rsid w:val="00F75286"/>
    <w:pPr>
      <w:autoSpaceDE w:val="0"/>
      <w:autoSpaceDN w:val="0"/>
      <w:adjustRightInd w:val="0"/>
      <w:spacing w:line="241" w:lineRule="atLeast"/>
      <w:jc w:val="both"/>
    </w:pPr>
    <w:rPr>
      <w:rFonts w:ascii="Gotham Light" w:eastAsia="Calibri" w:hAnsi="Gotham Light"/>
      <w:lang w:eastAsia="en-US"/>
    </w:rPr>
  </w:style>
  <w:style w:type="paragraph" w:customStyle="1" w:styleId="itemnivel2">
    <w:name w:val="item_nivel2"/>
    <w:basedOn w:val="Normal"/>
    <w:rsid w:val="00114E9F"/>
    <w:pPr>
      <w:spacing w:before="100" w:beforeAutospacing="1" w:after="100" w:afterAutospacing="1"/>
    </w:pPr>
  </w:style>
  <w:style w:type="paragraph" w:customStyle="1" w:styleId="itemincisoromano">
    <w:name w:val="item_inciso_romano"/>
    <w:basedOn w:val="Normal"/>
    <w:rsid w:val="00114E9F"/>
    <w:pPr>
      <w:spacing w:before="100" w:beforeAutospacing="1" w:after="100" w:afterAutospacing="1"/>
    </w:pPr>
  </w:style>
  <w:style w:type="paragraph" w:customStyle="1" w:styleId="tabelatextoalinhadoesquerda">
    <w:name w:val="tabela_texto_alinhado_esquerda"/>
    <w:basedOn w:val="Normal"/>
    <w:rsid w:val="00114E9F"/>
    <w:pPr>
      <w:spacing w:before="100" w:beforeAutospacing="1" w:after="100" w:afterAutospacing="1"/>
    </w:pPr>
  </w:style>
  <w:style w:type="character" w:styleId="Hyperlink">
    <w:name w:val="Hyperlink"/>
    <w:uiPriority w:val="99"/>
    <w:unhideWhenUsed/>
    <w:rsid w:val="00F91905"/>
    <w:rPr>
      <w:color w:val="0000FF"/>
      <w:u w:val="single"/>
    </w:rPr>
  </w:style>
  <w:style w:type="paragraph" w:customStyle="1" w:styleId="textoalinhadoesquerda">
    <w:name w:val="texto_alinhado_esquerda"/>
    <w:basedOn w:val="Normal"/>
    <w:rsid w:val="00F91905"/>
    <w:pPr>
      <w:spacing w:before="100" w:beforeAutospacing="1" w:after="100" w:afterAutospacing="1"/>
    </w:pPr>
  </w:style>
  <w:style w:type="character" w:customStyle="1" w:styleId="TextodebaloChar">
    <w:name w:val="Texto de balão Char"/>
    <w:basedOn w:val="Fontepargpadro"/>
    <w:link w:val="Textodebalo"/>
    <w:uiPriority w:val="99"/>
    <w:semiHidden/>
    <w:rsid w:val="00272EEE"/>
    <w:rPr>
      <w:rFonts w:ascii="Tahoma" w:hAnsi="Tahoma" w:cs="Tahoma"/>
      <w:sz w:val="16"/>
      <w:szCs w:val="16"/>
    </w:rPr>
  </w:style>
  <w:style w:type="paragraph" w:customStyle="1" w:styleId="citacao">
    <w:name w:val="citacao"/>
    <w:basedOn w:val="Normal"/>
    <w:rsid w:val="00AF6050"/>
    <w:pPr>
      <w:spacing w:before="100" w:beforeAutospacing="1" w:after="100" w:afterAutospacing="1"/>
    </w:pPr>
  </w:style>
  <w:style w:type="character" w:customStyle="1" w:styleId="i0jnr">
    <w:name w:val="i0jnr"/>
    <w:basedOn w:val="Fontepargpadro"/>
    <w:rsid w:val="00AF6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778">
      <w:bodyDiv w:val="1"/>
      <w:marLeft w:val="0"/>
      <w:marRight w:val="0"/>
      <w:marTop w:val="0"/>
      <w:marBottom w:val="0"/>
      <w:divBdr>
        <w:top w:val="none" w:sz="0" w:space="0" w:color="auto"/>
        <w:left w:val="none" w:sz="0" w:space="0" w:color="auto"/>
        <w:bottom w:val="none" w:sz="0" w:space="0" w:color="auto"/>
        <w:right w:val="none" w:sz="0" w:space="0" w:color="auto"/>
      </w:divBdr>
    </w:div>
    <w:div w:id="4283694">
      <w:bodyDiv w:val="1"/>
      <w:marLeft w:val="0"/>
      <w:marRight w:val="0"/>
      <w:marTop w:val="0"/>
      <w:marBottom w:val="0"/>
      <w:divBdr>
        <w:top w:val="none" w:sz="0" w:space="0" w:color="auto"/>
        <w:left w:val="none" w:sz="0" w:space="0" w:color="auto"/>
        <w:bottom w:val="none" w:sz="0" w:space="0" w:color="auto"/>
        <w:right w:val="none" w:sz="0" w:space="0" w:color="auto"/>
      </w:divBdr>
    </w:div>
    <w:div w:id="6909315">
      <w:bodyDiv w:val="1"/>
      <w:marLeft w:val="0"/>
      <w:marRight w:val="0"/>
      <w:marTop w:val="0"/>
      <w:marBottom w:val="0"/>
      <w:divBdr>
        <w:top w:val="none" w:sz="0" w:space="0" w:color="auto"/>
        <w:left w:val="none" w:sz="0" w:space="0" w:color="auto"/>
        <w:bottom w:val="none" w:sz="0" w:space="0" w:color="auto"/>
        <w:right w:val="none" w:sz="0" w:space="0" w:color="auto"/>
      </w:divBdr>
    </w:div>
    <w:div w:id="9069859">
      <w:bodyDiv w:val="1"/>
      <w:marLeft w:val="0"/>
      <w:marRight w:val="0"/>
      <w:marTop w:val="0"/>
      <w:marBottom w:val="0"/>
      <w:divBdr>
        <w:top w:val="none" w:sz="0" w:space="0" w:color="auto"/>
        <w:left w:val="none" w:sz="0" w:space="0" w:color="auto"/>
        <w:bottom w:val="none" w:sz="0" w:space="0" w:color="auto"/>
        <w:right w:val="none" w:sz="0" w:space="0" w:color="auto"/>
      </w:divBdr>
    </w:div>
    <w:div w:id="15008068">
      <w:bodyDiv w:val="1"/>
      <w:marLeft w:val="0"/>
      <w:marRight w:val="0"/>
      <w:marTop w:val="0"/>
      <w:marBottom w:val="0"/>
      <w:divBdr>
        <w:top w:val="none" w:sz="0" w:space="0" w:color="auto"/>
        <w:left w:val="none" w:sz="0" w:space="0" w:color="auto"/>
        <w:bottom w:val="none" w:sz="0" w:space="0" w:color="auto"/>
        <w:right w:val="none" w:sz="0" w:space="0" w:color="auto"/>
      </w:divBdr>
    </w:div>
    <w:div w:id="15008259">
      <w:bodyDiv w:val="1"/>
      <w:marLeft w:val="0"/>
      <w:marRight w:val="0"/>
      <w:marTop w:val="0"/>
      <w:marBottom w:val="0"/>
      <w:divBdr>
        <w:top w:val="none" w:sz="0" w:space="0" w:color="auto"/>
        <w:left w:val="none" w:sz="0" w:space="0" w:color="auto"/>
        <w:bottom w:val="none" w:sz="0" w:space="0" w:color="auto"/>
        <w:right w:val="none" w:sz="0" w:space="0" w:color="auto"/>
      </w:divBdr>
    </w:div>
    <w:div w:id="15279478">
      <w:bodyDiv w:val="1"/>
      <w:marLeft w:val="0"/>
      <w:marRight w:val="0"/>
      <w:marTop w:val="0"/>
      <w:marBottom w:val="0"/>
      <w:divBdr>
        <w:top w:val="none" w:sz="0" w:space="0" w:color="auto"/>
        <w:left w:val="none" w:sz="0" w:space="0" w:color="auto"/>
        <w:bottom w:val="none" w:sz="0" w:space="0" w:color="auto"/>
        <w:right w:val="none" w:sz="0" w:space="0" w:color="auto"/>
      </w:divBdr>
    </w:div>
    <w:div w:id="15817100">
      <w:bodyDiv w:val="1"/>
      <w:marLeft w:val="0"/>
      <w:marRight w:val="0"/>
      <w:marTop w:val="0"/>
      <w:marBottom w:val="0"/>
      <w:divBdr>
        <w:top w:val="none" w:sz="0" w:space="0" w:color="auto"/>
        <w:left w:val="none" w:sz="0" w:space="0" w:color="auto"/>
        <w:bottom w:val="none" w:sz="0" w:space="0" w:color="auto"/>
        <w:right w:val="none" w:sz="0" w:space="0" w:color="auto"/>
      </w:divBdr>
    </w:div>
    <w:div w:id="16197002">
      <w:bodyDiv w:val="1"/>
      <w:marLeft w:val="0"/>
      <w:marRight w:val="0"/>
      <w:marTop w:val="0"/>
      <w:marBottom w:val="0"/>
      <w:divBdr>
        <w:top w:val="none" w:sz="0" w:space="0" w:color="auto"/>
        <w:left w:val="none" w:sz="0" w:space="0" w:color="auto"/>
        <w:bottom w:val="none" w:sz="0" w:space="0" w:color="auto"/>
        <w:right w:val="none" w:sz="0" w:space="0" w:color="auto"/>
      </w:divBdr>
    </w:div>
    <w:div w:id="18164600">
      <w:bodyDiv w:val="1"/>
      <w:marLeft w:val="0"/>
      <w:marRight w:val="0"/>
      <w:marTop w:val="0"/>
      <w:marBottom w:val="0"/>
      <w:divBdr>
        <w:top w:val="none" w:sz="0" w:space="0" w:color="auto"/>
        <w:left w:val="none" w:sz="0" w:space="0" w:color="auto"/>
        <w:bottom w:val="none" w:sz="0" w:space="0" w:color="auto"/>
        <w:right w:val="none" w:sz="0" w:space="0" w:color="auto"/>
      </w:divBdr>
    </w:div>
    <w:div w:id="21711347">
      <w:bodyDiv w:val="1"/>
      <w:marLeft w:val="0"/>
      <w:marRight w:val="0"/>
      <w:marTop w:val="0"/>
      <w:marBottom w:val="0"/>
      <w:divBdr>
        <w:top w:val="none" w:sz="0" w:space="0" w:color="auto"/>
        <w:left w:val="none" w:sz="0" w:space="0" w:color="auto"/>
        <w:bottom w:val="none" w:sz="0" w:space="0" w:color="auto"/>
        <w:right w:val="none" w:sz="0" w:space="0" w:color="auto"/>
      </w:divBdr>
    </w:div>
    <w:div w:id="23596824">
      <w:bodyDiv w:val="1"/>
      <w:marLeft w:val="0"/>
      <w:marRight w:val="0"/>
      <w:marTop w:val="0"/>
      <w:marBottom w:val="0"/>
      <w:divBdr>
        <w:top w:val="none" w:sz="0" w:space="0" w:color="auto"/>
        <w:left w:val="none" w:sz="0" w:space="0" w:color="auto"/>
        <w:bottom w:val="none" w:sz="0" w:space="0" w:color="auto"/>
        <w:right w:val="none" w:sz="0" w:space="0" w:color="auto"/>
      </w:divBdr>
    </w:div>
    <w:div w:id="24644205">
      <w:bodyDiv w:val="1"/>
      <w:marLeft w:val="0"/>
      <w:marRight w:val="0"/>
      <w:marTop w:val="0"/>
      <w:marBottom w:val="0"/>
      <w:divBdr>
        <w:top w:val="none" w:sz="0" w:space="0" w:color="auto"/>
        <w:left w:val="none" w:sz="0" w:space="0" w:color="auto"/>
        <w:bottom w:val="none" w:sz="0" w:space="0" w:color="auto"/>
        <w:right w:val="none" w:sz="0" w:space="0" w:color="auto"/>
      </w:divBdr>
    </w:div>
    <w:div w:id="35735907">
      <w:bodyDiv w:val="1"/>
      <w:marLeft w:val="0"/>
      <w:marRight w:val="0"/>
      <w:marTop w:val="0"/>
      <w:marBottom w:val="0"/>
      <w:divBdr>
        <w:top w:val="none" w:sz="0" w:space="0" w:color="auto"/>
        <w:left w:val="none" w:sz="0" w:space="0" w:color="auto"/>
        <w:bottom w:val="none" w:sz="0" w:space="0" w:color="auto"/>
        <w:right w:val="none" w:sz="0" w:space="0" w:color="auto"/>
      </w:divBdr>
    </w:div>
    <w:div w:id="37702384">
      <w:bodyDiv w:val="1"/>
      <w:marLeft w:val="0"/>
      <w:marRight w:val="0"/>
      <w:marTop w:val="0"/>
      <w:marBottom w:val="0"/>
      <w:divBdr>
        <w:top w:val="none" w:sz="0" w:space="0" w:color="auto"/>
        <w:left w:val="none" w:sz="0" w:space="0" w:color="auto"/>
        <w:bottom w:val="none" w:sz="0" w:space="0" w:color="auto"/>
        <w:right w:val="none" w:sz="0" w:space="0" w:color="auto"/>
      </w:divBdr>
    </w:div>
    <w:div w:id="37824912">
      <w:bodyDiv w:val="1"/>
      <w:marLeft w:val="0"/>
      <w:marRight w:val="0"/>
      <w:marTop w:val="0"/>
      <w:marBottom w:val="0"/>
      <w:divBdr>
        <w:top w:val="none" w:sz="0" w:space="0" w:color="auto"/>
        <w:left w:val="none" w:sz="0" w:space="0" w:color="auto"/>
        <w:bottom w:val="none" w:sz="0" w:space="0" w:color="auto"/>
        <w:right w:val="none" w:sz="0" w:space="0" w:color="auto"/>
      </w:divBdr>
    </w:div>
    <w:div w:id="38361789">
      <w:bodyDiv w:val="1"/>
      <w:marLeft w:val="0"/>
      <w:marRight w:val="0"/>
      <w:marTop w:val="0"/>
      <w:marBottom w:val="0"/>
      <w:divBdr>
        <w:top w:val="none" w:sz="0" w:space="0" w:color="auto"/>
        <w:left w:val="none" w:sz="0" w:space="0" w:color="auto"/>
        <w:bottom w:val="none" w:sz="0" w:space="0" w:color="auto"/>
        <w:right w:val="none" w:sz="0" w:space="0" w:color="auto"/>
      </w:divBdr>
    </w:div>
    <w:div w:id="42413398">
      <w:bodyDiv w:val="1"/>
      <w:marLeft w:val="0"/>
      <w:marRight w:val="0"/>
      <w:marTop w:val="0"/>
      <w:marBottom w:val="0"/>
      <w:divBdr>
        <w:top w:val="none" w:sz="0" w:space="0" w:color="auto"/>
        <w:left w:val="none" w:sz="0" w:space="0" w:color="auto"/>
        <w:bottom w:val="none" w:sz="0" w:space="0" w:color="auto"/>
        <w:right w:val="none" w:sz="0" w:space="0" w:color="auto"/>
      </w:divBdr>
    </w:div>
    <w:div w:id="43725322">
      <w:bodyDiv w:val="1"/>
      <w:marLeft w:val="0"/>
      <w:marRight w:val="0"/>
      <w:marTop w:val="0"/>
      <w:marBottom w:val="0"/>
      <w:divBdr>
        <w:top w:val="none" w:sz="0" w:space="0" w:color="auto"/>
        <w:left w:val="none" w:sz="0" w:space="0" w:color="auto"/>
        <w:bottom w:val="none" w:sz="0" w:space="0" w:color="auto"/>
        <w:right w:val="none" w:sz="0" w:space="0" w:color="auto"/>
      </w:divBdr>
    </w:div>
    <w:div w:id="43801783">
      <w:bodyDiv w:val="1"/>
      <w:marLeft w:val="0"/>
      <w:marRight w:val="0"/>
      <w:marTop w:val="0"/>
      <w:marBottom w:val="0"/>
      <w:divBdr>
        <w:top w:val="none" w:sz="0" w:space="0" w:color="auto"/>
        <w:left w:val="none" w:sz="0" w:space="0" w:color="auto"/>
        <w:bottom w:val="none" w:sz="0" w:space="0" w:color="auto"/>
        <w:right w:val="none" w:sz="0" w:space="0" w:color="auto"/>
      </w:divBdr>
    </w:div>
    <w:div w:id="45493811">
      <w:bodyDiv w:val="1"/>
      <w:marLeft w:val="0"/>
      <w:marRight w:val="0"/>
      <w:marTop w:val="0"/>
      <w:marBottom w:val="0"/>
      <w:divBdr>
        <w:top w:val="none" w:sz="0" w:space="0" w:color="auto"/>
        <w:left w:val="none" w:sz="0" w:space="0" w:color="auto"/>
        <w:bottom w:val="none" w:sz="0" w:space="0" w:color="auto"/>
        <w:right w:val="none" w:sz="0" w:space="0" w:color="auto"/>
      </w:divBdr>
    </w:div>
    <w:div w:id="46493597">
      <w:bodyDiv w:val="1"/>
      <w:marLeft w:val="0"/>
      <w:marRight w:val="0"/>
      <w:marTop w:val="0"/>
      <w:marBottom w:val="0"/>
      <w:divBdr>
        <w:top w:val="none" w:sz="0" w:space="0" w:color="auto"/>
        <w:left w:val="none" w:sz="0" w:space="0" w:color="auto"/>
        <w:bottom w:val="none" w:sz="0" w:space="0" w:color="auto"/>
        <w:right w:val="none" w:sz="0" w:space="0" w:color="auto"/>
      </w:divBdr>
    </w:div>
    <w:div w:id="50158611">
      <w:bodyDiv w:val="1"/>
      <w:marLeft w:val="0"/>
      <w:marRight w:val="0"/>
      <w:marTop w:val="0"/>
      <w:marBottom w:val="0"/>
      <w:divBdr>
        <w:top w:val="none" w:sz="0" w:space="0" w:color="auto"/>
        <w:left w:val="none" w:sz="0" w:space="0" w:color="auto"/>
        <w:bottom w:val="none" w:sz="0" w:space="0" w:color="auto"/>
        <w:right w:val="none" w:sz="0" w:space="0" w:color="auto"/>
      </w:divBdr>
    </w:div>
    <w:div w:id="54209687">
      <w:bodyDiv w:val="1"/>
      <w:marLeft w:val="0"/>
      <w:marRight w:val="0"/>
      <w:marTop w:val="0"/>
      <w:marBottom w:val="0"/>
      <w:divBdr>
        <w:top w:val="none" w:sz="0" w:space="0" w:color="auto"/>
        <w:left w:val="none" w:sz="0" w:space="0" w:color="auto"/>
        <w:bottom w:val="none" w:sz="0" w:space="0" w:color="auto"/>
        <w:right w:val="none" w:sz="0" w:space="0" w:color="auto"/>
      </w:divBdr>
    </w:div>
    <w:div w:id="55667847">
      <w:bodyDiv w:val="1"/>
      <w:marLeft w:val="0"/>
      <w:marRight w:val="0"/>
      <w:marTop w:val="0"/>
      <w:marBottom w:val="0"/>
      <w:divBdr>
        <w:top w:val="none" w:sz="0" w:space="0" w:color="auto"/>
        <w:left w:val="none" w:sz="0" w:space="0" w:color="auto"/>
        <w:bottom w:val="none" w:sz="0" w:space="0" w:color="auto"/>
        <w:right w:val="none" w:sz="0" w:space="0" w:color="auto"/>
      </w:divBdr>
    </w:div>
    <w:div w:id="56906339">
      <w:bodyDiv w:val="1"/>
      <w:marLeft w:val="0"/>
      <w:marRight w:val="0"/>
      <w:marTop w:val="0"/>
      <w:marBottom w:val="0"/>
      <w:divBdr>
        <w:top w:val="none" w:sz="0" w:space="0" w:color="auto"/>
        <w:left w:val="none" w:sz="0" w:space="0" w:color="auto"/>
        <w:bottom w:val="none" w:sz="0" w:space="0" w:color="auto"/>
        <w:right w:val="none" w:sz="0" w:space="0" w:color="auto"/>
      </w:divBdr>
    </w:div>
    <w:div w:id="59984088">
      <w:bodyDiv w:val="1"/>
      <w:marLeft w:val="0"/>
      <w:marRight w:val="0"/>
      <w:marTop w:val="0"/>
      <w:marBottom w:val="0"/>
      <w:divBdr>
        <w:top w:val="none" w:sz="0" w:space="0" w:color="auto"/>
        <w:left w:val="none" w:sz="0" w:space="0" w:color="auto"/>
        <w:bottom w:val="none" w:sz="0" w:space="0" w:color="auto"/>
        <w:right w:val="none" w:sz="0" w:space="0" w:color="auto"/>
      </w:divBdr>
    </w:div>
    <w:div w:id="60754224">
      <w:bodyDiv w:val="1"/>
      <w:marLeft w:val="0"/>
      <w:marRight w:val="0"/>
      <w:marTop w:val="0"/>
      <w:marBottom w:val="0"/>
      <w:divBdr>
        <w:top w:val="none" w:sz="0" w:space="0" w:color="auto"/>
        <w:left w:val="none" w:sz="0" w:space="0" w:color="auto"/>
        <w:bottom w:val="none" w:sz="0" w:space="0" w:color="auto"/>
        <w:right w:val="none" w:sz="0" w:space="0" w:color="auto"/>
      </w:divBdr>
    </w:div>
    <w:div w:id="61028545">
      <w:bodyDiv w:val="1"/>
      <w:marLeft w:val="0"/>
      <w:marRight w:val="0"/>
      <w:marTop w:val="0"/>
      <w:marBottom w:val="0"/>
      <w:divBdr>
        <w:top w:val="none" w:sz="0" w:space="0" w:color="auto"/>
        <w:left w:val="none" w:sz="0" w:space="0" w:color="auto"/>
        <w:bottom w:val="none" w:sz="0" w:space="0" w:color="auto"/>
        <w:right w:val="none" w:sz="0" w:space="0" w:color="auto"/>
      </w:divBdr>
    </w:div>
    <w:div w:id="66852842">
      <w:bodyDiv w:val="1"/>
      <w:marLeft w:val="0"/>
      <w:marRight w:val="0"/>
      <w:marTop w:val="0"/>
      <w:marBottom w:val="0"/>
      <w:divBdr>
        <w:top w:val="none" w:sz="0" w:space="0" w:color="auto"/>
        <w:left w:val="none" w:sz="0" w:space="0" w:color="auto"/>
        <w:bottom w:val="none" w:sz="0" w:space="0" w:color="auto"/>
        <w:right w:val="none" w:sz="0" w:space="0" w:color="auto"/>
      </w:divBdr>
    </w:div>
    <w:div w:id="69036995">
      <w:bodyDiv w:val="1"/>
      <w:marLeft w:val="0"/>
      <w:marRight w:val="0"/>
      <w:marTop w:val="0"/>
      <w:marBottom w:val="0"/>
      <w:divBdr>
        <w:top w:val="none" w:sz="0" w:space="0" w:color="auto"/>
        <w:left w:val="none" w:sz="0" w:space="0" w:color="auto"/>
        <w:bottom w:val="none" w:sz="0" w:space="0" w:color="auto"/>
        <w:right w:val="none" w:sz="0" w:space="0" w:color="auto"/>
      </w:divBdr>
    </w:div>
    <w:div w:id="69934741">
      <w:bodyDiv w:val="1"/>
      <w:marLeft w:val="0"/>
      <w:marRight w:val="0"/>
      <w:marTop w:val="0"/>
      <w:marBottom w:val="0"/>
      <w:divBdr>
        <w:top w:val="none" w:sz="0" w:space="0" w:color="auto"/>
        <w:left w:val="none" w:sz="0" w:space="0" w:color="auto"/>
        <w:bottom w:val="none" w:sz="0" w:space="0" w:color="auto"/>
        <w:right w:val="none" w:sz="0" w:space="0" w:color="auto"/>
      </w:divBdr>
    </w:div>
    <w:div w:id="70587782">
      <w:bodyDiv w:val="1"/>
      <w:marLeft w:val="0"/>
      <w:marRight w:val="0"/>
      <w:marTop w:val="0"/>
      <w:marBottom w:val="0"/>
      <w:divBdr>
        <w:top w:val="none" w:sz="0" w:space="0" w:color="auto"/>
        <w:left w:val="none" w:sz="0" w:space="0" w:color="auto"/>
        <w:bottom w:val="none" w:sz="0" w:space="0" w:color="auto"/>
        <w:right w:val="none" w:sz="0" w:space="0" w:color="auto"/>
      </w:divBdr>
    </w:div>
    <w:div w:id="71856878">
      <w:bodyDiv w:val="1"/>
      <w:marLeft w:val="0"/>
      <w:marRight w:val="0"/>
      <w:marTop w:val="0"/>
      <w:marBottom w:val="0"/>
      <w:divBdr>
        <w:top w:val="none" w:sz="0" w:space="0" w:color="auto"/>
        <w:left w:val="none" w:sz="0" w:space="0" w:color="auto"/>
        <w:bottom w:val="none" w:sz="0" w:space="0" w:color="auto"/>
        <w:right w:val="none" w:sz="0" w:space="0" w:color="auto"/>
      </w:divBdr>
    </w:div>
    <w:div w:id="76829017">
      <w:bodyDiv w:val="1"/>
      <w:marLeft w:val="0"/>
      <w:marRight w:val="0"/>
      <w:marTop w:val="0"/>
      <w:marBottom w:val="0"/>
      <w:divBdr>
        <w:top w:val="none" w:sz="0" w:space="0" w:color="auto"/>
        <w:left w:val="none" w:sz="0" w:space="0" w:color="auto"/>
        <w:bottom w:val="none" w:sz="0" w:space="0" w:color="auto"/>
        <w:right w:val="none" w:sz="0" w:space="0" w:color="auto"/>
      </w:divBdr>
    </w:div>
    <w:div w:id="77757200">
      <w:bodyDiv w:val="1"/>
      <w:marLeft w:val="0"/>
      <w:marRight w:val="0"/>
      <w:marTop w:val="0"/>
      <w:marBottom w:val="0"/>
      <w:divBdr>
        <w:top w:val="none" w:sz="0" w:space="0" w:color="auto"/>
        <w:left w:val="none" w:sz="0" w:space="0" w:color="auto"/>
        <w:bottom w:val="none" w:sz="0" w:space="0" w:color="auto"/>
        <w:right w:val="none" w:sz="0" w:space="0" w:color="auto"/>
      </w:divBdr>
    </w:div>
    <w:div w:id="78135860">
      <w:bodyDiv w:val="1"/>
      <w:marLeft w:val="0"/>
      <w:marRight w:val="0"/>
      <w:marTop w:val="0"/>
      <w:marBottom w:val="0"/>
      <w:divBdr>
        <w:top w:val="none" w:sz="0" w:space="0" w:color="auto"/>
        <w:left w:val="none" w:sz="0" w:space="0" w:color="auto"/>
        <w:bottom w:val="none" w:sz="0" w:space="0" w:color="auto"/>
        <w:right w:val="none" w:sz="0" w:space="0" w:color="auto"/>
      </w:divBdr>
    </w:div>
    <w:div w:id="80955644">
      <w:bodyDiv w:val="1"/>
      <w:marLeft w:val="0"/>
      <w:marRight w:val="0"/>
      <w:marTop w:val="0"/>
      <w:marBottom w:val="0"/>
      <w:divBdr>
        <w:top w:val="none" w:sz="0" w:space="0" w:color="auto"/>
        <w:left w:val="none" w:sz="0" w:space="0" w:color="auto"/>
        <w:bottom w:val="none" w:sz="0" w:space="0" w:color="auto"/>
        <w:right w:val="none" w:sz="0" w:space="0" w:color="auto"/>
      </w:divBdr>
    </w:div>
    <w:div w:id="84305717">
      <w:bodyDiv w:val="1"/>
      <w:marLeft w:val="0"/>
      <w:marRight w:val="0"/>
      <w:marTop w:val="0"/>
      <w:marBottom w:val="0"/>
      <w:divBdr>
        <w:top w:val="none" w:sz="0" w:space="0" w:color="auto"/>
        <w:left w:val="none" w:sz="0" w:space="0" w:color="auto"/>
        <w:bottom w:val="none" w:sz="0" w:space="0" w:color="auto"/>
        <w:right w:val="none" w:sz="0" w:space="0" w:color="auto"/>
      </w:divBdr>
    </w:div>
    <w:div w:id="85225327">
      <w:bodyDiv w:val="1"/>
      <w:marLeft w:val="0"/>
      <w:marRight w:val="0"/>
      <w:marTop w:val="0"/>
      <w:marBottom w:val="0"/>
      <w:divBdr>
        <w:top w:val="none" w:sz="0" w:space="0" w:color="auto"/>
        <w:left w:val="none" w:sz="0" w:space="0" w:color="auto"/>
        <w:bottom w:val="none" w:sz="0" w:space="0" w:color="auto"/>
        <w:right w:val="none" w:sz="0" w:space="0" w:color="auto"/>
      </w:divBdr>
    </w:div>
    <w:div w:id="87311751">
      <w:bodyDiv w:val="1"/>
      <w:marLeft w:val="0"/>
      <w:marRight w:val="0"/>
      <w:marTop w:val="0"/>
      <w:marBottom w:val="0"/>
      <w:divBdr>
        <w:top w:val="none" w:sz="0" w:space="0" w:color="auto"/>
        <w:left w:val="none" w:sz="0" w:space="0" w:color="auto"/>
        <w:bottom w:val="none" w:sz="0" w:space="0" w:color="auto"/>
        <w:right w:val="none" w:sz="0" w:space="0" w:color="auto"/>
      </w:divBdr>
    </w:div>
    <w:div w:id="89352366">
      <w:bodyDiv w:val="1"/>
      <w:marLeft w:val="0"/>
      <w:marRight w:val="0"/>
      <w:marTop w:val="0"/>
      <w:marBottom w:val="0"/>
      <w:divBdr>
        <w:top w:val="none" w:sz="0" w:space="0" w:color="auto"/>
        <w:left w:val="none" w:sz="0" w:space="0" w:color="auto"/>
        <w:bottom w:val="none" w:sz="0" w:space="0" w:color="auto"/>
        <w:right w:val="none" w:sz="0" w:space="0" w:color="auto"/>
      </w:divBdr>
    </w:div>
    <w:div w:id="92091426">
      <w:bodyDiv w:val="1"/>
      <w:marLeft w:val="0"/>
      <w:marRight w:val="0"/>
      <w:marTop w:val="0"/>
      <w:marBottom w:val="0"/>
      <w:divBdr>
        <w:top w:val="none" w:sz="0" w:space="0" w:color="auto"/>
        <w:left w:val="none" w:sz="0" w:space="0" w:color="auto"/>
        <w:bottom w:val="none" w:sz="0" w:space="0" w:color="auto"/>
        <w:right w:val="none" w:sz="0" w:space="0" w:color="auto"/>
      </w:divBdr>
    </w:div>
    <w:div w:id="96565751">
      <w:bodyDiv w:val="1"/>
      <w:marLeft w:val="0"/>
      <w:marRight w:val="0"/>
      <w:marTop w:val="0"/>
      <w:marBottom w:val="0"/>
      <w:divBdr>
        <w:top w:val="none" w:sz="0" w:space="0" w:color="auto"/>
        <w:left w:val="none" w:sz="0" w:space="0" w:color="auto"/>
        <w:bottom w:val="none" w:sz="0" w:space="0" w:color="auto"/>
        <w:right w:val="none" w:sz="0" w:space="0" w:color="auto"/>
      </w:divBdr>
    </w:div>
    <w:div w:id="99301331">
      <w:bodyDiv w:val="1"/>
      <w:marLeft w:val="0"/>
      <w:marRight w:val="0"/>
      <w:marTop w:val="0"/>
      <w:marBottom w:val="0"/>
      <w:divBdr>
        <w:top w:val="none" w:sz="0" w:space="0" w:color="auto"/>
        <w:left w:val="none" w:sz="0" w:space="0" w:color="auto"/>
        <w:bottom w:val="none" w:sz="0" w:space="0" w:color="auto"/>
        <w:right w:val="none" w:sz="0" w:space="0" w:color="auto"/>
      </w:divBdr>
    </w:div>
    <w:div w:id="104429875">
      <w:bodyDiv w:val="1"/>
      <w:marLeft w:val="0"/>
      <w:marRight w:val="0"/>
      <w:marTop w:val="0"/>
      <w:marBottom w:val="0"/>
      <w:divBdr>
        <w:top w:val="none" w:sz="0" w:space="0" w:color="auto"/>
        <w:left w:val="none" w:sz="0" w:space="0" w:color="auto"/>
        <w:bottom w:val="none" w:sz="0" w:space="0" w:color="auto"/>
        <w:right w:val="none" w:sz="0" w:space="0" w:color="auto"/>
      </w:divBdr>
    </w:div>
    <w:div w:id="106393598">
      <w:bodyDiv w:val="1"/>
      <w:marLeft w:val="0"/>
      <w:marRight w:val="0"/>
      <w:marTop w:val="0"/>
      <w:marBottom w:val="0"/>
      <w:divBdr>
        <w:top w:val="none" w:sz="0" w:space="0" w:color="auto"/>
        <w:left w:val="none" w:sz="0" w:space="0" w:color="auto"/>
        <w:bottom w:val="none" w:sz="0" w:space="0" w:color="auto"/>
        <w:right w:val="none" w:sz="0" w:space="0" w:color="auto"/>
      </w:divBdr>
    </w:div>
    <w:div w:id="107551756">
      <w:bodyDiv w:val="1"/>
      <w:marLeft w:val="0"/>
      <w:marRight w:val="0"/>
      <w:marTop w:val="0"/>
      <w:marBottom w:val="0"/>
      <w:divBdr>
        <w:top w:val="none" w:sz="0" w:space="0" w:color="auto"/>
        <w:left w:val="none" w:sz="0" w:space="0" w:color="auto"/>
        <w:bottom w:val="none" w:sz="0" w:space="0" w:color="auto"/>
        <w:right w:val="none" w:sz="0" w:space="0" w:color="auto"/>
      </w:divBdr>
    </w:div>
    <w:div w:id="110706772">
      <w:bodyDiv w:val="1"/>
      <w:marLeft w:val="0"/>
      <w:marRight w:val="0"/>
      <w:marTop w:val="0"/>
      <w:marBottom w:val="0"/>
      <w:divBdr>
        <w:top w:val="none" w:sz="0" w:space="0" w:color="auto"/>
        <w:left w:val="none" w:sz="0" w:space="0" w:color="auto"/>
        <w:bottom w:val="none" w:sz="0" w:space="0" w:color="auto"/>
        <w:right w:val="none" w:sz="0" w:space="0" w:color="auto"/>
      </w:divBdr>
    </w:div>
    <w:div w:id="114833042">
      <w:bodyDiv w:val="1"/>
      <w:marLeft w:val="0"/>
      <w:marRight w:val="0"/>
      <w:marTop w:val="0"/>
      <w:marBottom w:val="0"/>
      <w:divBdr>
        <w:top w:val="none" w:sz="0" w:space="0" w:color="auto"/>
        <w:left w:val="none" w:sz="0" w:space="0" w:color="auto"/>
        <w:bottom w:val="none" w:sz="0" w:space="0" w:color="auto"/>
        <w:right w:val="none" w:sz="0" w:space="0" w:color="auto"/>
      </w:divBdr>
    </w:div>
    <w:div w:id="115178995">
      <w:bodyDiv w:val="1"/>
      <w:marLeft w:val="0"/>
      <w:marRight w:val="0"/>
      <w:marTop w:val="0"/>
      <w:marBottom w:val="0"/>
      <w:divBdr>
        <w:top w:val="none" w:sz="0" w:space="0" w:color="auto"/>
        <w:left w:val="none" w:sz="0" w:space="0" w:color="auto"/>
        <w:bottom w:val="none" w:sz="0" w:space="0" w:color="auto"/>
        <w:right w:val="none" w:sz="0" w:space="0" w:color="auto"/>
      </w:divBdr>
    </w:div>
    <w:div w:id="120156841">
      <w:bodyDiv w:val="1"/>
      <w:marLeft w:val="0"/>
      <w:marRight w:val="0"/>
      <w:marTop w:val="0"/>
      <w:marBottom w:val="0"/>
      <w:divBdr>
        <w:top w:val="none" w:sz="0" w:space="0" w:color="auto"/>
        <w:left w:val="none" w:sz="0" w:space="0" w:color="auto"/>
        <w:bottom w:val="none" w:sz="0" w:space="0" w:color="auto"/>
        <w:right w:val="none" w:sz="0" w:space="0" w:color="auto"/>
      </w:divBdr>
    </w:div>
    <w:div w:id="121655441">
      <w:bodyDiv w:val="1"/>
      <w:marLeft w:val="0"/>
      <w:marRight w:val="0"/>
      <w:marTop w:val="0"/>
      <w:marBottom w:val="0"/>
      <w:divBdr>
        <w:top w:val="none" w:sz="0" w:space="0" w:color="auto"/>
        <w:left w:val="none" w:sz="0" w:space="0" w:color="auto"/>
        <w:bottom w:val="none" w:sz="0" w:space="0" w:color="auto"/>
        <w:right w:val="none" w:sz="0" w:space="0" w:color="auto"/>
      </w:divBdr>
    </w:div>
    <w:div w:id="123619131">
      <w:bodyDiv w:val="1"/>
      <w:marLeft w:val="0"/>
      <w:marRight w:val="0"/>
      <w:marTop w:val="0"/>
      <w:marBottom w:val="0"/>
      <w:divBdr>
        <w:top w:val="none" w:sz="0" w:space="0" w:color="auto"/>
        <w:left w:val="none" w:sz="0" w:space="0" w:color="auto"/>
        <w:bottom w:val="none" w:sz="0" w:space="0" w:color="auto"/>
        <w:right w:val="none" w:sz="0" w:space="0" w:color="auto"/>
      </w:divBdr>
    </w:div>
    <w:div w:id="124087420">
      <w:bodyDiv w:val="1"/>
      <w:marLeft w:val="0"/>
      <w:marRight w:val="0"/>
      <w:marTop w:val="0"/>
      <w:marBottom w:val="0"/>
      <w:divBdr>
        <w:top w:val="none" w:sz="0" w:space="0" w:color="auto"/>
        <w:left w:val="none" w:sz="0" w:space="0" w:color="auto"/>
        <w:bottom w:val="none" w:sz="0" w:space="0" w:color="auto"/>
        <w:right w:val="none" w:sz="0" w:space="0" w:color="auto"/>
      </w:divBdr>
    </w:div>
    <w:div w:id="128403254">
      <w:bodyDiv w:val="1"/>
      <w:marLeft w:val="0"/>
      <w:marRight w:val="0"/>
      <w:marTop w:val="0"/>
      <w:marBottom w:val="0"/>
      <w:divBdr>
        <w:top w:val="none" w:sz="0" w:space="0" w:color="auto"/>
        <w:left w:val="none" w:sz="0" w:space="0" w:color="auto"/>
        <w:bottom w:val="none" w:sz="0" w:space="0" w:color="auto"/>
        <w:right w:val="none" w:sz="0" w:space="0" w:color="auto"/>
      </w:divBdr>
    </w:div>
    <w:div w:id="131411280">
      <w:bodyDiv w:val="1"/>
      <w:marLeft w:val="0"/>
      <w:marRight w:val="0"/>
      <w:marTop w:val="0"/>
      <w:marBottom w:val="0"/>
      <w:divBdr>
        <w:top w:val="none" w:sz="0" w:space="0" w:color="auto"/>
        <w:left w:val="none" w:sz="0" w:space="0" w:color="auto"/>
        <w:bottom w:val="none" w:sz="0" w:space="0" w:color="auto"/>
        <w:right w:val="none" w:sz="0" w:space="0" w:color="auto"/>
      </w:divBdr>
    </w:div>
    <w:div w:id="131557522">
      <w:bodyDiv w:val="1"/>
      <w:marLeft w:val="0"/>
      <w:marRight w:val="0"/>
      <w:marTop w:val="0"/>
      <w:marBottom w:val="0"/>
      <w:divBdr>
        <w:top w:val="none" w:sz="0" w:space="0" w:color="auto"/>
        <w:left w:val="none" w:sz="0" w:space="0" w:color="auto"/>
        <w:bottom w:val="none" w:sz="0" w:space="0" w:color="auto"/>
        <w:right w:val="none" w:sz="0" w:space="0" w:color="auto"/>
      </w:divBdr>
    </w:div>
    <w:div w:id="132211917">
      <w:bodyDiv w:val="1"/>
      <w:marLeft w:val="0"/>
      <w:marRight w:val="0"/>
      <w:marTop w:val="0"/>
      <w:marBottom w:val="0"/>
      <w:divBdr>
        <w:top w:val="none" w:sz="0" w:space="0" w:color="auto"/>
        <w:left w:val="none" w:sz="0" w:space="0" w:color="auto"/>
        <w:bottom w:val="none" w:sz="0" w:space="0" w:color="auto"/>
        <w:right w:val="none" w:sz="0" w:space="0" w:color="auto"/>
      </w:divBdr>
    </w:div>
    <w:div w:id="132719323">
      <w:bodyDiv w:val="1"/>
      <w:marLeft w:val="0"/>
      <w:marRight w:val="0"/>
      <w:marTop w:val="0"/>
      <w:marBottom w:val="0"/>
      <w:divBdr>
        <w:top w:val="none" w:sz="0" w:space="0" w:color="auto"/>
        <w:left w:val="none" w:sz="0" w:space="0" w:color="auto"/>
        <w:bottom w:val="none" w:sz="0" w:space="0" w:color="auto"/>
        <w:right w:val="none" w:sz="0" w:space="0" w:color="auto"/>
      </w:divBdr>
    </w:div>
    <w:div w:id="133834575">
      <w:bodyDiv w:val="1"/>
      <w:marLeft w:val="0"/>
      <w:marRight w:val="0"/>
      <w:marTop w:val="0"/>
      <w:marBottom w:val="0"/>
      <w:divBdr>
        <w:top w:val="none" w:sz="0" w:space="0" w:color="auto"/>
        <w:left w:val="none" w:sz="0" w:space="0" w:color="auto"/>
        <w:bottom w:val="none" w:sz="0" w:space="0" w:color="auto"/>
        <w:right w:val="none" w:sz="0" w:space="0" w:color="auto"/>
      </w:divBdr>
    </w:div>
    <w:div w:id="139612156">
      <w:bodyDiv w:val="1"/>
      <w:marLeft w:val="0"/>
      <w:marRight w:val="0"/>
      <w:marTop w:val="0"/>
      <w:marBottom w:val="0"/>
      <w:divBdr>
        <w:top w:val="none" w:sz="0" w:space="0" w:color="auto"/>
        <w:left w:val="none" w:sz="0" w:space="0" w:color="auto"/>
        <w:bottom w:val="none" w:sz="0" w:space="0" w:color="auto"/>
        <w:right w:val="none" w:sz="0" w:space="0" w:color="auto"/>
      </w:divBdr>
    </w:div>
    <w:div w:id="142893239">
      <w:bodyDiv w:val="1"/>
      <w:marLeft w:val="0"/>
      <w:marRight w:val="0"/>
      <w:marTop w:val="0"/>
      <w:marBottom w:val="0"/>
      <w:divBdr>
        <w:top w:val="none" w:sz="0" w:space="0" w:color="auto"/>
        <w:left w:val="none" w:sz="0" w:space="0" w:color="auto"/>
        <w:bottom w:val="none" w:sz="0" w:space="0" w:color="auto"/>
        <w:right w:val="none" w:sz="0" w:space="0" w:color="auto"/>
      </w:divBdr>
    </w:div>
    <w:div w:id="155389918">
      <w:bodyDiv w:val="1"/>
      <w:marLeft w:val="0"/>
      <w:marRight w:val="0"/>
      <w:marTop w:val="0"/>
      <w:marBottom w:val="0"/>
      <w:divBdr>
        <w:top w:val="none" w:sz="0" w:space="0" w:color="auto"/>
        <w:left w:val="none" w:sz="0" w:space="0" w:color="auto"/>
        <w:bottom w:val="none" w:sz="0" w:space="0" w:color="auto"/>
        <w:right w:val="none" w:sz="0" w:space="0" w:color="auto"/>
      </w:divBdr>
    </w:div>
    <w:div w:id="156043675">
      <w:bodyDiv w:val="1"/>
      <w:marLeft w:val="0"/>
      <w:marRight w:val="0"/>
      <w:marTop w:val="0"/>
      <w:marBottom w:val="0"/>
      <w:divBdr>
        <w:top w:val="none" w:sz="0" w:space="0" w:color="auto"/>
        <w:left w:val="none" w:sz="0" w:space="0" w:color="auto"/>
        <w:bottom w:val="none" w:sz="0" w:space="0" w:color="auto"/>
        <w:right w:val="none" w:sz="0" w:space="0" w:color="auto"/>
      </w:divBdr>
    </w:div>
    <w:div w:id="159152523">
      <w:bodyDiv w:val="1"/>
      <w:marLeft w:val="0"/>
      <w:marRight w:val="0"/>
      <w:marTop w:val="0"/>
      <w:marBottom w:val="0"/>
      <w:divBdr>
        <w:top w:val="none" w:sz="0" w:space="0" w:color="auto"/>
        <w:left w:val="none" w:sz="0" w:space="0" w:color="auto"/>
        <w:bottom w:val="none" w:sz="0" w:space="0" w:color="auto"/>
        <w:right w:val="none" w:sz="0" w:space="0" w:color="auto"/>
      </w:divBdr>
    </w:div>
    <w:div w:id="159735202">
      <w:bodyDiv w:val="1"/>
      <w:marLeft w:val="0"/>
      <w:marRight w:val="0"/>
      <w:marTop w:val="0"/>
      <w:marBottom w:val="0"/>
      <w:divBdr>
        <w:top w:val="none" w:sz="0" w:space="0" w:color="auto"/>
        <w:left w:val="none" w:sz="0" w:space="0" w:color="auto"/>
        <w:bottom w:val="none" w:sz="0" w:space="0" w:color="auto"/>
        <w:right w:val="none" w:sz="0" w:space="0" w:color="auto"/>
      </w:divBdr>
    </w:div>
    <w:div w:id="160507668">
      <w:bodyDiv w:val="1"/>
      <w:marLeft w:val="0"/>
      <w:marRight w:val="0"/>
      <w:marTop w:val="0"/>
      <w:marBottom w:val="0"/>
      <w:divBdr>
        <w:top w:val="none" w:sz="0" w:space="0" w:color="auto"/>
        <w:left w:val="none" w:sz="0" w:space="0" w:color="auto"/>
        <w:bottom w:val="none" w:sz="0" w:space="0" w:color="auto"/>
        <w:right w:val="none" w:sz="0" w:space="0" w:color="auto"/>
      </w:divBdr>
    </w:div>
    <w:div w:id="171339332">
      <w:bodyDiv w:val="1"/>
      <w:marLeft w:val="0"/>
      <w:marRight w:val="0"/>
      <w:marTop w:val="0"/>
      <w:marBottom w:val="0"/>
      <w:divBdr>
        <w:top w:val="none" w:sz="0" w:space="0" w:color="auto"/>
        <w:left w:val="none" w:sz="0" w:space="0" w:color="auto"/>
        <w:bottom w:val="none" w:sz="0" w:space="0" w:color="auto"/>
        <w:right w:val="none" w:sz="0" w:space="0" w:color="auto"/>
      </w:divBdr>
    </w:div>
    <w:div w:id="173499311">
      <w:bodyDiv w:val="1"/>
      <w:marLeft w:val="0"/>
      <w:marRight w:val="0"/>
      <w:marTop w:val="0"/>
      <w:marBottom w:val="0"/>
      <w:divBdr>
        <w:top w:val="none" w:sz="0" w:space="0" w:color="auto"/>
        <w:left w:val="none" w:sz="0" w:space="0" w:color="auto"/>
        <w:bottom w:val="none" w:sz="0" w:space="0" w:color="auto"/>
        <w:right w:val="none" w:sz="0" w:space="0" w:color="auto"/>
      </w:divBdr>
    </w:div>
    <w:div w:id="177699900">
      <w:bodyDiv w:val="1"/>
      <w:marLeft w:val="0"/>
      <w:marRight w:val="0"/>
      <w:marTop w:val="0"/>
      <w:marBottom w:val="0"/>
      <w:divBdr>
        <w:top w:val="none" w:sz="0" w:space="0" w:color="auto"/>
        <w:left w:val="none" w:sz="0" w:space="0" w:color="auto"/>
        <w:bottom w:val="none" w:sz="0" w:space="0" w:color="auto"/>
        <w:right w:val="none" w:sz="0" w:space="0" w:color="auto"/>
      </w:divBdr>
    </w:div>
    <w:div w:id="186676965">
      <w:bodyDiv w:val="1"/>
      <w:marLeft w:val="0"/>
      <w:marRight w:val="0"/>
      <w:marTop w:val="0"/>
      <w:marBottom w:val="0"/>
      <w:divBdr>
        <w:top w:val="none" w:sz="0" w:space="0" w:color="auto"/>
        <w:left w:val="none" w:sz="0" w:space="0" w:color="auto"/>
        <w:bottom w:val="none" w:sz="0" w:space="0" w:color="auto"/>
        <w:right w:val="none" w:sz="0" w:space="0" w:color="auto"/>
      </w:divBdr>
    </w:div>
    <w:div w:id="191263924">
      <w:bodyDiv w:val="1"/>
      <w:marLeft w:val="0"/>
      <w:marRight w:val="0"/>
      <w:marTop w:val="0"/>
      <w:marBottom w:val="0"/>
      <w:divBdr>
        <w:top w:val="none" w:sz="0" w:space="0" w:color="auto"/>
        <w:left w:val="none" w:sz="0" w:space="0" w:color="auto"/>
        <w:bottom w:val="none" w:sz="0" w:space="0" w:color="auto"/>
        <w:right w:val="none" w:sz="0" w:space="0" w:color="auto"/>
      </w:divBdr>
    </w:div>
    <w:div w:id="194083316">
      <w:bodyDiv w:val="1"/>
      <w:marLeft w:val="0"/>
      <w:marRight w:val="0"/>
      <w:marTop w:val="0"/>
      <w:marBottom w:val="0"/>
      <w:divBdr>
        <w:top w:val="none" w:sz="0" w:space="0" w:color="auto"/>
        <w:left w:val="none" w:sz="0" w:space="0" w:color="auto"/>
        <w:bottom w:val="none" w:sz="0" w:space="0" w:color="auto"/>
        <w:right w:val="none" w:sz="0" w:space="0" w:color="auto"/>
      </w:divBdr>
    </w:div>
    <w:div w:id="194975526">
      <w:bodyDiv w:val="1"/>
      <w:marLeft w:val="0"/>
      <w:marRight w:val="0"/>
      <w:marTop w:val="0"/>
      <w:marBottom w:val="0"/>
      <w:divBdr>
        <w:top w:val="none" w:sz="0" w:space="0" w:color="auto"/>
        <w:left w:val="none" w:sz="0" w:space="0" w:color="auto"/>
        <w:bottom w:val="none" w:sz="0" w:space="0" w:color="auto"/>
        <w:right w:val="none" w:sz="0" w:space="0" w:color="auto"/>
      </w:divBdr>
    </w:div>
    <w:div w:id="196745479">
      <w:bodyDiv w:val="1"/>
      <w:marLeft w:val="0"/>
      <w:marRight w:val="0"/>
      <w:marTop w:val="0"/>
      <w:marBottom w:val="0"/>
      <w:divBdr>
        <w:top w:val="none" w:sz="0" w:space="0" w:color="auto"/>
        <w:left w:val="none" w:sz="0" w:space="0" w:color="auto"/>
        <w:bottom w:val="none" w:sz="0" w:space="0" w:color="auto"/>
        <w:right w:val="none" w:sz="0" w:space="0" w:color="auto"/>
      </w:divBdr>
    </w:div>
    <w:div w:id="199634224">
      <w:bodyDiv w:val="1"/>
      <w:marLeft w:val="0"/>
      <w:marRight w:val="0"/>
      <w:marTop w:val="0"/>
      <w:marBottom w:val="0"/>
      <w:divBdr>
        <w:top w:val="none" w:sz="0" w:space="0" w:color="auto"/>
        <w:left w:val="none" w:sz="0" w:space="0" w:color="auto"/>
        <w:bottom w:val="none" w:sz="0" w:space="0" w:color="auto"/>
        <w:right w:val="none" w:sz="0" w:space="0" w:color="auto"/>
      </w:divBdr>
    </w:div>
    <w:div w:id="200173807">
      <w:bodyDiv w:val="1"/>
      <w:marLeft w:val="0"/>
      <w:marRight w:val="0"/>
      <w:marTop w:val="0"/>
      <w:marBottom w:val="0"/>
      <w:divBdr>
        <w:top w:val="none" w:sz="0" w:space="0" w:color="auto"/>
        <w:left w:val="none" w:sz="0" w:space="0" w:color="auto"/>
        <w:bottom w:val="none" w:sz="0" w:space="0" w:color="auto"/>
        <w:right w:val="none" w:sz="0" w:space="0" w:color="auto"/>
      </w:divBdr>
    </w:div>
    <w:div w:id="202182930">
      <w:bodyDiv w:val="1"/>
      <w:marLeft w:val="0"/>
      <w:marRight w:val="0"/>
      <w:marTop w:val="0"/>
      <w:marBottom w:val="0"/>
      <w:divBdr>
        <w:top w:val="none" w:sz="0" w:space="0" w:color="auto"/>
        <w:left w:val="none" w:sz="0" w:space="0" w:color="auto"/>
        <w:bottom w:val="none" w:sz="0" w:space="0" w:color="auto"/>
        <w:right w:val="none" w:sz="0" w:space="0" w:color="auto"/>
      </w:divBdr>
    </w:div>
    <w:div w:id="208493699">
      <w:bodyDiv w:val="1"/>
      <w:marLeft w:val="0"/>
      <w:marRight w:val="0"/>
      <w:marTop w:val="0"/>
      <w:marBottom w:val="0"/>
      <w:divBdr>
        <w:top w:val="none" w:sz="0" w:space="0" w:color="auto"/>
        <w:left w:val="none" w:sz="0" w:space="0" w:color="auto"/>
        <w:bottom w:val="none" w:sz="0" w:space="0" w:color="auto"/>
        <w:right w:val="none" w:sz="0" w:space="0" w:color="auto"/>
      </w:divBdr>
    </w:div>
    <w:div w:id="209541943">
      <w:bodyDiv w:val="1"/>
      <w:marLeft w:val="0"/>
      <w:marRight w:val="0"/>
      <w:marTop w:val="0"/>
      <w:marBottom w:val="0"/>
      <w:divBdr>
        <w:top w:val="none" w:sz="0" w:space="0" w:color="auto"/>
        <w:left w:val="none" w:sz="0" w:space="0" w:color="auto"/>
        <w:bottom w:val="none" w:sz="0" w:space="0" w:color="auto"/>
        <w:right w:val="none" w:sz="0" w:space="0" w:color="auto"/>
      </w:divBdr>
    </w:div>
    <w:div w:id="211308709">
      <w:bodyDiv w:val="1"/>
      <w:marLeft w:val="0"/>
      <w:marRight w:val="0"/>
      <w:marTop w:val="0"/>
      <w:marBottom w:val="0"/>
      <w:divBdr>
        <w:top w:val="none" w:sz="0" w:space="0" w:color="auto"/>
        <w:left w:val="none" w:sz="0" w:space="0" w:color="auto"/>
        <w:bottom w:val="none" w:sz="0" w:space="0" w:color="auto"/>
        <w:right w:val="none" w:sz="0" w:space="0" w:color="auto"/>
      </w:divBdr>
    </w:div>
    <w:div w:id="213154954">
      <w:bodyDiv w:val="1"/>
      <w:marLeft w:val="0"/>
      <w:marRight w:val="0"/>
      <w:marTop w:val="0"/>
      <w:marBottom w:val="0"/>
      <w:divBdr>
        <w:top w:val="none" w:sz="0" w:space="0" w:color="auto"/>
        <w:left w:val="none" w:sz="0" w:space="0" w:color="auto"/>
        <w:bottom w:val="none" w:sz="0" w:space="0" w:color="auto"/>
        <w:right w:val="none" w:sz="0" w:space="0" w:color="auto"/>
      </w:divBdr>
    </w:div>
    <w:div w:id="215699159">
      <w:bodyDiv w:val="1"/>
      <w:marLeft w:val="0"/>
      <w:marRight w:val="0"/>
      <w:marTop w:val="0"/>
      <w:marBottom w:val="0"/>
      <w:divBdr>
        <w:top w:val="none" w:sz="0" w:space="0" w:color="auto"/>
        <w:left w:val="none" w:sz="0" w:space="0" w:color="auto"/>
        <w:bottom w:val="none" w:sz="0" w:space="0" w:color="auto"/>
        <w:right w:val="none" w:sz="0" w:space="0" w:color="auto"/>
      </w:divBdr>
    </w:div>
    <w:div w:id="216745225">
      <w:bodyDiv w:val="1"/>
      <w:marLeft w:val="0"/>
      <w:marRight w:val="0"/>
      <w:marTop w:val="0"/>
      <w:marBottom w:val="0"/>
      <w:divBdr>
        <w:top w:val="none" w:sz="0" w:space="0" w:color="auto"/>
        <w:left w:val="none" w:sz="0" w:space="0" w:color="auto"/>
        <w:bottom w:val="none" w:sz="0" w:space="0" w:color="auto"/>
        <w:right w:val="none" w:sz="0" w:space="0" w:color="auto"/>
      </w:divBdr>
    </w:div>
    <w:div w:id="217859131">
      <w:bodyDiv w:val="1"/>
      <w:marLeft w:val="0"/>
      <w:marRight w:val="0"/>
      <w:marTop w:val="0"/>
      <w:marBottom w:val="0"/>
      <w:divBdr>
        <w:top w:val="none" w:sz="0" w:space="0" w:color="auto"/>
        <w:left w:val="none" w:sz="0" w:space="0" w:color="auto"/>
        <w:bottom w:val="none" w:sz="0" w:space="0" w:color="auto"/>
        <w:right w:val="none" w:sz="0" w:space="0" w:color="auto"/>
      </w:divBdr>
    </w:div>
    <w:div w:id="218634960">
      <w:bodyDiv w:val="1"/>
      <w:marLeft w:val="0"/>
      <w:marRight w:val="0"/>
      <w:marTop w:val="0"/>
      <w:marBottom w:val="0"/>
      <w:divBdr>
        <w:top w:val="none" w:sz="0" w:space="0" w:color="auto"/>
        <w:left w:val="none" w:sz="0" w:space="0" w:color="auto"/>
        <w:bottom w:val="none" w:sz="0" w:space="0" w:color="auto"/>
        <w:right w:val="none" w:sz="0" w:space="0" w:color="auto"/>
      </w:divBdr>
    </w:div>
    <w:div w:id="220488338">
      <w:bodyDiv w:val="1"/>
      <w:marLeft w:val="0"/>
      <w:marRight w:val="0"/>
      <w:marTop w:val="0"/>
      <w:marBottom w:val="0"/>
      <w:divBdr>
        <w:top w:val="none" w:sz="0" w:space="0" w:color="auto"/>
        <w:left w:val="none" w:sz="0" w:space="0" w:color="auto"/>
        <w:bottom w:val="none" w:sz="0" w:space="0" w:color="auto"/>
        <w:right w:val="none" w:sz="0" w:space="0" w:color="auto"/>
      </w:divBdr>
    </w:div>
    <w:div w:id="222955218">
      <w:bodyDiv w:val="1"/>
      <w:marLeft w:val="0"/>
      <w:marRight w:val="0"/>
      <w:marTop w:val="0"/>
      <w:marBottom w:val="0"/>
      <w:divBdr>
        <w:top w:val="none" w:sz="0" w:space="0" w:color="auto"/>
        <w:left w:val="none" w:sz="0" w:space="0" w:color="auto"/>
        <w:bottom w:val="none" w:sz="0" w:space="0" w:color="auto"/>
        <w:right w:val="none" w:sz="0" w:space="0" w:color="auto"/>
      </w:divBdr>
    </w:div>
    <w:div w:id="225652628">
      <w:bodyDiv w:val="1"/>
      <w:marLeft w:val="0"/>
      <w:marRight w:val="0"/>
      <w:marTop w:val="0"/>
      <w:marBottom w:val="0"/>
      <w:divBdr>
        <w:top w:val="none" w:sz="0" w:space="0" w:color="auto"/>
        <w:left w:val="none" w:sz="0" w:space="0" w:color="auto"/>
        <w:bottom w:val="none" w:sz="0" w:space="0" w:color="auto"/>
        <w:right w:val="none" w:sz="0" w:space="0" w:color="auto"/>
      </w:divBdr>
    </w:div>
    <w:div w:id="227301924">
      <w:bodyDiv w:val="1"/>
      <w:marLeft w:val="0"/>
      <w:marRight w:val="0"/>
      <w:marTop w:val="0"/>
      <w:marBottom w:val="0"/>
      <w:divBdr>
        <w:top w:val="none" w:sz="0" w:space="0" w:color="auto"/>
        <w:left w:val="none" w:sz="0" w:space="0" w:color="auto"/>
        <w:bottom w:val="none" w:sz="0" w:space="0" w:color="auto"/>
        <w:right w:val="none" w:sz="0" w:space="0" w:color="auto"/>
      </w:divBdr>
    </w:div>
    <w:div w:id="229074950">
      <w:bodyDiv w:val="1"/>
      <w:marLeft w:val="0"/>
      <w:marRight w:val="0"/>
      <w:marTop w:val="0"/>
      <w:marBottom w:val="0"/>
      <w:divBdr>
        <w:top w:val="none" w:sz="0" w:space="0" w:color="auto"/>
        <w:left w:val="none" w:sz="0" w:space="0" w:color="auto"/>
        <w:bottom w:val="none" w:sz="0" w:space="0" w:color="auto"/>
        <w:right w:val="none" w:sz="0" w:space="0" w:color="auto"/>
      </w:divBdr>
    </w:div>
    <w:div w:id="236522666">
      <w:bodyDiv w:val="1"/>
      <w:marLeft w:val="0"/>
      <w:marRight w:val="0"/>
      <w:marTop w:val="0"/>
      <w:marBottom w:val="0"/>
      <w:divBdr>
        <w:top w:val="none" w:sz="0" w:space="0" w:color="auto"/>
        <w:left w:val="none" w:sz="0" w:space="0" w:color="auto"/>
        <w:bottom w:val="none" w:sz="0" w:space="0" w:color="auto"/>
        <w:right w:val="none" w:sz="0" w:space="0" w:color="auto"/>
      </w:divBdr>
    </w:div>
    <w:div w:id="240456655">
      <w:bodyDiv w:val="1"/>
      <w:marLeft w:val="0"/>
      <w:marRight w:val="0"/>
      <w:marTop w:val="0"/>
      <w:marBottom w:val="0"/>
      <w:divBdr>
        <w:top w:val="none" w:sz="0" w:space="0" w:color="auto"/>
        <w:left w:val="none" w:sz="0" w:space="0" w:color="auto"/>
        <w:bottom w:val="none" w:sz="0" w:space="0" w:color="auto"/>
        <w:right w:val="none" w:sz="0" w:space="0" w:color="auto"/>
      </w:divBdr>
    </w:div>
    <w:div w:id="241065874">
      <w:bodyDiv w:val="1"/>
      <w:marLeft w:val="0"/>
      <w:marRight w:val="0"/>
      <w:marTop w:val="0"/>
      <w:marBottom w:val="0"/>
      <w:divBdr>
        <w:top w:val="none" w:sz="0" w:space="0" w:color="auto"/>
        <w:left w:val="none" w:sz="0" w:space="0" w:color="auto"/>
        <w:bottom w:val="none" w:sz="0" w:space="0" w:color="auto"/>
        <w:right w:val="none" w:sz="0" w:space="0" w:color="auto"/>
      </w:divBdr>
    </w:div>
    <w:div w:id="245454329">
      <w:bodyDiv w:val="1"/>
      <w:marLeft w:val="0"/>
      <w:marRight w:val="0"/>
      <w:marTop w:val="0"/>
      <w:marBottom w:val="0"/>
      <w:divBdr>
        <w:top w:val="none" w:sz="0" w:space="0" w:color="auto"/>
        <w:left w:val="none" w:sz="0" w:space="0" w:color="auto"/>
        <w:bottom w:val="none" w:sz="0" w:space="0" w:color="auto"/>
        <w:right w:val="none" w:sz="0" w:space="0" w:color="auto"/>
      </w:divBdr>
    </w:div>
    <w:div w:id="250162018">
      <w:bodyDiv w:val="1"/>
      <w:marLeft w:val="0"/>
      <w:marRight w:val="0"/>
      <w:marTop w:val="0"/>
      <w:marBottom w:val="0"/>
      <w:divBdr>
        <w:top w:val="none" w:sz="0" w:space="0" w:color="auto"/>
        <w:left w:val="none" w:sz="0" w:space="0" w:color="auto"/>
        <w:bottom w:val="none" w:sz="0" w:space="0" w:color="auto"/>
        <w:right w:val="none" w:sz="0" w:space="0" w:color="auto"/>
      </w:divBdr>
    </w:div>
    <w:div w:id="252054185">
      <w:bodyDiv w:val="1"/>
      <w:marLeft w:val="0"/>
      <w:marRight w:val="0"/>
      <w:marTop w:val="0"/>
      <w:marBottom w:val="0"/>
      <w:divBdr>
        <w:top w:val="none" w:sz="0" w:space="0" w:color="auto"/>
        <w:left w:val="none" w:sz="0" w:space="0" w:color="auto"/>
        <w:bottom w:val="none" w:sz="0" w:space="0" w:color="auto"/>
        <w:right w:val="none" w:sz="0" w:space="0" w:color="auto"/>
      </w:divBdr>
    </w:div>
    <w:div w:id="255751190">
      <w:bodyDiv w:val="1"/>
      <w:marLeft w:val="0"/>
      <w:marRight w:val="0"/>
      <w:marTop w:val="0"/>
      <w:marBottom w:val="0"/>
      <w:divBdr>
        <w:top w:val="none" w:sz="0" w:space="0" w:color="auto"/>
        <w:left w:val="none" w:sz="0" w:space="0" w:color="auto"/>
        <w:bottom w:val="none" w:sz="0" w:space="0" w:color="auto"/>
        <w:right w:val="none" w:sz="0" w:space="0" w:color="auto"/>
      </w:divBdr>
    </w:div>
    <w:div w:id="256524395">
      <w:bodyDiv w:val="1"/>
      <w:marLeft w:val="0"/>
      <w:marRight w:val="0"/>
      <w:marTop w:val="0"/>
      <w:marBottom w:val="0"/>
      <w:divBdr>
        <w:top w:val="none" w:sz="0" w:space="0" w:color="auto"/>
        <w:left w:val="none" w:sz="0" w:space="0" w:color="auto"/>
        <w:bottom w:val="none" w:sz="0" w:space="0" w:color="auto"/>
        <w:right w:val="none" w:sz="0" w:space="0" w:color="auto"/>
      </w:divBdr>
    </w:div>
    <w:div w:id="257829136">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4656641">
      <w:bodyDiv w:val="1"/>
      <w:marLeft w:val="0"/>
      <w:marRight w:val="0"/>
      <w:marTop w:val="0"/>
      <w:marBottom w:val="0"/>
      <w:divBdr>
        <w:top w:val="none" w:sz="0" w:space="0" w:color="auto"/>
        <w:left w:val="none" w:sz="0" w:space="0" w:color="auto"/>
        <w:bottom w:val="none" w:sz="0" w:space="0" w:color="auto"/>
        <w:right w:val="none" w:sz="0" w:space="0" w:color="auto"/>
      </w:divBdr>
    </w:div>
    <w:div w:id="266930786">
      <w:bodyDiv w:val="1"/>
      <w:marLeft w:val="0"/>
      <w:marRight w:val="0"/>
      <w:marTop w:val="0"/>
      <w:marBottom w:val="0"/>
      <w:divBdr>
        <w:top w:val="none" w:sz="0" w:space="0" w:color="auto"/>
        <w:left w:val="none" w:sz="0" w:space="0" w:color="auto"/>
        <w:bottom w:val="none" w:sz="0" w:space="0" w:color="auto"/>
        <w:right w:val="none" w:sz="0" w:space="0" w:color="auto"/>
      </w:divBdr>
    </w:div>
    <w:div w:id="268129881">
      <w:bodyDiv w:val="1"/>
      <w:marLeft w:val="0"/>
      <w:marRight w:val="0"/>
      <w:marTop w:val="0"/>
      <w:marBottom w:val="0"/>
      <w:divBdr>
        <w:top w:val="none" w:sz="0" w:space="0" w:color="auto"/>
        <w:left w:val="none" w:sz="0" w:space="0" w:color="auto"/>
        <w:bottom w:val="none" w:sz="0" w:space="0" w:color="auto"/>
        <w:right w:val="none" w:sz="0" w:space="0" w:color="auto"/>
      </w:divBdr>
    </w:div>
    <w:div w:id="273638098">
      <w:bodyDiv w:val="1"/>
      <w:marLeft w:val="0"/>
      <w:marRight w:val="0"/>
      <w:marTop w:val="0"/>
      <w:marBottom w:val="0"/>
      <w:divBdr>
        <w:top w:val="none" w:sz="0" w:space="0" w:color="auto"/>
        <w:left w:val="none" w:sz="0" w:space="0" w:color="auto"/>
        <w:bottom w:val="none" w:sz="0" w:space="0" w:color="auto"/>
        <w:right w:val="none" w:sz="0" w:space="0" w:color="auto"/>
      </w:divBdr>
    </w:div>
    <w:div w:id="273905152">
      <w:bodyDiv w:val="1"/>
      <w:marLeft w:val="0"/>
      <w:marRight w:val="0"/>
      <w:marTop w:val="0"/>
      <w:marBottom w:val="0"/>
      <w:divBdr>
        <w:top w:val="none" w:sz="0" w:space="0" w:color="auto"/>
        <w:left w:val="none" w:sz="0" w:space="0" w:color="auto"/>
        <w:bottom w:val="none" w:sz="0" w:space="0" w:color="auto"/>
        <w:right w:val="none" w:sz="0" w:space="0" w:color="auto"/>
      </w:divBdr>
    </w:div>
    <w:div w:id="274873861">
      <w:bodyDiv w:val="1"/>
      <w:marLeft w:val="0"/>
      <w:marRight w:val="0"/>
      <w:marTop w:val="0"/>
      <w:marBottom w:val="0"/>
      <w:divBdr>
        <w:top w:val="none" w:sz="0" w:space="0" w:color="auto"/>
        <w:left w:val="none" w:sz="0" w:space="0" w:color="auto"/>
        <w:bottom w:val="none" w:sz="0" w:space="0" w:color="auto"/>
        <w:right w:val="none" w:sz="0" w:space="0" w:color="auto"/>
      </w:divBdr>
    </w:div>
    <w:div w:id="276059076">
      <w:bodyDiv w:val="1"/>
      <w:marLeft w:val="0"/>
      <w:marRight w:val="0"/>
      <w:marTop w:val="0"/>
      <w:marBottom w:val="0"/>
      <w:divBdr>
        <w:top w:val="none" w:sz="0" w:space="0" w:color="auto"/>
        <w:left w:val="none" w:sz="0" w:space="0" w:color="auto"/>
        <w:bottom w:val="none" w:sz="0" w:space="0" w:color="auto"/>
        <w:right w:val="none" w:sz="0" w:space="0" w:color="auto"/>
      </w:divBdr>
    </w:div>
    <w:div w:id="280113203">
      <w:bodyDiv w:val="1"/>
      <w:marLeft w:val="0"/>
      <w:marRight w:val="0"/>
      <w:marTop w:val="0"/>
      <w:marBottom w:val="0"/>
      <w:divBdr>
        <w:top w:val="none" w:sz="0" w:space="0" w:color="auto"/>
        <w:left w:val="none" w:sz="0" w:space="0" w:color="auto"/>
        <w:bottom w:val="none" w:sz="0" w:space="0" w:color="auto"/>
        <w:right w:val="none" w:sz="0" w:space="0" w:color="auto"/>
      </w:divBdr>
    </w:div>
    <w:div w:id="282001647">
      <w:bodyDiv w:val="1"/>
      <w:marLeft w:val="0"/>
      <w:marRight w:val="0"/>
      <w:marTop w:val="0"/>
      <w:marBottom w:val="0"/>
      <w:divBdr>
        <w:top w:val="none" w:sz="0" w:space="0" w:color="auto"/>
        <w:left w:val="none" w:sz="0" w:space="0" w:color="auto"/>
        <w:bottom w:val="none" w:sz="0" w:space="0" w:color="auto"/>
        <w:right w:val="none" w:sz="0" w:space="0" w:color="auto"/>
      </w:divBdr>
    </w:div>
    <w:div w:id="284849421">
      <w:bodyDiv w:val="1"/>
      <w:marLeft w:val="0"/>
      <w:marRight w:val="0"/>
      <w:marTop w:val="0"/>
      <w:marBottom w:val="0"/>
      <w:divBdr>
        <w:top w:val="none" w:sz="0" w:space="0" w:color="auto"/>
        <w:left w:val="none" w:sz="0" w:space="0" w:color="auto"/>
        <w:bottom w:val="none" w:sz="0" w:space="0" w:color="auto"/>
        <w:right w:val="none" w:sz="0" w:space="0" w:color="auto"/>
      </w:divBdr>
    </w:div>
    <w:div w:id="286618683">
      <w:bodyDiv w:val="1"/>
      <w:marLeft w:val="0"/>
      <w:marRight w:val="0"/>
      <w:marTop w:val="0"/>
      <w:marBottom w:val="0"/>
      <w:divBdr>
        <w:top w:val="none" w:sz="0" w:space="0" w:color="auto"/>
        <w:left w:val="none" w:sz="0" w:space="0" w:color="auto"/>
        <w:bottom w:val="none" w:sz="0" w:space="0" w:color="auto"/>
        <w:right w:val="none" w:sz="0" w:space="0" w:color="auto"/>
      </w:divBdr>
    </w:div>
    <w:div w:id="289211937">
      <w:bodyDiv w:val="1"/>
      <w:marLeft w:val="0"/>
      <w:marRight w:val="0"/>
      <w:marTop w:val="0"/>
      <w:marBottom w:val="0"/>
      <w:divBdr>
        <w:top w:val="none" w:sz="0" w:space="0" w:color="auto"/>
        <w:left w:val="none" w:sz="0" w:space="0" w:color="auto"/>
        <w:bottom w:val="none" w:sz="0" w:space="0" w:color="auto"/>
        <w:right w:val="none" w:sz="0" w:space="0" w:color="auto"/>
      </w:divBdr>
    </w:div>
    <w:div w:id="293172123">
      <w:bodyDiv w:val="1"/>
      <w:marLeft w:val="0"/>
      <w:marRight w:val="0"/>
      <w:marTop w:val="0"/>
      <w:marBottom w:val="0"/>
      <w:divBdr>
        <w:top w:val="none" w:sz="0" w:space="0" w:color="auto"/>
        <w:left w:val="none" w:sz="0" w:space="0" w:color="auto"/>
        <w:bottom w:val="none" w:sz="0" w:space="0" w:color="auto"/>
        <w:right w:val="none" w:sz="0" w:space="0" w:color="auto"/>
      </w:divBdr>
    </w:div>
    <w:div w:id="294064335">
      <w:bodyDiv w:val="1"/>
      <w:marLeft w:val="0"/>
      <w:marRight w:val="0"/>
      <w:marTop w:val="0"/>
      <w:marBottom w:val="0"/>
      <w:divBdr>
        <w:top w:val="none" w:sz="0" w:space="0" w:color="auto"/>
        <w:left w:val="none" w:sz="0" w:space="0" w:color="auto"/>
        <w:bottom w:val="none" w:sz="0" w:space="0" w:color="auto"/>
        <w:right w:val="none" w:sz="0" w:space="0" w:color="auto"/>
      </w:divBdr>
    </w:div>
    <w:div w:id="300497190">
      <w:bodyDiv w:val="1"/>
      <w:marLeft w:val="0"/>
      <w:marRight w:val="0"/>
      <w:marTop w:val="0"/>
      <w:marBottom w:val="0"/>
      <w:divBdr>
        <w:top w:val="none" w:sz="0" w:space="0" w:color="auto"/>
        <w:left w:val="none" w:sz="0" w:space="0" w:color="auto"/>
        <w:bottom w:val="none" w:sz="0" w:space="0" w:color="auto"/>
        <w:right w:val="none" w:sz="0" w:space="0" w:color="auto"/>
      </w:divBdr>
    </w:div>
    <w:div w:id="304630654">
      <w:bodyDiv w:val="1"/>
      <w:marLeft w:val="0"/>
      <w:marRight w:val="0"/>
      <w:marTop w:val="0"/>
      <w:marBottom w:val="0"/>
      <w:divBdr>
        <w:top w:val="none" w:sz="0" w:space="0" w:color="auto"/>
        <w:left w:val="none" w:sz="0" w:space="0" w:color="auto"/>
        <w:bottom w:val="none" w:sz="0" w:space="0" w:color="auto"/>
        <w:right w:val="none" w:sz="0" w:space="0" w:color="auto"/>
      </w:divBdr>
    </w:div>
    <w:div w:id="306083663">
      <w:bodyDiv w:val="1"/>
      <w:marLeft w:val="0"/>
      <w:marRight w:val="0"/>
      <w:marTop w:val="0"/>
      <w:marBottom w:val="0"/>
      <w:divBdr>
        <w:top w:val="none" w:sz="0" w:space="0" w:color="auto"/>
        <w:left w:val="none" w:sz="0" w:space="0" w:color="auto"/>
        <w:bottom w:val="none" w:sz="0" w:space="0" w:color="auto"/>
        <w:right w:val="none" w:sz="0" w:space="0" w:color="auto"/>
      </w:divBdr>
    </w:div>
    <w:div w:id="306276415">
      <w:bodyDiv w:val="1"/>
      <w:marLeft w:val="0"/>
      <w:marRight w:val="0"/>
      <w:marTop w:val="0"/>
      <w:marBottom w:val="0"/>
      <w:divBdr>
        <w:top w:val="none" w:sz="0" w:space="0" w:color="auto"/>
        <w:left w:val="none" w:sz="0" w:space="0" w:color="auto"/>
        <w:bottom w:val="none" w:sz="0" w:space="0" w:color="auto"/>
        <w:right w:val="none" w:sz="0" w:space="0" w:color="auto"/>
      </w:divBdr>
    </w:div>
    <w:div w:id="307055766">
      <w:bodyDiv w:val="1"/>
      <w:marLeft w:val="0"/>
      <w:marRight w:val="0"/>
      <w:marTop w:val="0"/>
      <w:marBottom w:val="0"/>
      <w:divBdr>
        <w:top w:val="none" w:sz="0" w:space="0" w:color="auto"/>
        <w:left w:val="none" w:sz="0" w:space="0" w:color="auto"/>
        <w:bottom w:val="none" w:sz="0" w:space="0" w:color="auto"/>
        <w:right w:val="none" w:sz="0" w:space="0" w:color="auto"/>
      </w:divBdr>
    </w:div>
    <w:div w:id="309138719">
      <w:bodyDiv w:val="1"/>
      <w:marLeft w:val="0"/>
      <w:marRight w:val="0"/>
      <w:marTop w:val="0"/>
      <w:marBottom w:val="0"/>
      <w:divBdr>
        <w:top w:val="none" w:sz="0" w:space="0" w:color="auto"/>
        <w:left w:val="none" w:sz="0" w:space="0" w:color="auto"/>
        <w:bottom w:val="none" w:sz="0" w:space="0" w:color="auto"/>
        <w:right w:val="none" w:sz="0" w:space="0" w:color="auto"/>
      </w:divBdr>
    </w:div>
    <w:div w:id="309479771">
      <w:bodyDiv w:val="1"/>
      <w:marLeft w:val="0"/>
      <w:marRight w:val="0"/>
      <w:marTop w:val="0"/>
      <w:marBottom w:val="0"/>
      <w:divBdr>
        <w:top w:val="none" w:sz="0" w:space="0" w:color="auto"/>
        <w:left w:val="none" w:sz="0" w:space="0" w:color="auto"/>
        <w:bottom w:val="none" w:sz="0" w:space="0" w:color="auto"/>
        <w:right w:val="none" w:sz="0" w:space="0" w:color="auto"/>
      </w:divBdr>
    </w:div>
    <w:div w:id="310520107">
      <w:bodyDiv w:val="1"/>
      <w:marLeft w:val="0"/>
      <w:marRight w:val="0"/>
      <w:marTop w:val="0"/>
      <w:marBottom w:val="0"/>
      <w:divBdr>
        <w:top w:val="none" w:sz="0" w:space="0" w:color="auto"/>
        <w:left w:val="none" w:sz="0" w:space="0" w:color="auto"/>
        <w:bottom w:val="none" w:sz="0" w:space="0" w:color="auto"/>
        <w:right w:val="none" w:sz="0" w:space="0" w:color="auto"/>
      </w:divBdr>
    </w:div>
    <w:div w:id="310869762">
      <w:bodyDiv w:val="1"/>
      <w:marLeft w:val="0"/>
      <w:marRight w:val="0"/>
      <w:marTop w:val="0"/>
      <w:marBottom w:val="0"/>
      <w:divBdr>
        <w:top w:val="none" w:sz="0" w:space="0" w:color="auto"/>
        <w:left w:val="none" w:sz="0" w:space="0" w:color="auto"/>
        <w:bottom w:val="none" w:sz="0" w:space="0" w:color="auto"/>
        <w:right w:val="none" w:sz="0" w:space="0" w:color="auto"/>
      </w:divBdr>
    </w:div>
    <w:div w:id="314724743">
      <w:bodyDiv w:val="1"/>
      <w:marLeft w:val="0"/>
      <w:marRight w:val="0"/>
      <w:marTop w:val="0"/>
      <w:marBottom w:val="0"/>
      <w:divBdr>
        <w:top w:val="none" w:sz="0" w:space="0" w:color="auto"/>
        <w:left w:val="none" w:sz="0" w:space="0" w:color="auto"/>
        <w:bottom w:val="none" w:sz="0" w:space="0" w:color="auto"/>
        <w:right w:val="none" w:sz="0" w:space="0" w:color="auto"/>
      </w:divBdr>
    </w:div>
    <w:div w:id="318583883">
      <w:bodyDiv w:val="1"/>
      <w:marLeft w:val="0"/>
      <w:marRight w:val="0"/>
      <w:marTop w:val="0"/>
      <w:marBottom w:val="0"/>
      <w:divBdr>
        <w:top w:val="none" w:sz="0" w:space="0" w:color="auto"/>
        <w:left w:val="none" w:sz="0" w:space="0" w:color="auto"/>
        <w:bottom w:val="none" w:sz="0" w:space="0" w:color="auto"/>
        <w:right w:val="none" w:sz="0" w:space="0" w:color="auto"/>
      </w:divBdr>
    </w:div>
    <w:div w:id="324750389">
      <w:bodyDiv w:val="1"/>
      <w:marLeft w:val="0"/>
      <w:marRight w:val="0"/>
      <w:marTop w:val="0"/>
      <w:marBottom w:val="0"/>
      <w:divBdr>
        <w:top w:val="none" w:sz="0" w:space="0" w:color="auto"/>
        <w:left w:val="none" w:sz="0" w:space="0" w:color="auto"/>
        <w:bottom w:val="none" w:sz="0" w:space="0" w:color="auto"/>
        <w:right w:val="none" w:sz="0" w:space="0" w:color="auto"/>
      </w:divBdr>
    </w:div>
    <w:div w:id="328336076">
      <w:bodyDiv w:val="1"/>
      <w:marLeft w:val="0"/>
      <w:marRight w:val="0"/>
      <w:marTop w:val="0"/>
      <w:marBottom w:val="0"/>
      <w:divBdr>
        <w:top w:val="none" w:sz="0" w:space="0" w:color="auto"/>
        <w:left w:val="none" w:sz="0" w:space="0" w:color="auto"/>
        <w:bottom w:val="none" w:sz="0" w:space="0" w:color="auto"/>
        <w:right w:val="none" w:sz="0" w:space="0" w:color="auto"/>
      </w:divBdr>
    </w:div>
    <w:div w:id="331613349">
      <w:bodyDiv w:val="1"/>
      <w:marLeft w:val="0"/>
      <w:marRight w:val="0"/>
      <w:marTop w:val="0"/>
      <w:marBottom w:val="0"/>
      <w:divBdr>
        <w:top w:val="none" w:sz="0" w:space="0" w:color="auto"/>
        <w:left w:val="none" w:sz="0" w:space="0" w:color="auto"/>
        <w:bottom w:val="none" w:sz="0" w:space="0" w:color="auto"/>
        <w:right w:val="none" w:sz="0" w:space="0" w:color="auto"/>
      </w:divBdr>
    </w:div>
    <w:div w:id="335379389">
      <w:bodyDiv w:val="1"/>
      <w:marLeft w:val="0"/>
      <w:marRight w:val="0"/>
      <w:marTop w:val="0"/>
      <w:marBottom w:val="0"/>
      <w:divBdr>
        <w:top w:val="none" w:sz="0" w:space="0" w:color="auto"/>
        <w:left w:val="none" w:sz="0" w:space="0" w:color="auto"/>
        <w:bottom w:val="none" w:sz="0" w:space="0" w:color="auto"/>
        <w:right w:val="none" w:sz="0" w:space="0" w:color="auto"/>
      </w:divBdr>
    </w:div>
    <w:div w:id="337654304">
      <w:bodyDiv w:val="1"/>
      <w:marLeft w:val="0"/>
      <w:marRight w:val="0"/>
      <w:marTop w:val="0"/>
      <w:marBottom w:val="0"/>
      <w:divBdr>
        <w:top w:val="none" w:sz="0" w:space="0" w:color="auto"/>
        <w:left w:val="none" w:sz="0" w:space="0" w:color="auto"/>
        <w:bottom w:val="none" w:sz="0" w:space="0" w:color="auto"/>
        <w:right w:val="none" w:sz="0" w:space="0" w:color="auto"/>
      </w:divBdr>
    </w:div>
    <w:div w:id="338655531">
      <w:bodyDiv w:val="1"/>
      <w:marLeft w:val="0"/>
      <w:marRight w:val="0"/>
      <w:marTop w:val="0"/>
      <w:marBottom w:val="0"/>
      <w:divBdr>
        <w:top w:val="none" w:sz="0" w:space="0" w:color="auto"/>
        <w:left w:val="none" w:sz="0" w:space="0" w:color="auto"/>
        <w:bottom w:val="none" w:sz="0" w:space="0" w:color="auto"/>
        <w:right w:val="none" w:sz="0" w:space="0" w:color="auto"/>
      </w:divBdr>
    </w:div>
    <w:div w:id="340931304">
      <w:bodyDiv w:val="1"/>
      <w:marLeft w:val="0"/>
      <w:marRight w:val="0"/>
      <w:marTop w:val="0"/>
      <w:marBottom w:val="0"/>
      <w:divBdr>
        <w:top w:val="none" w:sz="0" w:space="0" w:color="auto"/>
        <w:left w:val="none" w:sz="0" w:space="0" w:color="auto"/>
        <w:bottom w:val="none" w:sz="0" w:space="0" w:color="auto"/>
        <w:right w:val="none" w:sz="0" w:space="0" w:color="auto"/>
      </w:divBdr>
    </w:div>
    <w:div w:id="342978556">
      <w:bodyDiv w:val="1"/>
      <w:marLeft w:val="0"/>
      <w:marRight w:val="0"/>
      <w:marTop w:val="0"/>
      <w:marBottom w:val="0"/>
      <w:divBdr>
        <w:top w:val="none" w:sz="0" w:space="0" w:color="auto"/>
        <w:left w:val="none" w:sz="0" w:space="0" w:color="auto"/>
        <w:bottom w:val="none" w:sz="0" w:space="0" w:color="auto"/>
        <w:right w:val="none" w:sz="0" w:space="0" w:color="auto"/>
      </w:divBdr>
    </w:div>
    <w:div w:id="347754020">
      <w:bodyDiv w:val="1"/>
      <w:marLeft w:val="0"/>
      <w:marRight w:val="0"/>
      <w:marTop w:val="0"/>
      <w:marBottom w:val="0"/>
      <w:divBdr>
        <w:top w:val="none" w:sz="0" w:space="0" w:color="auto"/>
        <w:left w:val="none" w:sz="0" w:space="0" w:color="auto"/>
        <w:bottom w:val="none" w:sz="0" w:space="0" w:color="auto"/>
        <w:right w:val="none" w:sz="0" w:space="0" w:color="auto"/>
      </w:divBdr>
    </w:div>
    <w:div w:id="350184348">
      <w:bodyDiv w:val="1"/>
      <w:marLeft w:val="0"/>
      <w:marRight w:val="0"/>
      <w:marTop w:val="0"/>
      <w:marBottom w:val="0"/>
      <w:divBdr>
        <w:top w:val="none" w:sz="0" w:space="0" w:color="auto"/>
        <w:left w:val="none" w:sz="0" w:space="0" w:color="auto"/>
        <w:bottom w:val="none" w:sz="0" w:space="0" w:color="auto"/>
        <w:right w:val="none" w:sz="0" w:space="0" w:color="auto"/>
      </w:divBdr>
    </w:div>
    <w:div w:id="357120471">
      <w:bodyDiv w:val="1"/>
      <w:marLeft w:val="0"/>
      <w:marRight w:val="0"/>
      <w:marTop w:val="0"/>
      <w:marBottom w:val="0"/>
      <w:divBdr>
        <w:top w:val="none" w:sz="0" w:space="0" w:color="auto"/>
        <w:left w:val="none" w:sz="0" w:space="0" w:color="auto"/>
        <w:bottom w:val="none" w:sz="0" w:space="0" w:color="auto"/>
        <w:right w:val="none" w:sz="0" w:space="0" w:color="auto"/>
      </w:divBdr>
    </w:div>
    <w:div w:id="359554770">
      <w:bodyDiv w:val="1"/>
      <w:marLeft w:val="0"/>
      <w:marRight w:val="0"/>
      <w:marTop w:val="0"/>
      <w:marBottom w:val="0"/>
      <w:divBdr>
        <w:top w:val="none" w:sz="0" w:space="0" w:color="auto"/>
        <w:left w:val="none" w:sz="0" w:space="0" w:color="auto"/>
        <w:bottom w:val="none" w:sz="0" w:space="0" w:color="auto"/>
        <w:right w:val="none" w:sz="0" w:space="0" w:color="auto"/>
      </w:divBdr>
    </w:div>
    <w:div w:id="366878000">
      <w:bodyDiv w:val="1"/>
      <w:marLeft w:val="0"/>
      <w:marRight w:val="0"/>
      <w:marTop w:val="0"/>
      <w:marBottom w:val="0"/>
      <w:divBdr>
        <w:top w:val="none" w:sz="0" w:space="0" w:color="auto"/>
        <w:left w:val="none" w:sz="0" w:space="0" w:color="auto"/>
        <w:bottom w:val="none" w:sz="0" w:space="0" w:color="auto"/>
        <w:right w:val="none" w:sz="0" w:space="0" w:color="auto"/>
      </w:divBdr>
    </w:div>
    <w:div w:id="370692436">
      <w:bodyDiv w:val="1"/>
      <w:marLeft w:val="0"/>
      <w:marRight w:val="0"/>
      <w:marTop w:val="0"/>
      <w:marBottom w:val="0"/>
      <w:divBdr>
        <w:top w:val="none" w:sz="0" w:space="0" w:color="auto"/>
        <w:left w:val="none" w:sz="0" w:space="0" w:color="auto"/>
        <w:bottom w:val="none" w:sz="0" w:space="0" w:color="auto"/>
        <w:right w:val="none" w:sz="0" w:space="0" w:color="auto"/>
      </w:divBdr>
    </w:div>
    <w:div w:id="377321949">
      <w:bodyDiv w:val="1"/>
      <w:marLeft w:val="0"/>
      <w:marRight w:val="0"/>
      <w:marTop w:val="0"/>
      <w:marBottom w:val="0"/>
      <w:divBdr>
        <w:top w:val="none" w:sz="0" w:space="0" w:color="auto"/>
        <w:left w:val="none" w:sz="0" w:space="0" w:color="auto"/>
        <w:bottom w:val="none" w:sz="0" w:space="0" w:color="auto"/>
        <w:right w:val="none" w:sz="0" w:space="0" w:color="auto"/>
      </w:divBdr>
    </w:div>
    <w:div w:id="378823679">
      <w:bodyDiv w:val="1"/>
      <w:marLeft w:val="0"/>
      <w:marRight w:val="0"/>
      <w:marTop w:val="0"/>
      <w:marBottom w:val="0"/>
      <w:divBdr>
        <w:top w:val="none" w:sz="0" w:space="0" w:color="auto"/>
        <w:left w:val="none" w:sz="0" w:space="0" w:color="auto"/>
        <w:bottom w:val="none" w:sz="0" w:space="0" w:color="auto"/>
        <w:right w:val="none" w:sz="0" w:space="0" w:color="auto"/>
      </w:divBdr>
    </w:div>
    <w:div w:id="379324093">
      <w:bodyDiv w:val="1"/>
      <w:marLeft w:val="0"/>
      <w:marRight w:val="0"/>
      <w:marTop w:val="0"/>
      <w:marBottom w:val="0"/>
      <w:divBdr>
        <w:top w:val="none" w:sz="0" w:space="0" w:color="auto"/>
        <w:left w:val="none" w:sz="0" w:space="0" w:color="auto"/>
        <w:bottom w:val="none" w:sz="0" w:space="0" w:color="auto"/>
        <w:right w:val="none" w:sz="0" w:space="0" w:color="auto"/>
      </w:divBdr>
    </w:div>
    <w:div w:id="383137106">
      <w:bodyDiv w:val="1"/>
      <w:marLeft w:val="0"/>
      <w:marRight w:val="0"/>
      <w:marTop w:val="0"/>
      <w:marBottom w:val="0"/>
      <w:divBdr>
        <w:top w:val="none" w:sz="0" w:space="0" w:color="auto"/>
        <w:left w:val="none" w:sz="0" w:space="0" w:color="auto"/>
        <w:bottom w:val="none" w:sz="0" w:space="0" w:color="auto"/>
        <w:right w:val="none" w:sz="0" w:space="0" w:color="auto"/>
      </w:divBdr>
    </w:div>
    <w:div w:id="385643731">
      <w:bodyDiv w:val="1"/>
      <w:marLeft w:val="0"/>
      <w:marRight w:val="0"/>
      <w:marTop w:val="0"/>
      <w:marBottom w:val="0"/>
      <w:divBdr>
        <w:top w:val="none" w:sz="0" w:space="0" w:color="auto"/>
        <w:left w:val="none" w:sz="0" w:space="0" w:color="auto"/>
        <w:bottom w:val="none" w:sz="0" w:space="0" w:color="auto"/>
        <w:right w:val="none" w:sz="0" w:space="0" w:color="auto"/>
      </w:divBdr>
    </w:div>
    <w:div w:id="389109427">
      <w:bodyDiv w:val="1"/>
      <w:marLeft w:val="0"/>
      <w:marRight w:val="0"/>
      <w:marTop w:val="0"/>
      <w:marBottom w:val="0"/>
      <w:divBdr>
        <w:top w:val="none" w:sz="0" w:space="0" w:color="auto"/>
        <w:left w:val="none" w:sz="0" w:space="0" w:color="auto"/>
        <w:bottom w:val="none" w:sz="0" w:space="0" w:color="auto"/>
        <w:right w:val="none" w:sz="0" w:space="0" w:color="auto"/>
      </w:divBdr>
    </w:div>
    <w:div w:id="395980750">
      <w:bodyDiv w:val="1"/>
      <w:marLeft w:val="0"/>
      <w:marRight w:val="0"/>
      <w:marTop w:val="0"/>
      <w:marBottom w:val="0"/>
      <w:divBdr>
        <w:top w:val="none" w:sz="0" w:space="0" w:color="auto"/>
        <w:left w:val="none" w:sz="0" w:space="0" w:color="auto"/>
        <w:bottom w:val="none" w:sz="0" w:space="0" w:color="auto"/>
        <w:right w:val="none" w:sz="0" w:space="0" w:color="auto"/>
      </w:divBdr>
    </w:div>
    <w:div w:id="398089907">
      <w:bodyDiv w:val="1"/>
      <w:marLeft w:val="0"/>
      <w:marRight w:val="0"/>
      <w:marTop w:val="0"/>
      <w:marBottom w:val="0"/>
      <w:divBdr>
        <w:top w:val="none" w:sz="0" w:space="0" w:color="auto"/>
        <w:left w:val="none" w:sz="0" w:space="0" w:color="auto"/>
        <w:bottom w:val="none" w:sz="0" w:space="0" w:color="auto"/>
        <w:right w:val="none" w:sz="0" w:space="0" w:color="auto"/>
      </w:divBdr>
    </w:div>
    <w:div w:id="400449963">
      <w:bodyDiv w:val="1"/>
      <w:marLeft w:val="0"/>
      <w:marRight w:val="0"/>
      <w:marTop w:val="0"/>
      <w:marBottom w:val="0"/>
      <w:divBdr>
        <w:top w:val="none" w:sz="0" w:space="0" w:color="auto"/>
        <w:left w:val="none" w:sz="0" w:space="0" w:color="auto"/>
        <w:bottom w:val="none" w:sz="0" w:space="0" w:color="auto"/>
        <w:right w:val="none" w:sz="0" w:space="0" w:color="auto"/>
      </w:divBdr>
    </w:div>
    <w:div w:id="401291136">
      <w:bodyDiv w:val="1"/>
      <w:marLeft w:val="0"/>
      <w:marRight w:val="0"/>
      <w:marTop w:val="0"/>
      <w:marBottom w:val="0"/>
      <w:divBdr>
        <w:top w:val="none" w:sz="0" w:space="0" w:color="auto"/>
        <w:left w:val="none" w:sz="0" w:space="0" w:color="auto"/>
        <w:bottom w:val="none" w:sz="0" w:space="0" w:color="auto"/>
        <w:right w:val="none" w:sz="0" w:space="0" w:color="auto"/>
      </w:divBdr>
    </w:div>
    <w:div w:id="402610504">
      <w:bodyDiv w:val="1"/>
      <w:marLeft w:val="0"/>
      <w:marRight w:val="0"/>
      <w:marTop w:val="0"/>
      <w:marBottom w:val="0"/>
      <w:divBdr>
        <w:top w:val="none" w:sz="0" w:space="0" w:color="auto"/>
        <w:left w:val="none" w:sz="0" w:space="0" w:color="auto"/>
        <w:bottom w:val="none" w:sz="0" w:space="0" w:color="auto"/>
        <w:right w:val="none" w:sz="0" w:space="0" w:color="auto"/>
      </w:divBdr>
    </w:div>
    <w:div w:id="402993327">
      <w:bodyDiv w:val="1"/>
      <w:marLeft w:val="0"/>
      <w:marRight w:val="0"/>
      <w:marTop w:val="0"/>
      <w:marBottom w:val="0"/>
      <w:divBdr>
        <w:top w:val="none" w:sz="0" w:space="0" w:color="auto"/>
        <w:left w:val="none" w:sz="0" w:space="0" w:color="auto"/>
        <w:bottom w:val="none" w:sz="0" w:space="0" w:color="auto"/>
        <w:right w:val="none" w:sz="0" w:space="0" w:color="auto"/>
      </w:divBdr>
    </w:div>
    <w:div w:id="405690923">
      <w:bodyDiv w:val="1"/>
      <w:marLeft w:val="0"/>
      <w:marRight w:val="0"/>
      <w:marTop w:val="0"/>
      <w:marBottom w:val="0"/>
      <w:divBdr>
        <w:top w:val="none" w:sz="0" w:space="0" w:color="auto"/>
        <w:left w:val="none" w:sz="0" w:space="0" w:color="auto"/>
        <w:bottom w:val="none" w:sz="0" w:space="0" w:color="auto"/>
        <w:right w:val="none" w:sz="0" w:space="0" w:color="auto"/>
      </w:divBdr>
    </w:div>
    <w:div w:id="411122963">
      <w:bodyDiv w:val="1"/>
      <w:marLeft w:val="0"/>
      <w:marRight w:val="0"/>
      <w:marTop w:val="0"/>
      <w:marBottom w:val="0"/>
      <w:divBdr>
        <w:top w:val="none" w:sz="0" w:space="0" w:color="auto"/>
        <w:left w:val="none" w:sz="0" w:space="0" w:color="auto"/>
        <w:bottom w:val="none" w:sz="0" w:space="0" w:color="auto"/>
        <w:right w:val="none" w:sz="0" w:space="0" w:color="auto"/>
      </w:divBdr>
    </w:div>
    <w:div w:id="413665240">
      <w:bodyDiv w:val="1"/>
      <w:marLeft w:val="0"/>
      <w:marRight w:val="0"/>
      <w:marTop w:val="0"/>
      <w:marBottom w:val="0"/>
      <w:divBdr>
        <w:top w:val="none" w:sz="0" w:space="0" w:color="auto"/>
        <w:left w:val="none" w:sz="0" w:space="0" w:color="auto"/>
        <w:bottom w:val="none" w:sz="0" w:space="0" w:color="auto"/>
        <w:right w:val="none" w:sz="0" w:space="0" w:color="auto"/>
      </w:divBdr>
    </w:div>
    <w:div w:id="417555833">
      <w:bodyDiv w:val="1"/>
      <w:marLeft w:val="0"/>
      <w:marRight w:val="0"/>
      <w:marTop w:val="0"/>
      <w:marBottom w:val="0"/>
      <w:divBdr>
        <w:top w:val="none" w:sz="0" w:space="0" w:color="auto"/>
        <w:left w:val="none" w:sz="0" w:space="0" w:color="auto"/>
        <w:bottom w:val="none" w:sz="0" w:space="0" w:color="auto"/>
        <w:right w:val="none" w:sz="0" w:space="0" w:color="auto"/>
      </w:divBdr>
      <w:divsChild>
        <w:div w:id="878005398">
          <w:marLeft w:val="0"/>
          <w:marRight w:val="0"/>
          <w:marTop w:val="0"/>
          <w:marBottom w:val="0"/>
          <w:divBdr>
            <w:top w:val="none" w:sz="0" w:space="0" w:color="auto"/>
            <w:left w:val="none" w:sz="0" w:space="0" w:color="auto"/>
            <w:bottom w:val="none" w:sz="0" w:space="0" w:color="auto"/>
            <w:right w:val="none" w:sz="0" w:space="0" w:color="auto"/>
          </w:divBdr>
        </w:div>
      </w:divsChild>
    </w:div>
    <w:div w:id="418412289">
      <w:bodyDiv w:val="1"/>
      <w:marLeft w:val="0"/>
      <w:marRight w:val="0"/>
      <w:marTop w:val="0"/>
      <w:marBottom w:val="0"/>
      <w:divBdr>
        <w:top w:val="none" w:sz="0" w:space="0" w:color="auto"/>
        <w:left w:val="none" w:sz="0" w:space="0" w:color="auto"/>
        <w:bottom w:val="none" w:sz="0" w:space="0" w:color="auto"/>
        <w:right w:val="none" w:sz="0" w:space="0" w:color="auto"/>
      </w:divBdr>
    </w:div>
    <w:div w:id="419717657">
      <w:bodyDiv w:val="1"/>
      <w:marLeft w:val="0"/>
      <w:marRight w:val="0"/>
      <w:marTop w:val="0"/>
      <w:marBottom w:val="0"/>
      <w:divBdr>
        <w:top w:val="none" w:sz="0" w:space="0" w:color="auto"/>
        <w:left w:val="none" w:sz="0" w:space="0" w:color="auto"/>
        <w:bottom w:val="none" w:sz="0" w:space="0" w:color="auto"/>
        <w:right w:val="none" w:sz="0" w:space="0" w:color="auto"/>
      </w:divBdr>
    </w:div>
    <w:div w:id="419840527">
      <w:bodyDiv w:val="1"/>
      <w:marLeft w:val="0"/>
      <w:marRight w:val="0"/>
      <w:marTop w:val="0"/>
      <w:marBottom w:val="0"/>
      <w:divBdr>
        <w:top w:val="none" w:sz="0" w:space="0" w:color="auto"/>
        <w:left w:val="none" w:sz="0" w:space="0" w:color="auto"/>
        <w:bottom w:val="none" w:sz="0" w:space="0" w:color="auto"/>
        <w:right w:val="none" w:sz="0" w:space="0" w:color="auto"/>
      </w:divBdr>
    </w:div>
    <w:div w:id="420220798">
      <w:bodyDiv w:val="1"/>
      <w:marLeft w:val="0"/>
      <w:marRight w:val="0"/>
      <w:marTop w:val="0"/>
      <w:marBottom w:val="0"/>
      <w:divBdr>
        <w:top w:val="none" w:sz="0" w:space="0" w:color="auto"/>
        <w:left w:val="none" w:sz="0" w:space="0" w:color="auto"/>
        <w:bottom w:val="none" w:sz="0" w:space="0" w:color="auto"/>
        <w:right w:val="none" w:sz="0" w:space="0" w:color="auto"/>
      </w:divBdr>
    </w:div>
    <w:div w:id="420493407">
      <w:bodyDiv w:val="1"/>
      <w:marLeft w:val="0"/>
      <w:marRight w:val="0"/>
      <w:marTop w:val="0"/>
      <w:marBottom w:val="0"/>
      <w:divBdr>
        <w:top w:val="none" w:sz="0" w:space="0" w:color="auto"/>
        <w:left w:val="none" w:sz="0" w:space="0" w:color="auto"/>
        <w:bottom w:val="none" w:sz="0" w:space="0" w:color="auto"/>
        <w:right w:val="none" w:sz="0" w:space="0" w:color="auto"/>
      </w:divBdr>
    </w:div>
    <w:div w:id="421343996">
      <w:bodyDiv w:val="1"/>
      <w:marLeft w:val="0"/>
      <w:marRight w:val="0"/>
      <w:marTop w:val="0"/>
      <w:marBottom w:val="0"/>
      <w:divBdr>
        <w:top w:val="none" w:sz="0" w:space="0" w:color="auto"/>
        <w:left w:val="none" w:sz="0" w:space="0" w:color="auto"/>
        <w:bottom w:val="none" w:sz="0" w:space="0" w:color="auto"/>
        <w:right w:val="none" w:sz="0" w:space="0" w:color="auto"/>
      </w:divBdr>
    </w:div>
    <w:div w:id="422068895">
      <w:bodyDiv w:val="1"/>
      <w:marLeft w:val="0"/>
      <w:marRight w:val="0"/>
      <w:marTop w:val="0"/>
      <w:marBottom w:val="0"/>
      <w:divBdr>
        <w:top w:val="none" w:sz="0" w:space="0" w:color="auto"/>
        <w:left w:val="none" w:sz="0" w:space="0" w:color="auto"/>
        <w:bottom w:val="none" w:sz="0" w:space="0" w:color="auto"/>
        <w:right w:val="none" w:sz="0" w:space="0" w:color="auto"/>
      </w:divBdr>
    </w:div>
    <w:div w:id="422730262">
      <w:bodyDiv w:val="1"/>
      <w:marLeft w:val="0"/>
      <w:marRight w:val="0"/>
      <w:marTop w:val="0"/>
      <w:marBottom w:val="0"/>
      <w:divBdr>
        <w:top w:val="none" w:sz="0" w:space="0" w:color="auto"/>
        <w:left w:val="none" w:sz="0" w:space="0" w:color="auto"/>
        <w:bottom w:val="none" w:sz="0" w:space="0" w:color="auto"/>
        <w:right w:val="none" w:sz="0" w:space="0" w:color="auto"/>
      </w:divBdr>
    </w:div>
    <w:div w:id="425930567">
      <w:bodyDiv w:val="1"/>
      <w:marLeft w:val="0"/>
      <w:marRight w:val="0"/>
      <w:marTop w:val="0"/>
      <w:marBottom w:val="0"/>
      <w:divBdr>
        <w:top w:val="none" w:sz="0" w:space="0" w:color="auto"/>
        <w:left w:val="none" w:sz="0" w:space="0" w:color="auto"/>
        <w:bottom w:val="none" w:sz="0" w:space="0" w:color="auto"/>
        <w:right w:val="none" w:sz="0" w:space="0" w:color="auto"/>
      </w:divBdr>
    </w:div>
    <w:div w:id="431586778">
      <w:bodyDiv w:val="1"/>
      <w:marLeft w:val="0"/>
      <w:marRight w:val="0"/>
      <w:marTop w:val="0"/>
      <w:marBottom w:val="0"/>
      <w:divBdr>
        <w:top w:val="none" w:sz="0" w:space="0" w:color="auto"/>
        <w:left w:val="none" w:sz="0" w:space="0" w:color="auto"/>
        <w:bottom w:val="none" w:sz="0" w:space="0" w:color="auto"/>
        <w:right w:val="none" w:sz="0" w:space="0" w:color="auto"/>
      </w:divBdr>
    </w:div>
    <w:div w:id="433669276">
      <w:bodyDiv w:val="1"/>
      <w:marLeft w:val="0"/>
      <w:marRight w:val="0"/>
      <w:marTop w:val="0"/>
      <w:marBottom w:val="0"/>
      <w:divBdr>
        <w:top w:val="none" w:sz="0" w:space="0" w:color="auto"/>
        <w:left w:val="none" w:sz="0" w:space="0" w:color="auto"/>
        <w:bottom w:val="none" w:sz="0" w:space="0" w:color="auto"/>
        <w:right w:val="none" w:sz="0" w:space="0" w:color="auto"/>
      </w:divBdr>
    </w:div>
    <w:div w:id="442456571">
      <w:bodyDiv w:val="1"/>
      <w:marLeft w:val="0"/>
      <w:marRight w:val="0"/>
      <w:marTop w:val="0"/>
      <w:marBottom w:val="0"/>
      <w:divBdr>
        <w:top w:val="none" w:sz="0" w:space="0" w:color="auto"/>
        <w:left w:val="none" w:sz="0" w:space="0" w:color="auto"/>
        <w:bottom w:val="none" w:sz="0" w:space="0" w:color="auto"/>
        <w:right w:val="none" w:sz="0" w:space="0" w:color="auto"/>
      </w:divBdr>
    </w:div>
    <w:div w:id="442848333">
      <w:bodyDiv w:val="1"/>
      <w:marLeft w:val="0"/>
      <w:marRight w:val="0"/>
      <w:marTop w:val="0"/>
      <w:marBottom w:val="0"/>
      <w:divBdr>
        <w:top w:val="none" w:sz="0" w:space="0" w:color="auto"/>
        <w:left w:val="none" w:sz="0" w:space="0" w:color="auto"/>
        <w:bottom w:val="none" w:sz="0" w:space="0" w:color="auto"/>
        <w:right w:val="none" w:sz="0" w:space="0" w:color="auto"/>
      </w:divBdr>
    </w:div>
    <w:div w:id="445586963">
      <w:bodyDiv w:val="1"/>
      <w:marLeft w:val="0"/>
      <w:marRight w:val="0"/>
      <w:marTop w:val="0"/>
      <w:marBottom w:val="0"/>
      <w:divBdr>
        <w:top w:val="none" w:sz="0" w:space="0" w:color="auto"/>
        <w:left w:val="none" w:sz="0" w:space="0" w:color="auto"/>
        <w:bottom w:val="none" w:sz="0" w:space="0" w:color="auto"/>
        <w:right w:val="none" w:sz="0" w:space="0" w:color="auto"/>
      </w:divBdr>
    </w:div>
    <w:div w:id="446631347">
      <w:bodyDiv w:val="1"/>
      <w:marLeft w:val="0"/>
      <w:marRight w:val="0"/>
      <w:marTop w:val="0"/>
      <w:marBottom w:val="0"/>
      <w:divBdr>
        <w:top w:val="none" w:sz="0" w:space="0" w:color="auto"/>
        <w:left w:val="none" w:sz="0" w:space="0" w:color="auto"/>
        <w:bottom w:val="none" w:sz="0" w:space="0" w:color="auto"/>
        <w:right w:val="none" w:sz="0" w:space="0" w:color="auto"/>
      </w:divBdr>
    </w:div>
    <w:div w:id="448086246">
      <w:bodyDiv w:val="1"/>
      <w:marLeft w:val="0"/>
      <w:marRight w:val="0"/>
      <w:marTop w:val="0"/>
      <w:marBottom w:val="0"/>
      <w:divBdr>
        <w:top w:val="none" w:sz="0" w:space="0" w:color="auto"/>
        <w:left w:val="none" w:sz="0" w:space="0" w:color="auto"/>
        <w:bottom w:val="none" w:sz="0" w:space="0" w:color="auto"/>
        <w:right w:val="none" w:sz="0" w:space="0" w:color="auto"/>
      </w:divBdr>
    </w:div>
    <w:div w:id="448160472">
      <w:bodyDiv w:val="1"/>
      <w:marLeft w:val="0"/>
      <w:marRight w:val="0"/>
      <w:marTop w:val="0"/>
      <w:marBottom w:val="0"/>
      <w:divBdr>
        <w:top w:val="none" w:sz="0" w:space="0" w:color="auto"/>
        <w:left w:val="none" w:sz="0" w:space="0" w:color="auto"/>
        <w:bottom w:val="none" w:sz="0" w:space="0" w:color="auto"/>
        <w:right w:val="none" w:sz="0" w:space="0" w:color="auto"/>
      </w:divBdr>
    </w:div>
    <w:div w:id="450823155">
      <w:bodyDiv w:val="1"/>
      <w:marLeft w:val="0"/>
      <w:marRight w:val="0"/>
      <w:marTop w:val="0"/>
      <w:marBottom w:val="0"/>
      <w:divBdr>
        <w:top w:val="none" w:sz="0" w:space="0" w:color="auto"/>
        <w:left w:val="none" w:sz="0" w:space="0" w:color="auto"/>
        <w:bottom w:val="none" w:sz="0" w:space="0" w:color="auto"/>
        <w:right w:val="none" w:sz="0" w:space="0" w:color="auto"/>
      </w:divBdr>
    </w:div>
    <w:div w:id="451095862">
      <w:bodyDiv w:val="1"/>
      <w:marLeft w:val="0"/>
      <w:marRight w:val="0"/>
      <w:marTop w:val="0"/>
      <w:marBottom w:val="0"/>
      <w:divBdr>
        <w:top w:val="none" w:sz="0" w:space="0" w:color="auto"/>
        <w:left w:val="none" w:sz="0" w:space="0" w:color="auto"/>
        <w:bottom w:val="none" w:sz="0" w:space="0" w:color="auto"/>
        <w:right w:val="none" w:sz="0" w:space="0" w:color="auto"/>
      </w:divBdr>
    </w:div>
    <w:div w:id="455024311">
      <w:bodyDiv w:val="1"/>
      <w:marLeft w:val="0"/>
      <w:marRight w:val="0"/>
      <w:marTop w:val="0"/>
      <w:marBottom w:val="0"/>
      <w:divBdr>
        <w:top w:val="none" w:sz="0" w:space="0" w:color="auto"/>
        <w:left w:val="none" w:sz="0" w:space="0" w:color="auto"/>
        <w:bottom w:val="none" w:sz="0" w:space="0" w:color="auto"/>
        <w:right w:val="none" w:sz="0" w:space="0" w:color="auto"/>
      </w:divBdr>
    </w:div>
    <w:div w:id="465702630">
      <w:bodyDiv w:val="1"/>
      <w:marLeft w:val="0"/>
      <w:marRight w:val="0"/>
      <w:marTop w:val="0"/>
      <w:marBottom w:val="0"/>
      <w:divBdr>
        <w:top w:val="none" w:sz="0" w:space="0" w:color="auto"/>
        <w:left w:val="none" w:sz="0" w:space="0" w:color="auto"/>
        <w:bottom w:val="none" w:sz="0" w:space="0" w:color="auto"/>
        <w:right w:val="none" w:sz="0" w:space="0" w:color="auto"/>
      </w:divBdr>
    </w:div>
    <w:div w:id="465859293">
      <w:bodyDiv w:val="1"/>
      <w:marLeft w:val="0"/>
      <w:marRight w:val="0"/>
      <w:marTop w:val="0"/>
      <w:marBottom w:val="0"/>
      <w:divBdr>
        <w:top w:val="none" w:sz="0" w:space="0" w:color="auto"/>
        <w:left w:val="none" w:sz="0" w:space="0" w:color="auto"/>
        <w:bottom w:val="none" w:sz="0" w:space="0" w:color="auto"/>
        <w:right w:val="none" w:sz="0" w:space="0" w:color="auto"/>
      </w:divBdr>
    </w:div>
    <w:div w:id="470170215">
      <w:bodyDiv w:val="1"/>
      <w:marLeft w:val="0"/>
      <w:marRight w:val="0"/>
      <w:marTop w:val="0"/>
      <w:marBottom w:val="0"/>
      <w:divBdr>
        <w:top w:val="none" w:sz="0" w:space="0" w:color="auto"/>
        <w:left w:val="none" w:sz="0" w:space="0" w:color="auto"/>
        <w:bottom w:val="none" w:sz="0" w:space="0" w:color="auto"/>
        <w:right w:val="none" w:sz="0" w:space="0" w:color="auto"/>
      </w:divBdr>
    </w:div>
    <w:div w:id="472257939">
      <w:bodyDiv w:val="1"/>
      <w:marLeft w:val="0"/>
      <w:marRight w:val="0"/>
      <w:marTop w:val="0"/>
      <w:marBottom w:val="0"/>
      <w:divBdr>
        <w:top w:val="none" w:sz="0" w:space="0" w:color="auto"/>
        <w:left w:val="none" w:sz="0" w:space="0" w:color="auto"/>
        <w:bottom w:val="none" w:sz="0" w:space="0" w:color="auto"/>
        <w:right w:val="none" w:sz="0" w:space="0" w:color="auto"/>
      </w:divBdr>
    </w:div>
    <w:div w:id="478881296">
      <w:bodyDiv w:val="1"/>
      <w:marLeft w:val="0"/>
      <w:marRight w:val="0"/>
      <w:marTop w:val="0"/>
      <w:marBottom w:val="0"/>
      <w:divBdr>
        <w:top w:val="none" w:sz="0" w:space="0" w:color="auto"/>
        <w:left w:val="none" w:sz="0" w:space="0" w:color="auto"/>
        <w:bottom w:val="none" w:sz="0" w:space="0" w:color="auto"/>
        <w:right w:val="none" w:sz="0" w:space="0" w:color="auto"/>
      </w:divBdr>
    </w:div>
    <w:div w:id="486095617">
      <w:bodyDiv w:val="1"/>
      <w:marLeft w:val="0"/>
      <w:marRight w:val="0"/>
      <w:marTop w:val="0"/>
      <w:marBottom w:val="0"/>
      <w:divBdr>
        <w:top w:val="none" w:sz="0" w:space="0" w:color="auto"/>
        <w:left w:val="none" w:sz="0" w:space="0" w:color="auto"/>
        <w:bottom w:val="none" w:sz="0" w:space="0" w:color="auto"/>
        <w:right w:val="none" w:sz="0" w:space="0" w:color="auto"/>
      </w:divBdr>
    </w:div>
    <w:div w:id="494495758">
      <w:bodyDiv w:val="1"/>
      <w:marLeft w:val="0"/>
      <w:marRight w:val="0"/>
      <w:marTop w:val="0"/>
      <w:marBottom w:val="0"/>
      <w:divBdr>
        <w:top w:val="none" w:sz="0" w:space="0" w:color="auto"/>
        <w:left w:val="none" w:sz="0" w:space="0" w:color="auto"/>
        <w:bottom w:val="none" w:sz="0" w:space="0" w:color="auto"/>
        <w:right w:val="none" w:sz="0" w:space="0" w:color="auto"/>
      </w:divBdr>
    </w:div>
    <w:div w:id="497228406">
      <w:bodyDiv w:val="1"/>
      <w:marLeft w:val="0"/>
      <w:marRight w:val="0"/>
      <w:marTop w:val="0"/>
      <w:marBottom w:val="0"/>
      <w:divBdr>
        <w:top w:val="none" w:sz="0" w:space="0" w:color="auto"/>
        <w:left w:val="none" w:sz="0" w:space="0" w:color="auto"/>
        <w:bottom w:val="none" w:sz="0" w:space="0" w:color="auto"/>
        <w:right w:val="none" w:sz="0" w:space="0" w:color="auto"/>
      </w:divBdr>
    </w:div>
    <w:div w:id="501051663">
      <w:bodyDiv w:val="1"/>
      <w:marLeft w:val="0"/>
      <w:marRight w:val="0"/>
      <w:marTop w:val="0"/>
      <w:marBottom w:val="0"/>
      <w:divBdr>
        <w:top w:val="none" w:sz="0" w:space="0" w:color="auto"/>
        <w:left w:val="none" w:sz="0" w:space="0" w:color="auto"/>
        <w:bottom w:val="none" w:sz="0" w:space="0" w:color="auto"/>
        <w:right w:val="none" w:sz="0" w:space="0" w:color="auto"/>
      </w:divBdr>
    </w:div>
    <w:div w:id="501169332">
      <w:bodyDiv w:val="1"/>
      <w:marLeft w:val="0"/>
      <w:marRight w:val="0"/>
      <w:marTop w:val="0"/>
      <w:marBottom w:val="0"/>
      <w:divBdr>
        <w:top w:val="none" w:sz="0" w:space="0" w:color="auto"/>
        <w:left w:val="none" w:sz="0" w:space="0" w:color="auto"/>
        <w:bottom w:val="none" w:sz="0" w:space="0" w:color="auto"/>
        <w:right w:val="none" w:sz="0" w:space="0" w:color="auto"/>
      </w:divBdr>
    </w:div>
    <w:div w:id="502209945">
      <w:bodyDiv w:val="1"/>
      <w:marLeft w:val="0"/>
      <w:marRight w:val="0"/>
      <w:marTop w:val="0"/>
      <w:marBottom w:val="0"/>
      <w:divBdr>
        <w:top w:val="none" w:sz="0" w:space="0" w:color="auto"/>
        <w:left w:val="none" w:sz="0" w:space="0" w:color="auto"/>
        <w:bottom w:val="none" w:sz="0" w:space="0" w:color="auto"/>
        <w:right w:val="none" w:sz="0" w:space="0" w:color="auto"/>
      </w:divBdr>
    </w:div>
    <w:div w:id="508833463">
      <w:bodyDiv w:val="1"/>
      <w:marLeft w:val="0"/>
      <w:marRight w:val="0"/>
      <w:marTop w:val="0"/>
      <w:marBottom w:val="0"/>
      <w:divBdr>
        <w:top w:val="none" w:sz="0" w:space="0" w:color="auto"/>
        <w:left w:val="none" w:sz="0" w:space="0" w:color="auto"/>
        <w:bottom w:val="none" w:sz="0" w:space="0" w:color="auto"/>
        <w:right w:val="none" w:sz="0" w:space="0" w:color="auto"/>
      </w:divBdr>
    </w:div>
    <w:div w:id="511258570">
      <w:bodyDiv w:val="1"/>
      <w:marLeft w:val="0"/>
      <w:marRight w:val="0"/>
      <w:marTop w:val="0"/>
      <w:marBottom w:val="0"/>
      <w:divBdr>
        <w:top w:val="none" w:sz="0" w:space="0" w:color="auto"/>
        <w:left w:val="none" w:sz="0" w:space="0" w:color="auto"/>
        <w:bottom w:val="none" w:sz="0" w:space="0" w:color="auto"/>
        <w:right w:val="none" w:sz="0" w:space="0" w:color="auto"/>
      </w:divBdr>
    </w:div>
    <w:div w:id="517352061">
      <w:bodyDiv w:val="1"/>
      <w:marLeft w:val="0"/>
      <w:marRight w:val="0"/>
      <w:marTop w:val="0"/>
      <w:marBottom w:val="0"/>
      <w:divBdr>
        <w:top w:val="none" w:sz="0" w:space="0" w:color="auto"/>
        <w:left w:val="none" w:sz="0" w:space="0" w:color="auto"/>
        <w:bottom w:val="none" w:sz="0" w:space="0" w:color="auto"/>
        <w:right w:val="none" w:sz="0" w:space="0" w:color="auto"/>
      </w:divBdr>
    </w:div>
    <w:div w:id="517504278">
      <w:bodyDiv w:val="1"/>
      <w:marLeft w:val="0"/>
      <w:marRight w:val="0"/>
      <w:marTop w:val="0"/>
      <w:marBottom w:val="0"/>
      <w:divBdr>
        <w:top w:val="none" w:sz="0" w:space="0" w:color="auto"/>
        <w:left w:val="none" w:sz="0" w:space="0" w:color="auto"/>
        <w:bottom w:val="none" w:sz="0" w:space="0" w:color="auto"/>
        <w:right w:val="none" w:sz="0" w:space="0" w:color="auto"/>
      </w:divBdr>
    </w:div>
    <w:div w:id="521672019">
      <w:bodyDiv w:val="1"/>
      <w:marLeft w:val="0"/>
      <w:marRight w:val="0"/>
      <w:marTop w:val="0"/>
      <w:marBottom w:val="0"/>
      <w:divBdr>
        <w:top w:val="none" w:sz="0" w:space="0" w:color="auto"/>
        <w:left w:val="none" w:sz="0" w:space="0" w:color="auto"/>
        <w:bottom w:val="none" w:sz="0" w:space="0" w:color="auto"/>
        <w:right w:val="none" w:sz="0" w:space="0" w:color="auto"/>
      </w:divBdr>
    </w:div>
    <w:div w:id="528686122">
      <w:bodyDiv w:val="1"/>
      <w:marLeft w:val="0"/>
      <w:marRight w:val="0"/>
      <w:marTop w:val="0"/>
      <w:marBottom w:val="0"/>
      <w:divBdr>
        <w:top w:val="none" w:sz="0" w:space="0" w:color="auto"/>
        <w:left w:val="none" w:sz="0" w:space="0" w:color="auto"/>
        <w:bottom w:val="none" w:sz="0" w:space="0" w:color="auto"/>
        <w:right w:val="none" w:sz="0" w:space="0" w:color="auto"/>
      </w:divBdr>
    </w:div>
    <w:div w:id="536433026">
      <w:bodyDiv w:val="1"/>
      <w:marLeft w:val="0"/>
      <w:marRight w:val="0"/>
      <w:marTop w:val="0"/>
      <w:marBottom w:val="0"/>
      <w:divBdr>
        <w:top w:val="none" w:sz="0" w:space="0" w:color="auto"/>
        <w:left w:val="none" w:sz="0" w:space="0" w:color="auto"/>
        <w:bottom w:val="none" w:sz="0" w:space="0" w:color="auto"/>
        <w:right w:val="none" w:sz="0" w:space="0" w:color="auto"/>
      </w:divBdr>
    </w:div>
    <w:div w:id="539512450">
      <w:bodyDiv w:val="1"/>
      <w:marLeft w:val="0"/>
      <w:marRight w:val="0"/>
      <w:marTop w:val="0"/>
      <w:marBottom w:val="0"/>
      <w:divBdr>
        <w:top w:val="none" w:sz="0" w:space="0" w:color="auto"/>
        <w:left w:val="none" w:sz="0" w:space="0" w:color="auto"/>
        <w:bottom w:val="none" w:sz="0" w:space="0" w:color="auto"/>
        <w:right w:val="none" w:sz="0" w:space="0" w:color="auto"/>
      </w:divBdr>
    </w:div>
    <w:div w:id="542406590">
      <w:bodyDiv w:val="1"/>
      <w:marLeft w:val="0"/>
      <w:marRight w:val="0"/>
      <w:marTop w:val="0"/>
      <w:marBottom w:val="0"/>
      <w:divBdr>
        <w:top w:val="none" w:sz="0" w:space="0" w:color="auto"/>
        <w:left w:val="none" w:sz="0" w:space="0" w:color="auto"/>
        <w:bottom w:val="none" w:sz="0" w:space="0" w:color="auto"/>
        <w:right w:val="none" w:sz="0" w:space="0" w:color="auto"/>
      </w:divBdr>
    </w:div>
    <w:div w:id="550967143">
      <w:bodyDiv w:val="1"/>
      <w:marLeft w:val="0"/>
      <w:marRight w:val="0"/>
      <w:marTop w:val="0"/>
      <w:marBottom w:val="0"/>
      <w:divBdr>
        <w:top w:val="none" w:sz="0" w:space="0" w:color="auto"/>
        <w:left w:val="none" w:sz="0" w:space="0" w:color="auto"/>
        <w:bottom w:val="none" w:sz="0" w:space="0" w:color="auto"/>
        <w:right w:val="none" w:sz="0" w:space="0" w:color="auto"/>
      </w:divBdr>
    </w:div>
    <w:div w:id="552738246">
      <w:bodyDiv w:val="1"/>
      <w:marLeft w:val="0"/>
      <w:marRight w:val="0"/>
      <w:marTop w:val="0"/>
      <w:marBottom w:val="0"/>
      <w:divBdr>
        <w:top w:val="none" w:sz="0" w:space="0" w:color="auto"/>
        <w:left w:val="none" w:sz="0" w:space="0" w:color="auto"/>
        <w:bottom w:val="none" w:sz="0" w:space="0" w:color="auto"/>
        <w:right w:val="none" w:sz="0" w:space="0" w:color="auto"/>
      </w:divBdr>
    </w:div>
    <w:div w:id="552741321">
      <w:bodyDiv w:val="1"/>
      <w:marLeft w:val="0"/>
      <w:marRight w:val="0"/>
      <w:marTop w:val="0"/>
      <w:marBottom w:val="0"/>
      <w:divBdr>
        <w:top w:val="none" w:sz="0" w:space="0" w:color="auto"/>
        <w:left w:val="none" w:sz="0" w:space="0" w:color="auto"/>
        <w:bottom w:val="none" w:sz="0" w:space="0" w:color="auto"/>
        <w:right w:val="none" w:sz="0" w:space="0" w:color="auto"/>
      </w:divBdr>
    </w:div>
    <w:div w:id="554396372">
      <w:bodyDiv w:val="1"/>
      <w:marLeft w:val="0"/>
      <w:marRight w:val="0"/>
      <w:marTop w:val="0"/>
      <w:marBottom w:val="0"/>
      <w:divBdr>
        <w:top w:val="none" w:sz="0" w:space="0" w:color="auto"/>
        <w:left w:val="none" w:sz="0" w:space="0" w:color="auto"/>
        <w:bottom w:val="none" w:sz="0" w:space="0" w:color="auto"/>
        <w:right w:val="none" w:sz="0" w:space="0" w:color="auto"/>
      </w:divBdr>
    </w:div>
    <w:div w:id="555120384">
      <w:bodyDiv w:val="1"/>
      <w:marLeft w:val="0"/>
      <w:marRight w:val="0"/>
      <w:marTop w:val="0"/>
      <w:marBottom w:val="0"/>
      <w:divBdr>
        <w:top w:val="none" w:sz="0" w:space="0" w:color="auto"/>
        <w:left w:val="none" w:sz="0" w:space="0" w:color="auto"/>
        <w:bottom w:val="none" w:sz="0" w:space="0" w:color="auto"/>
        <w:right w:val="none" w:sz="0" w:space="0" w:color="auto"/>
      </w:divBdr>
    </w:div>
    <w:div w:id="555431937">
      <w:bodyDiv w:val="1"/>
      <w:marLeft w:val="0"/>
      <w:marRight w:val="0"/>
      <w:marTop w:val="0"/>
      <w:marBottom w:val="0"/>
      <w:divBdr>
        <w:top w:val="none" w:sz="0" w:space="0" w:color="auto"/>
        <w:left w:val="none" w:sz="0" w:space="0" w:color="auto"/>
        <w:bottom w:val="none" w:sz="0" w:space="0" w:color="auto"/>
        <w:right w:val="none" w:sz="0" w:space="0" w:color="auto"/>
      </w:divBdr>
    </w:div>
    <w:div w:id="558517541">
      <w:bodyDiv w:val="1"/>
      <w:marLeft w:val="0"/>
      <w:marRight w:val="0"/>
      <w:marTop w:val="0"/>
      <w:marBottom w:val="0"/>
      <w:divBdr>
        <w:top w:val="none" w:sz="0" w:space="0" w:color="auto"/>
        <w:left w:val="none" w:sz="0" w:space="0" w:color="auto"/>
        <w:bottom w:val="none" w:sz="0" w:space="0" w:color="auto"/>
        <w:right w:val="none" w:sz="0" w:space="0" w:color="auto"/>
      </w:divBdr>
    </w:div>
    <w:div w:id="562257032">
      <w:bodyDiv w:val="1"/>
      <w:marLeft w:val="0"/>
      <w:marRight w:val="0"/>
      <w:marTop w:val="0"/>
      <w:marBottom w:val="0"/>
      <w:divBdr>
        <w:top w:val="none" w:sz="0" w:space="0" w:color="auto"/>
        <w:left w:val="none" w:sz="0" w:space="0" w:color="auto"/>
        <w:bottom w:val="none" w:sz="0" w:space="0" w:color="auto"/>
        <w:right w:val="none" w:sz="0" w:space="0" w:color="auto"/>
      </w:divBdr>
    </w:div>
    <w:div w:id="563100184">
      <w:bodyDiv w:val="1"/>
      <w:marLeft w:val="0"/>
      <w:marRight w:val="0"/>
      <w:marTop w:val="0"/>
      <w:marBottom w:val="0"/>
      <w:divBdr>
        <w:top w:val="none" w:sz="0" w:space="0" w:color="auto"/>
        <w:left w:val="none" w:sz="0" w:space="0" w:color="auto"/>
        <w:bottom w:val="none" w:sz="0" w:space="0" w:color="auto"/>
        <w:right w:val="none" w:sz="0" w:space="0" w:color="auto"/>
      </w:divBdr>
    </w:div>
    <w:div w:id="564216554">
      <w:bodyDiv w:val="1"/>
      <w:marLeft w:val="0"/>
      <w:marRight w:val="0"/>
      <w:marTop w:val="0"/>
      <w:marBottom w:val="0"/>
      <w:divBdr>
        <w:top w:val="none" w:sz="0" w:space="0" w:color="auto"/>
        <w:left w:val="none" w:sz="0" w:space="0" w:color="auto"/>
        <w:bottom w:val="none" w:sz="0" w:space="0" w:color="auto"/>
        <w:right w:val="none" w:sz="0" w:space="0" w:color="auto"/>
      </w:divBdr>
    </w:div>
    <w:div w:id="572350203">
      <w:bodyDiv w:val="1"/>
      <w:marLeft w:val="0"/>
      <w:marRight w:val="0"/>
      <w:marTop w:val="0"/>
      <w:marBottom w:val="0"/>
      <w:divBdr>
        <w:top w:val="none" w:sz="0" w:space="0" w:color="auto"/>
        <w:left w:val="none" w:sz="0" w:space="0" w:color="auto"/>
        <w:bottom w:val="none" w:sz="0" w:space="0" w:color="auto"/>
        <w:right w:val="none" w:sz="0" w:space="0" w:color="auto"/>
      </w:divBdr>
    </w:div>
    <w:div w:id="573315490">
      <w:bodyDiv w:val="1"/>
      <w:marLeft w:val="0"/>
      <w:marRight w:val="0"/>
      <w:marTop w:val="0"/>
      <w:marBottom w:val="0"/>
      <w:divBdr>
        <w:top w:val="none" w:sz="0" w:space="0" w:color="auto"/>
        <w:left w:val="none" w:sz="0" w:space="0" w:color="auto"/>
        <w:bottom w:val="none" w:sz="0" w:space="0" w:color="auto"/>
        <w:right w:val="none" w:sz="0" w:space="0" w:color="auto"/>
      </w:divBdr>
    </w:div>
    <w:div w:id="574708352">
      <w:bodyDiv w:val="1"/>
      <w:marLeft w:val="0"/>
      <w:marRight w:val="0"/>
      <w:marTop w:val="0"/>
      <w:marBottom w:val="0"/>
      <w:divBdr>
        <w:top w:val="none" w:sz="0" w:space="0" w:color="auto"/>
        <w:left w:val="none" w:sz="0" w:space="0" w:color="auto"/>
        <w:bottom w:val="none" w:sz="0" w:space="0" w:color="auto"/>
        <w:right w:val="none" w:sz="0" w:space="0" w:color="auto"/>
      </w:divBdr>
    </w:div>
    <w:div w:id="575629475">
      <w:bodyDiv w:val="1"/>
      <w:marLeft w:val="0"/>
      <w:marRight w:val="0"/>
      <w:marTop w:val="0"/>
      <w:marBottom w:val="0"/>
      <w:divBdr>
        <w:top w:val="none" w:sz="0" w:space="0" w:color="auto"/>
        <w:left w:val="none" w:sz="0" w:space="0" w:color="auto"/>
        <w:bottom w:val="none" w:sz="0" w:space="0" w:color="auto"/>
        <w:right w:val="none" w:sz="0" w:space="0" w:color="auto"/>
      </w:divBdr>
    </w:div>
    <w:div w:id="575669494">
      <w:bodyDiv w:val="1"/>
      <w:marLeft w:val="0"/>
      <w:marRight w:val="0"/>
      <w:marTop w:val="0"/>
      <w:marBottom w:val="0"/>
      <w:divBdr>
        <w:top w:val="none" w:sz="0" w:space="0" w:color="auto"/>
        <w:left w:val="none" w:sz="0" w:space="0" w:color="auto"/>
        <w:bottom w:val="none" w:sz="0" w:space="0" w:color="auto"/>
        <w:right w:val="none" w:sz="0" w:space="0" w:color="auto"/>
      </w:divBdr>
    </w:div>
    <w:div w:id="577373701">
      <w:bodyDiv w:val="1"/>
      <w:marLeft w:val="0"/>
      <w:marRight w:val="0"/>
      <w:marTop w:val="0"/>
      <w:marBottom w:val="0"/>
      <w:divBdr>
        <w:top w:val="none" w:sz="0" w:space="0" w:color="auto"/>
        <w:left w:val="none" w:sz="0" w:space="0" w:color="auto"/>
        <w:bottom w:val="none" w:sz="0" w:space="0" w:color="auto"/>
        <w:right w:val="none" w:sz="0" w:space="0" w:color="auto"/>
      </w:divBdr>
    </w:div>
    <w:div w:id="577518121">
      <w:bodyDiv w:val="1"/>
      <w:marLeft w:val="0"/>
      <w:marRight w:val="0"/>
      <w:marTop w:val="0"/>
      <w:marBottom w:val="0"/>
      <w:divBdr>
        <w:top w:val="none" w:sz="0" w:space="0" w:color="auto"/>
        <w:left w:val="none" w:sz="0" w:space="0" w:color="auto"/>
        <w:bottom w:val="none" w:sz="0" w:space="0" w:color="auto"/>
        <w:right w:val="none" w:sz="0" w:space="0" w:color="auto"/>
      </w:divBdr>
    </w:div>
    <w:div w:id="587884678">
      <w:bodyDiv w:val="1"/>
      <w:marLeft w:val="0"/>
      <w:marRight w:val="0"/>
      <w:marTop w:val="0"/>
      <w:marBottom w:val="0"/>
      <w:divBdr>
        <w:top w:val="none" w:sz="0" w:space="0" w:color="auto"/>
        <w:left w:val="none" w:sz="0" w:space="0" w:color="auto"/>
        <w:bottom w:val="none" w:sz="0" w:space="0" w:color="auto"/>
        <w:right w:val="none" w:sz="0" w:space="0" w:color="auto"/>
      </w:divBdr>
    </w:div>
    <w:div w:id="593243743">
      <w:bodyDiv w:val="1"/>
      <w:marLeft w:val="0"/>
      <w:marRight w:val="0"/>
      <w:marTop w:val="0"/>
      <w:marBottom w:val="0"/>
      <w:divBdr>
        <w:top w:val="none" w:sz="0" w:space="0" w:color="auto"/>
        <w:left w:val="none" w:sz="0" w:space="0" w:color="auto"/>
        <w:bottom w:val="none" w:sz="0" w:space="0" w:color="auto"/>
        <w:right w:val="none" w:sz="0" w:space="0" w:color="auto"/>
      </w:divBdr>
    </w:div>
    <w:div w:id="593829022">
      <w:bodyDiv w:val="1"/>
      <w:marLeft w:val="0"/>
      <w:marRight w:val="0"/>
      <w:marTop w:val="0"/>
      <w:marBottom w:val="0"/>
      <w:divBdr>
        <w:top w:val="none" w:sz="0" w:space="0" w:color="auto"/>
        <w:left w:val="none" w:sz="0" w:space="0" w:color="auto"/>
        <w:bottom w:val="none" w:sz="0" w:space="0" w:color="auto"/>
        <w:right w:val="none" w:sz="0" w:space="0" w:color="auto"/>
      </w:divBdr>
    </w:div>
    <w:div w:id="596716008">
      <w:bodyDiv w:val="1"/>
      <w:marLeft w:val="0"/>
      <w:marRight w:val="0"/>
      <w:marTop w:val="0"/>
      <w:marBottom w:val="0"/>
      <w:divBdr>
        <w:top w:val="none" w:sz="0" w:space="0" w:color="auto"/>
        <w:left w:val="none" w:sz="0" w:space="0" w:color="auto"/>
        <w:bottom w:val="none" w:sz="0" w:space="0" w:color="auto"/>
        <w:right w:val="none" w:sz="0" w:space="0" w:color="auto"/>
      </w:divBdr>
    </w:div>
    <w:div w:id="597979859">
      <w:bodyDiv w:val="1"/>
      <w:marLeft w:val="0"/>
      <w:marRight w:val="0"/>
      <w:marTop w:val="0"/>
      <w:marBottom w:val="0"/>
      <w:divBdr>
        <w:top w:val="none" w:sz="0" w:space="0" w:color="auto"/>
        <w:left w:val="none" w:sz="0" w:space="0" w:color="auto"/>
        <w:bottom w:val="none" w:sz="0" w:space="0" w:color="auto"/>
        <w:right w:val="none" w:sz="0" w:space="0" w:color="auto"/>
      </w:divBdr>
    </w:div>
    <w:div w:id="599027508">
      <w:bodyDiv w:val="1"/>
      <w:marLeft w:val="0"/>
      <w:marRight w:val="0"/>
      <w:marTop w:val="0"/>
      <w:marBottom w:val="0"/>
      <w:divBdr>
        <w:top w:val="none" w:sz="0" w:space="0" w:color="auto"/>
        <w:left w:val="none" w:sz="0" w:space="0" w:color="auto"/>
        <w:bottom w:val="none" w:sz="0" w:space="0" w:color="auto"/>
        <w:right w:val="none" w:sz="0" w:space="0" w:color="auto"/>
      </w:divBdr>
    </w:div>
    <w:div w:id="603269911">
      <w:bodyDiv w:val="1"/>
      <w:marLeft w:val="0"/>
      <w:marRight w:val="0"/>
      <w:marTop w:val="0"/>
      <w:marBottom w:val="0"/>
      <w:divBdr>
        <w:top w:val="none" w:sz="0" w:space="0" w:color="auto"/>
        <w:left w:val="none" w:sz="0" w:space="0" w:color="auto"/>
        <w:bottom w:val="none" w:sz="0" w:space="0" w:color="auto"/>
        <w:right w:val="none" w:sz="0" w:space="0" w:color="auto"/>
      </w:divBdr>
    </w:div>
    <w:div w:id="604657179">
      <w:bodyDiv w:val="1"/>
      <w:marLeft w:val="0"/>
      <w:marRight w:val="0"/>
      <w:marTop w:val="0"/>
      <w:marBottom w:val="0"/>
      <w:divBdr>
        <w:top w:val="none" w:sz="0" w:space="0" w:color="auto"/>
        <w:left w:val="none" w:sz="0" w:space="0" w:color="auto"/>
        <w:bottom w:val="none" w:sz="0" w:space="0" w:color="auto"/>
        <w:right w:val="none" w:sz="0" w:space="0" w:color="auto"/>
      </w:divBdr>
    </w:div>
    <w:div w:id="604657964">
      <w:bodyDiv w:val="1"/>
      <w:marLeft w:val="0"/>
      <w:marRight w:val="0"/>
      <w:marTop w:val="0"/>
      <w:marBottom w:val="0"/>
      <w:divBdr>
        <w:top w:val="none" w:sz="0" w:space="0" w:color="auto"/>
        <w:left w:val="none" w:sz="0" w:space="0" w:color="auto"/>
        <w:bottom w:val="none" w:sz="0" w:space="0" w:color="auto"/>
        <w:right w:val="none" w:sz="0" w:space="0" w:color="auto"/>
      </w:divBdr>
    </w:div>
    <w:div w:id="609817193">
      <w:bodyDiv w:val="1"/>
      <w:marLeft w:val="0"/>
      <w:marRight w:val="0"/>
      <w:marTop w:val="0"/>
      <w:marBottom w:val="0"/>
      <w:divBdr>
        <w:top w:val="none" w:sz="0" w:space="0" w:color="auto"/>
        <w:left w:val="none" w:sz="0" w:space="0" w:color="auto"/>
        <w:bottom w:val="none" w:sz="0" w:space="0" w:color="auto"/>
        <w:right w:val="none" w:sz="0" w:space="0" w:color="auto"/>
      </w:divBdr>
    </w:div>
    <w:div w:id="610472777">
      <w:bodyDiv w:val="1"/>
      <w:marLeft w:val="0"/>
      <w:marRight w:val="0"/>
      <w:marTop w:val="0"/>
      <w:marBottom w:val="0"/>
      <w:divBdr>
        <w:top w:val="none" w:sz="0" w:space="0" w:color="auto"/>
        <w:left w:val="none" w:sz="0" w:space="0" w:color="auto"/>
        <w:bottom w:val="none" w:sz="0" w:space="0" w:color="auto"/>
        <w:right w:val="none" w:sz="0" w:space="0" w:color="auto"/>
      </w:divBdr>
    </w:div>
    <w:div w:id="612127092">
      <w:bodyDiv w:val="1"/>
      <w:marLeft w:val="0"/>
      <w:marRight w:val="0"/>
      <w:marTop w:val="0"/>
      <w:marBottom w:val="0"/>
      <w:divBdr>
        <w:top w:val="none" w:sz="0" w:space="0" w:color="auto"/>
        <w:left w:val="none" w:sz="0" w:space="0" w:color="auto"/>
        <w:bottom w:val="none" w:sz="0" w:space="0" w:color="auto"/>
        <w:right w:val="none" w:sz="0" w:space="0" w:color="auto"/>
      </w:divBdr>
    </w:div>
    <w:div w:id="614679895">
      <w:bodyDiv w:val="1"/>
      <w:marLeft w:val="0"/>
      <w:marRight w:val="0"/>
      <w:marTop w:val="0"/>
      <w:marBottom w:val="0"/>
      <w:divBdr>
        <w:top w:val="none" w:sz="0" w:space="0" w:color="auto"/>
        <w:left w:val="none" w:sz="0" w:space="0" w:color="auto"/>
        <w:bottom w:val="none" w:sz="0" w:space="0" w:color="auto"/>
        <w:right w:val="none" w:sz="0" w:space="0" w:color="auto"/>
      </w:divBdr>
    </w:div>
    <w:div w:id="618685162">
      <w:bodyDiv w:val="1"/>
      <w:marLeft w:val="0"/>
      <w:marRight w:val="0"/>
      <w:marTop w:val="0"/>
      <w:marBottom w:val="0"/>
      <w:divBdr>
        <w:top w:val="none" w:sz="0" w:space="0" w:color="auto"/>
        <w:left w:val="none" w:sz="0" w:space="0" w:color="auto"/>
        <w:bottom w:val="none" w:sz="0" w:space="0" w:color="auto"/>
        <w:right w:val="none" w:sz="0" w:space="0" w:color="auto"/>
      </w:divBdr>
    </w:div>
    <w:div w:id="622076424">
      <w:bodyDiv w:val="1"/>
      <w:marLeft w:val="0"/>
      <w:marRight w:val="0"/>
      <w:marTop w:val="0"/>
      <w:marBottom w:val="0"/>
      <w:divBdr>
        <w:top w:val="none" w:sz="0" w:space="0" w:color="auto"/>
        <w:left w:val="none" w:sz="0" w:space="0" w:color="auto"/>
        <w:bottom w:val="none" w:sz="0" w:space="0" w:color="auto"/>
        <w:right w:val="none" w:sz="0" w:space="0" w:color="auto"/>
      </w:divBdr>
    </w:div>
    <w:div w:id="622926850">
      <w:bodyDiv w:val="1"/>
      <w:marLeft w:val="0"/>
      <w:marRight w:val="0"/>
      <w:marTop w:val="0"/>
      <w:marBottom w:val="0"/>
      <w:divBdr>
        <w:top w:val="none" w:sz="0" w:space="0" w:color="auto"/>
        <w:left w:val="none" w:sz="0" w:space="0" w:color="auto"/>
        <w:bottom w:val="none" w:sz="0" w:space="0" w:color="auto"/>
        <w:right w:val="none" w:sz="0" w:space="0" w:color="auto"/>
      </w:divBdr>
    </w:div>
    <w:div w:id="625547476">
      <w:bodyDiv w:val="1"/>
      <w:marLeft w:val="0"/>
      <w:marRight w:val="0"/>
      <w:marTop w:val="0"/>
      <w:marBottom w:val="0"/>
      <w:divBdr>
        <w:top w:val="none" w:sz="0" w:space="0" w:color="auto"/>
        <w:left w:val="none" w:sz="0" w:space="0" w:color="auto"/>
        <w:bottom w:val="none" w:sz="0" w:space="0" w:color="auto"/>
        <w:right w:val="none" w:sz="0" w:space="0" w:color="auto"/>
      </w:divBdr>
    </w:div>
    <w:div w:id="626395707">
      <w:bodyDiv w:val="1"/>
      <w:marLeft w:val="0"/>
      <w:marRight w:val="0"/>
      <w:marTop w:val="0"/>
      <w:marBottom w:val="0"/>
      <w:divBdr>
        <w:top w:val="none" w:sz="0" w:space="0" w:color="auto"/>
        <w:left w:val="none" w:sz="0" w:space="0" w:color="auto"/>
        <w:bottom w:val="none" w:sz="0" w:space="0" w:color="auto"/>
        <w:right w:val="none" w:sz="0" w:space="0" w:color="auto"/>
      </w:divBdr>
    </w:div>
    <w:div w:id="627005790">
      <w:bodyDiv w:val="1"/>
      <w:marLeft w:val="0"/>
      <w:marRight w:val="0"/>
      <w:marTop w:val="0"/>
      <w:marBottom w:val="0"/>
      <w:divBdr>
        <w:top w:val="none" w:sz="0" w:space="0" w:color="auto"/>
        <w:left w:val="none" w:sz="0" w:space="0" w:color="auto"/>
        <w:bottom w:val="none" w:sz="0" w:space="0" w:color="auto"/>
        <w:right w:val="none" w:sz="0" w:space="0" w:color="auto"/>
      </w:divBdr>
    </w:div>
    <w:div w:id="628588310">
      <w:bodyDiv w:val="1"/>
      <w:marLeft w:val="0"/>
      <w:marRight w:val="0"/>
      <w:marTop w:val="0"/>
      <w:marBottom w:val="0"/>
      <w:divBdr>
        <w:top w:val="none" w:sz="0" w:space="0" w:color="auto"/>
        <w:left w:val="none" w:sz="0" w:space="0" w:color="auto"/>
        <w:bottom w:val="none" w:sz="0" w:space="0" w:color="auto"/>
        <w:right w:val="none" w:sz="0" w:space="0" w:color="auto"/>
      </w:divBdr>
    </w:div>
    <w:div w:id="629361358">
      <w:bodyDiv w:val="1"/>
      <w:marLeft w:val="0"/>
      <w:marRight w:val="0"/>
      <w:marTop w:val="0"/>
      <w:marBottom w:val="0"/>
      <w:divBdr>
        <w:top w:val="none" w:sz="0" w:space="0" w:color="auto"/>
        <w:left w:val="none" w:sz="0" w:space="0" w:color="auto"/>
        <w:bottom w:val="none" w:sz="0" w:space="0" w:color="auto"/>
        <w:right w:val="none" w:sz="0" w:space="0" w:color="auto"/>
      </w:divBdr>
    </w:div>
    <w:div w:id="629556504">
      <w:bodyDiv w:val="1"/>
      <w:marLeft w:val="0"/>
      <w:marRight w:val="0"/>
      <w:marTop w:val="0"/>
      <w:marBottom w:val="0"/>
      <w:divBdr>
        <w:top w:val="none" w:sz="0" w:space="0" w:color="auto"/>
        <w:left w:val="none" w:sz="0" w:space="0" w:color="auto"/>
        <w:bottom w:val="none" w:sz="0" w:space="0" w:color="auto"/>
        <w:right w:val="none" w:sz="0" w:space="0" w:color="auto"/>
      </w:divBdr>
    </w:div>
    <w:div w:id="632708498">
      <w:bodyDiv w:val="1"/>
      <w:marLeft w:val="0"/>
      <w:marRight w:val="0"/>
      <w:marTop w:val="0"/>
      <w:marBottom w:val="0"/>
      <w:divBdr>
        <w:top w:val="none" w:sz="0" w:space="0" w:color="auto"/>
        <w:left w:val="none" w:sz="0" w:space="0" w:color="auto"/>
        <w:bottom w:val="none" w:sz="0" w:space="0" w:color="auto"/>
        <w:right w:val="none" w:sz="0" w:space="0" w:color="auto"/>
      </w:divBdr>
    </w:div>
    <w:div w:id="633945695">
      <w:bodyDiv w:val="1"/>
      <w:marLeft w:val="0"/>
      <w:marRight w:val="0"/>
      <w:marTop w:val="0"/>
      <w:marBottom w:val="0"/>
      <w:divBdr>
        <w:top w:val="none" w:sz="0" w:space="0" w:color="auto"/>
        <w:left w:val="none" w:sz="0" w:space="0" w:color="auto"/>
        <w:bottom w:val="none" w:sz="0" w:space="0" w:color="auto"/>
        <w:right w:val="none" w:sz="0" w:space="0" w:color="auto"/>
      </w:divBdr>
    </w:div>
    <w:div w:id="634218586">
      <w:bodyDiv w:val="1"/>
      <w:marLeft w:val="0"/>
      <w:marRight w:val="0"/>
      <w:marTop w:val="0"/>
      <w:marBottom w:val="0"/>
      <w:divBdr>
        <w:top w:val="none" w:sz="0" w:space="0" w:color="auto"/>
        <w:left w:val="none" w:sz="0" w:space="0" w:color="auto"/>
        <w:bottom w:val="none" w:sz="0" w:space="0" w:color="auto"/>
        <w:right w:val="none" w:sz="0" w:space="0" w:color="auto"/>
      </w:divBdr>
    </w:div>
    <w:div w:id="635985277">
      <w:bodyDiv w:val="1"/>
      <w:marLeft w:val="0"/>
      <w:marRight w:val="0"/>
      <w:marTop w:val="0"/>
      <w:marBottom w:val="0"/>
      <w:divBdr>
        <w:top w:val="none" w:sz="0" w:space="0" w:color="auto"/>
        <w:left w:val="none" w:sz="0" w:space="0" w:color="auto"/>
        <w:bottom w:val="none" w:sz="0" w:space="0" w:color="auto"/>
        <w:right w:val="none" w:sz="0" w:space="0" w:color="auto"/>
      </w:divBdr>
    </w:div>
    <w:div w:id="636763681">
      <w:bodyDiv w:val="1"/>
      <w:marLeft w:val="0"/>
      <w:marRight w:val="0"/>
      <w:marTop w:val="0"/>
      <w:marBottom w:val="0"/>
      <w:divBdr>
        <w:top w:val="none" w:sz="0" w:space="0" w:color="auto"/>
        <w:left w:val="none" w:sz="0" w:space="0" w:color="auto"/>
        <w:bottom w:val="none" w:sz="0" w:space="0" w:color="auto"/>
        <w:right w:val="none" w:sz="0" w:space="0" w:color="auto"/>
      </w:divBdr>
    </w:div>
    <w:div w:id="637804958">
      <w:bodyDiv w:val="1"/>
      <w:marLeft w:val="0"/>
      <w:marRight w:val="0"/>
      <w:marTop w:val="0"/>
      <w:marBottom w:val="0"/>
      <w:divBdr>
        <w:top w:val="none" w:sz="0" w:space="0" w:color="auto"/>
        <w:left w:val="none" w:sz="0" w:space="0" w:color="auto"/>
        <w:bottom w:val="none" w:sz="0" w:space="0" w:color="auto"/>
        <w:right w:val="none" w:sz="0" w:space="0" w:color="auto"/>
      </w:divBdr>
    </w:div>
    <w:div w:id="638456118">
      <w:bodyDiv w:val="1"/>
      <w:marLeft w:val="0"/>
      <w:marRight w:val="0"/>
      <w:marTop w:val="0"/>
      <w:marBottom w:val="0"/>
      <w:divBdr>
        <w:top w:val="none" w:sz="0" w:space="0" w:color="auto"/>
        <w:left w:val="none" w:sz="0" w:space="0" w:color="auto"/>
        <w:bottom w:val="none" w:sz="0" w:space="0" w:color="auto"/>
        <w:right w:val="none" w:sz="0" w:space="0" w:color="auto"/>
      </w:divBdr>
    </w:div>
    <w:div w:id="642582479">
      <w:bodyDiv w:val="1"/>
      <w:marLeft w:val="0"/>
      <w:marRight w:val="0"/>
      <w:marTop w:val="0"/>
      <w:marBottom w:val="0"/>
      <w:divBdr>
        <w:top w:val="none" w:sz="0" w:space="0" w:color="auto"/>
        <w:left w:val="none" w:sz="0" w:space="0" w:color="auto"/>
        <w:bottom w:val="none" w:sz="0" w:space="0" w:color="auto"/>
        <w:right w:val="none" w:sz="0" w:space="0" w:color="auto"/>
      </w:divBdr>
    </w:div>
    <w:div w:id="645862804">
      <w:bodyDiv w:val="1"/>
      <w:marLeft w:val="0"/>
      <w:marRight w:val="0"/>
      <w:marTop w:val="0"/>
      <w:marBottom w:val="0"/>
      <w:divBdr>
        <w:top w:val="none" w:sz="0" w:space="0" w:color="auto"/>
        <w:left w:val="none" w:sz="0" w:space="0" w:color="auto"/>
        <w:bottom w:val="none" w:sz="0" w:space="0" w:color="auto"/>
        <w:right w:val="none" w:sz="0" w:space="0" w:color="auto"/>
      </w:divBdr>
    </w:div>
    <w:div w:id="654843520">
      <w:bodyDiv w:val="1"/>
      <w:marLeft w:val="0"/>
      <w:marRight w:val="0"/>
      <w:marTop w:val="0"/>
      <w:marBottom w:val="0"/>
      <w:divBdr>
        <w:top w:val="none" w:sz="0" w:space="0" w:color="auto"/>
        <w:left w:val="none" w:sz="0" w:space="0" w:color="auto"/>
        <w:bottom w:val="none" w:sz="0" w:space="0" w:color="auto"/>
        <w:right w:val="none" w:sz="0" w:space="0" w:color="auto"/>
      </w:divBdr>
    </w:div>
    <w:div w:id="654846042">
      <w:bodyDiv w:val="1"/>
      <w:marLeft w:val="0"/>
      <w:marRight w:val="0"/>
      <w:marTop w:val="0"/>
      <w:marBottom w:val="0"/>
      <w:divBdr>
        <w:top w:val="none" w:sz="0" w:space="0" w:color="auto"/>
        <w:left w:val="none" w:sz="0" w:space="0" w:color="auto"/>
        <w:bottom w:val="none" w:sz="0" w:space="0" w:color="auto"/>
        <w:right w:val="none" w:sz="0" w:space="0" w:color="auto"/>
      </w:divBdr>
    </w:div>
    <w:div w:id="656419918">
      <w:bodyDiv w:val="1"/>
      <w:marLeft w:val="0"/>
      <w:marRight w:val="0"/>
      <w:marTop w:val="0"/>
      <w:marBottom w:val="0"/>
      <w:divBdr>
        <w:top w:val="none" w:sz="0" w:space="0" w:color="auto"/>
        <w:left w:val="none" w:sz="0" w:space="0" w:color="auto"/>
        <w:bottom w:val="none" w:sz="0" w:space="0" w:color="auto"/>
        <w:right w:val="none" w:sz="0" w:space="0" w:color="auto"/>
      </w:divBdr>
    </w:div>
    <w:div w:id="660499585">
      <w:bodyDiv w:val="1"/>
      <w:marLeft w:val="0"/>
      <w:marRight w:val="0"/>
      <w:marTop w:val="0"/>
      <w:marBottom w:val="0"/>
      <w:divBdr>
        <w:top w:val="none" w:sz="0" w:space="0" w:color="auto"/>
        <w:left w:val="none" w:sz="0" w:space="0" w:color="auto"/>
        <w:bottom w:val="none" w:sz="0" w:space="0" w:color="auto"/>
        <w:right w:val="none" w:sz="0" w:space="0" w:color="auto"/>
      </w:divBdr>
    </w:div>
    <w:div w:id="662318831">
      <w:bodyDiv w:val="1"/>
      <w:marLeft w:val="0"/>
      <w:marRight w:val="0"/>
      <w:marTop w:val="0"/>
      <w:marBottom w:val="0"/>
      <w:divBdr>
        <w:top w:val="none" w:sz="0" w:space="0" w:color="auto"/>
        <w:left w:val="none" w:sz="0" w:space="0" w:color="auto"/>
        <w:bottom w:val="none" w:sz="0" w:space="0" w:color="auto"/>
        <w:right w:val="none" w:sz="0" w:space="0" w:color="auto"/>
      </w:divBdr>
    </w:div>
    <w:div w:id="666902162">
      <w:bodyDiv w:val="1"/>
      <w:marLeft w:val="0"/>
      <w:marRight w:val="0"/>
      <w:marTop w:val="0"/>
      <w:marBottom w:val="0"/>
      <w:divBdr>
        <w:top w:val="none" w:sz="0" w:space="0" w:color="auto"/>
        <w:left w:val="none" w:sz="0" w:space="0" w:color="auto"/>
        <w:bottom w:val="none" w:sz="0" w:space="0" w:color="auto"/>
        <w:right w:val="none" w:sz="0" w:space="0" w:color="auto"/>
      </w:divBdr>
    </w:div>
    <w:div w:id="673535450">
      <w:bodyDiv w:val="1"/>
      <w:marLeft w:val="0"/>
      <w:marRight w:val="0"/>
      <w:marTop w:val="0"/>
      <w:marBottom w:val="0"/>
      <w:divBdr>
        <w:top w:val="none" w:sz="0" w:space="0" w:color="auto"/>
        <w:left w:val="none" w:sz="0" w:space="0" w:color="auto"/>
        <w:bottom w:val="none" w:sz="0" w:space="0" w:color="auto"/>
        <w:right w:val="none" w:sz="0" w:space="0" w:color="auto"/>
      </w:divBdr>
    </w:div>
    <w:div w:id="678848997">
      <w:bodyDiv w:val="1"/>
      <w:marLeft w:val="0"/>
      <w:marRight w:val="0"/>
      <w:marTop w:val="0"/>
      <w:marBottom w:val="0"/>
      <w:divBdr>
        <w:top w:val="none" w:sz="0" w:space="0" w:color="auto"/>
        <w:left w:val="none" w:sz="0" w:space="0" w:color="auto"/>
        <w:bottom w:val="none" w:sz="0" w:space="0" w:color="auto"/>
        <w:right w:val="none" w:sz="0" w:space="0" w:color="auto"/>
      </w:divBdr>
    </w:div>
    <w:div w:id="679162081">
      <w:bodyDiv w:val="1"/>
      <w:marLeft w:val="0"/>
      <w:marRight w:val="0"/>
      <w:marTop w:val="0"/>
      <w:marBottom w:val="0"/>
      <w:divBdr>
        <w:top w:val="none" w:sz="0" w:space="0" w:color="auto"/>
        <w:left w:val="none" w:sz="0" w:space="0" w:color="auto"/>
        <w:bottom w:val="none" w:sz="0" w:space="0" w:color="auto"/>
        <w:right w:val="none" w:sz="0" w:space="0" w:color="auto"/>
      </w:divBdr>
    </w:div>
    <w:div w:id="683630036">
      <w:bodyDiv w:val="1"/>
      <w:marLeft w:val="0"/>
      <w:marRight w:val="0"/>
      <w:marTop w:val="0"/>
      <w:marBottom w:val="0"/>
      <w:divBdr>
        <w:top w:val="none" w:sz="0" w:space="0" w:color="auto"/>
        <w:left w:val="none" w:sz="0" w:space="0" w:color="auto"/>
        <w:bottom w:val="none" w:sz="0" w:space="0" w:color="auto"/>
        <w:right w:val="none" w:sz="0" w:space="0" w:color="auto"/>
      </w:divBdr>
    </w:div>
    <w:div w:id="683635057">
      <w:bodyDiv w:val="1"/>
      <w:marLeft w:val="0"/>
      <w:marRight w:val="0"/>
      <w:marTop w:val="0"/>
      <w:marBottom w:val="0"/>
      <w:divBdr>
        <w:top w:val="none" w:sz="0" w:space="0" w:color="auto"/>
        <w:left w:val="none" w:sz="0" w:space="0" w:color="auto"/>
        <w:bottom w:val="none" w:sz="0" w:space="0" w:color="auto"/>
        <w:right w:val="none" w:sz="0" w:space="0" w:color="auto"/>
      </w:divBdr>
    </w:div>
    <w:div w:id="686057381">
      <w:bodyDiv w:val="1"/>
      <w:marLeft w:val="0"/>
      <w:marRight w:val="0"/>
      <w:marTop w:val="0"/>
      <w:marBottom w:val="0"/>
      <w:divBdr>
        <w:top w:val="none" w:sz="0" w:space="0" w:color="auto"/>
        <w:left w:val="none" w:sz="0" w:space="0" w:color="auto"/>
        <w:bottom w:val="none" w:sz="0" w:space="0" w:color="auto"/>
        <w:right w:val="none" w:sz="0" w:space="0" w:color="auto"/>
      </w:divBdr>
    </w:div>
    <w:div w:id="687095975">
      <w:bodyDiv w:val="1"/>
      <w:marLeft w:val="0"/>
      <w:marRight w:val="0"/>
      <w:marTop w:val="0"/>
      <w:marBottom w:val="0"/>
      <w:divBdr>
        <w:top w:val="none" w:sz="0" w:space="0" w:color="auto"/>
        <w:left w:val="none" w:sz="0" w:space="0" w:color="auto"/>
        <w:bottom w:val="none" w:sz="0" w:space="0" w:color="auto"/>
        <w:right w:val="none" w:sz="0" w:space="0" w:color="auto"/>
      </w:divBdr>
    </w:div>
    <w:div w:id="691105703">
      <w:bodyDiv w:val="1"/>
      <w:marLeft w:val="0"/>
      <w:marRight w:val="0"/>
      <w:marTop w:val="0"/>
      <w:marBottom w:val="0"/>
      <w:divBdr>
        <w:top w:val="none" w:sz="0" w:space="0" w:color="auto"/>
        <w:left w:val="none" w:sz="0" w:space="0" w:color="auto"/>
        <w:bottom w:val="none" w:sz="0" w:space="0" w:color="auto"/>
        <w:right w:val="none" w:sz="0" w:space="0" w:color="auto"/>
      </w:divBdr>
    </w:div>
    <w:div w:id="692734066">
      <w:bodyDiv w:val="1"/>
      <w:marLeft w:val="0"/>
      <w:marRight w:val="0"/>
      <w:marTop w:val="0"/>
      <w:marBottom w:val="0"/>
      <w:divBdr>
        <w:top w:val="none" w:sz="0" w:space="0" w:color="auto"/>
        <w:left w:val="none" w:sz="0" w:space="0" w:color="auto"/>
        <w:bottom w:val="none" w:sz="0" w:space="0" w:color="auto"/>
        <w:right w:val="none" w:sz="0" w:space="0" w:color="auto"/>
      </w:divBdr>
    </w:div>
    <w:div w:id="694160793">
      <w:bodyDiv w:val="1"/>
      <w:marLeft w:val="0"/>
      <w:marRight w:val="0"/>
      <w:marTop w:val="0"/>
      <w:marBottom w:val="0"/>
      <w:divBdr>
        <w:top w:val="none" w:sz="0" w:space="0" w:color="auto"/>
        <w:left w:val="none" w:sz="0" w:space="0" w:color="auto"/>
        <w:bottom w:val="none" w:sz="0" w:space="0" w:color="auto"/>
        <w:right w:val="none" w:sz="0" w:space="0" w:color="auto"/>
      </w:divBdr>
    </w:div>
    <w:div w:id="694237913">
      <w:bodyDiv w:val="1"/>
      <w:marLeft w:val="0"/>
      <w:marRight w:val="0"/>
      <w:marTop w:val="0"/>
      <w:marBottom w:val="0"/>
      <w:divBdr>
        <w:top w:val="none" w:sz="0" w:space="0" w:color="auto"/>
        <w:left w:val="none" w:sz="0" w:space="0" w:color="auto"/>
        <w:bottom w:val="none" w:sz="0" w:space="0" w:color="auto"/>
        <w:right w:val="none" w:sz="0" w:space="0" w:color="auto"/>
      </w:divBdr>
    </w:div>
    <w:div w:id="696856906">
      <w:bodyDiv w:val="1"/>
      <w:marLeft w:val="0"/>
      <w:marRight w:val="0"/>
      <w:marTop w:val="0"/>
      <w:marBottom w:val="0"/>
      <w:divBdr>
        <w:top w:val="none" w:sz="0" w:space="0" w:color="auto"/>
        <w:left w:val="none" w:sz="0" w:space="0" w:color="auto"/>
        <w:bottom w:val="none" w:sz="0" w:space="0" w:color="auto"/>
        <w:right w:val="none" w:sz="0" w:space="0" w:color="auto"/>
      </w:divBdr>
    </w:div>
    <w:div w:id="699817417">
      <w:bodyDiv w:val="1"/>
      <w:marLeft w:val="0"/>
      <w:marRight w:val="0"/>
      <w:marTop w:val="0"/>
      <w:marBottom w:val="0"/>
      <w:divBdr>
        <w:top w:val="none" w:sz="0" w:space="0" w:color="auto"/>
        <w:left w:val="none" w:sz="0" w:space="0" w:color="auto"/>
        <w:bottom w:val="none" w:sz="0" w:space="0" w:color="auto"/>
        <w:right w:val="none" w:sz="0" w:space="0" w:color="auto"/>
      </w:divBdr>
    </w:div>
    <w:div w:id="700788415">
      <w:bodyDiv w:val="1"/>
      <w:marLeft w:val="0"/>
      <w:marRight w:val="0"/>
      <w:marTop w:val="0"/>
      <w:marBottom w:val="0"/>
      <w:divBdr>
        <w:top w:val="none" w:sz="0" w:space="0" w:color="auto"/>
        <w:left w:val="none" w:sz="0" w:space="0" w:color="auto"/>
        <w:bottom w:val="none" w:sz="0" w:space="0" w:color="auto"/>
        <w:right w:val="none" w:sz="0" w:space="0" w:color="auto"/>
      </w:divBdr>
    </w:div>
    <w:div w:id="703334687">
      <w:bodyDiv w:val="1"/>
      <w:marLeft w:val="0"/>
      <w:marRight w:val="0"/>
      <w:marTop w:val="0"/>
      <w:marBottom w:val="0"/>
      <w:divBdr>
        <w:top w:val="none" w:sz="0" w:space="0" w:color="auto"/>
        <w:left w:val="none" w:sz="0" w:space="0" w:color="auto"/>
        <w:bottom w:val="none" w:sz="0" w:space="0" w:color="auto"/>
        <w:right w:val="none" w:sz="0" w:space="0" w:color="auto"/>
      </w:divBdr>
    </w:div>
    <w:div w:id="707491919">
      <w:bodyDiv w:val="1"/>
      <w:marLeft w:val="0"/>
      <w:marRight w:val="0"/>
      <w:marTop w:val="0"/>
      <w:marBottom w:val="0"/>
      <w:divBdr>
        <w:top w:val="none" w:sz="0" w:space="0" w:color="auto"/>
        <w:left w:val="none" w:sz="0" w:space="0" w:color="auto"/>
        <w:bottom w:val="none" w:sz="0" w:space="0" w:color="auto"/>
        <w:right w:val="none" w:sz="0" w:space="0" w:color="auto"/>
      </w:divBdr>
    </w:div>
    <w:div w:id="709107044">
      <w:bodyDiv w:val="1"/>
      <w:marLeft w:val="0"/>
      <w:marRight w:val="0"/>
      <w:marTop w:val="0"/>
      <w:marBottom w:val="0"/>
      <w:divBdr>
        <w:top w:val="none" w:sz="0" w:space="0" w:color="auto"/>
        <w:left w:val="none" w:sz="0" w:space="0" w:color="auto"/>
        <w:bottom w:val="none" w:sz="0" w:space="0" w:color="auto"/>
        <w:right w:val="none" w:sz="0" w:space="0" w:color="auto"/>
      </w:divBdr>
    </w:div>
    <w:div w:id="712460715">
      <w:bodyDiv w:val="1"/>
      <w:marLeft w:val="0"/>
      <w:marRight w:val="0"/>
      <w:marTop w:val="0"/>
      <w:marBottom w:val="0"/>
      <w:divBdr>
        <w:top w:val="none" w:sz="0" w:space="0" w:color="auto"/>
        <w:left w:val="none" w:sz="0" w:space="0" w:color="auto"/>
        <w:bottom w:val="none" w:sz="0" w:space="0" w:color="auto"/>
        <w:right w:val="none" w:sz="0" w:space="0" w:color="auto"/>
      </w:divBdr>
    </w:div>
    <w:div w:id="713194033">
      <w:bodyDiv w:val="1"/>
      <w:marLeft w:val="0"/>
      <w:marRight w:val="0"/>
      <w:marTop w:val="0"/>
      <w:marBottom w:val="0"/>
      <w:divBdr>
        <w:top w:val="none" w:sz="0" w:space="0" w:color="auto"/>
        <w:left w:val="none" w:sz="0" w:space="0" w:color="auto"/>
        <w:bottom w:val="none" w:sz="0" w:space="0" w:color="auto"/>
        <w:right w:val="none" w:sz="0" w:space="0" w:color="auto"/>
      </w:divBdr>
    </w:div>
    <w:div w:id="716317220">
      <w:bodyDiv w:val="1"/>
      <w:marLeft w:val="0"/>
      <w:marRight w:val="0"/>
      <w:marTop w:val="0"/>
      <w:marBottom w:val="0"/>
      <w:divBdr>
        <w:top w:val="none" w:sz="0" w:space="0" w:color="auto"/>
        <w:left w:val="none" w:sz="0" w:space="0" w:color="auto"/>
        <w:bottom w:val="none" w:sz="0" w:space="0" w:color="auto"/>
        <w:right w:val="none" w:sz="0" w:space="0" w:color="auto"/>
      </w:divBdr>
    </w:div>
    <w:div w:id="716854142">
      <w:bodyDiv w:val="1"/>
      <w:marLeft w:val="0"/>
      <w:marRight w:val="0"/>
      <w:marTop w:val="0"/>
      <w:marBottom w:val="0"/>
      <w:divBdr>
        <w:top w:val="none" w:sz="0" w:space="0" w:color="auto"/>
        <w:left w:val="none" w:sz="0" w:space="0" w:color="auto"/>
        <w:bottom w:val="none" w:sz="0" w:space="0" w:color="auto"/>
        <w:right w:val="none" w:sz="0" w:space="0" w:color="auto"/>
      </w:divBdr>
    </w:div>
    <w:div w:id="717976458">
      <w:bodyDiv w:val="1"/>
      <w:marLeft w:val="0"/>
      <w:marRight w:val="0"/>
      <w:marTop w:val="0"/>
      <w:marBottom w:val="0"/>
      <w:divBdr>
        <w:top w:val="none" w:sz="0" w:space="0" w:color="auto"/>
        <w:left w:val="none" w:sz="0" w:space="0" w:color="auto"/>
        <w:bottom w:val="none" w:sz="0" w:space="0" w:color="auto"/>
        <w:right w:val="none" w:sz="0" w:space="0" w:color="auto"/>
      </w:divBdr>
    </w:div>
    <w:div w:id="719549009">
      <w:bodyDiv w:val="1"/>
      <w:marLeft w:val="0"/>
      <w:marRight w:val="0"/>
      <w:marTop w:val="0"/>
      <w:marBottom w:val="0"/>
      <w:divBdr>
        <w:top w:val="none" w:sz="0" w:space="0" w:color="auto"/>
        <w:left w:val="none" w:sz="0" w:space="0" w:color="auto"/>
        <w:bottom w:val="none" w:sz="0" w:space="0" w:color="auto"/>
        <w:right w:val="none" w:sz="0" w:space="0" w:color="auto"/>
      </w:divBdr>
    </w:div>
    <w:div w:id="724988124">
      <w:bodyDiv w:val="1"/>
      <w:marLeft w:val="0"/>
      <w:marRight w:val="0"/>
      <w:marTop w:val="0"/>
      <w:marBottom w:val="0"/>
      <w:divBdr>
        <w:top w:val="none" w:sz="0" w:space="0" w:color="auto"/>
        <w:left w:val="none" w:sz="0" w:space="0" w:color="auto"/>
        <w:bottom w:val="none" w:sz="0" w:space="0" w:color="auto"/>
        <w:right w:val="none" w:sz="0" w:space="0" w:color="auto"/>
      </w:divBdr>
    </w:div>
    <w:div w:id="731541843">
      <w:bodyDiv w:val="1"/>
      <w:marLeft w:val="0"/>
      <w:marRight w:val="0"/>
      <w:marTop w:val="0"/>
      <w:marBottom w:val="0"/>
      <w:divBdr>
        <w:top w:val="none" w:sz="0" w:space="0" w:color="auto"/>
        <w:left w:val="none" w:sz="0" w:space="0" w:color="auto"/>
        <w:bottom w:val="none" w:sz="0" w:space="0" w:color="auto"/>
        <w:right w:val="none" w:sz="0" w:space="0" w:color="auto"/>
      </w:divBdr>
    </w:div>
    <w:div w:id="733240530">
      <w:bodyDiv w:val="1"/>
      <w:marLeft w:val="0"/>
      <w:marRight w:val="0"/>
      <w:marTop w:val="0"/>
      <w:marBottom w:val="0"/>
      <w:divBdr>
        <w:top w:val="none" w:sz="0" w:space="0" w:color="auto"/>
        <w:left w:val="none" w:sz="0" w:space="0" w:color="auto"/>
        <w:bottom w:val="none" w:sz="0" w:space="0" w:color="auto"/>
        <w:right w:val="none" w:sz="0" w:space="0" w:color="auto"/>
      </w:divBdr>
    </w:div>
    <w:div w:id="733773298">
      <w:bodyDiv w:val="1"/>
      <w:marLeft w:val="0"/>
      <w:marRight w:val="0"/>
      <w:marTop w:val="0"/>
      <w:marBottom w:val="0"/>
      <w:divBdr>
        <w:top w:val="none" w:sz="0" w:space="0" w:color="auto"/>
        <w:left w:val="none" w:sz="0" w:space="0" w:color="auto"/>
        <w:bottom w:val="none" w:sz="0" w:space="0" w:color="auto"/>
        <w:right w:val="none" w:sz="0" w:space="0" w:color="auto"/>
      </w:divBdr>
    </w:div>
    <w:div w:id="735586311">
      <w:bodyDiv w:val="1"/>
      <w:marLeft w:val="0"/>
      <w:marRight w:val="0"/>
      <w:marTop w:val="0"/>
      <w:marBottom w:val="0"/>
      <w:divBdr>
        <w:top w:val="none" w:sz="0" w:space="0" w:color="auto"/>
        <w:left w:val="none" w:sz="0" w:space="0" w:color="auto"/>
        <w:bottom w:val="none" w:sz="0" w:space="0" w:color="auto"/>
        <w:right w:val="none" w:sz="0" w:space="0" w:color="auto"/>
      </w:divBdr>
    </w:div>
    <w:div w:id="738819986">
      <w:bodyDiv w:val="1"/>
      <w:marLeft w:val="0"/>
      <w:marRight w:val="0"/>
      <w:marTop w:val="0"/>
      <w:marBottom w:val="0"/>
      <w:divBdr>
        <w:top w:val="none" w:sz="0" w:space="0" w:color="auto"/>
        <w:left w:val="none" w:sz="0" w:space="0" w:color="auto"/>
        <w:bottom w:val="none" w:sz="0" w:space="0" w:color="auto"/>
        <w:right w:val="none" w:sz="0" w:space="0" w:color="auto"/>
      </w:divBdr>
    </w:div>
    <w:div w:id="746029019">
      <w:bodyDiv w:val="1"/>
      <w:marLeft w:val="0"/>
      <w:marRight w:val="0"/>
      <w:marTop w:val="0"/>
      <w:marBottom w:val="0"/>
      <w:divBdr>
        <w:top w:val="none" w:sz="0" w:space="0" w:color="auto"/>
        <w:left w:val="none" w:sz="0" w:space="0" w:color="auto"/>
        <w:bottom w:val="none" w:sz="0" w:space="0" w:color="auto"/>
        <w:right w:val="none" w:sz="0" w:space="0" w:color="auto"/>
      </w:divBdr>
    </w:div>
    <w:div w:id="746848378">
      <w:bodyDiv w:val="1"/>
      <w:marLeft w:val="0"/>
      <w:marRight w:val="0"/>
      <w:marTop w:val="0"/>
      <w:marBottom w:val="0"/>
      <w:divBdr>
        <w:top w:val="none" w:sz="0" w:space="0" w:color="auto"/>
        <w:left w:val="none" w:sz="0" w:space="0" w:color="auto"/>
        <w:bottom w:val="none" w:sz="0" w:space="0" w:color="auto"/>
        <w:right w:val="none" w:sz="0" w:space="0" w:color="auto"/>
      </w:divBdr>
    </w:div>
    <w:div w:id="747390314">
      <w:bodyDiv w:val="1"/>
      <w:marLeft w:val="0"/>
      <w:marRight w:val="0"/>
      <w:marTop w:val="0"/>
      <w:marBottom w:val="0"/>
      <w:divBdr>
        <w:top w:val="none" w:sz="0" w:space="0" w:color="auto"/>
        <w:left w:val="none" w:sz="0" w:space="0" w:color="auto"/>
        <w:bottom w:val="none" w:sz="0" w:space="0" w:color="auto"/>
        <w:right w:val="none" w:sz="0" w:space="0" w:color="auto"/>
      </w:divBdr>
    </w:div>
    <w:div w:id="750783125">
      <w:bodyDiv w:val="1"/>
      <w:marLeft w:val="0"/>
      <w:marRight w:val="0"/>
      <w:marTop w:val="0"/>
      <w:marBottom w:val="0"/>
      <w:divBdr>
        <w:top w:val="none" w:sz="0" w:space="0" w:color="auto"/>
        <w:left w:val="none" w:sz="0" w:space="0" w:color="auto"/>
        <w:bottom w:val="none" w:sz="0" w:space="0" w:color="auto"/>
        <w:right w:val="none" w:sz="0" w:space="0" w:color="auto"/>
      </w:divBdr>
    </w:div>
    <w:div w:id="751389844">
      <w:bodyDiv w:val="1"/>
      <w:marLeft w:val="0"/>
      <w:marRight w:val="0"/>
      <w:marTop w:val="0"/>
      <w:marBottom w:val="0"/>
      <w:divBdr>
        <w:top w:val="none" w:sz="0" w:space="0" w:color="auto"/>
        <w:left w:val="none" w:sz="0" w:space="0" w:color="auto"/>
        <w:bottom w:val="none" w:sz="0" w:space="0" w:color="auto"/>
        <w:right w:val="none" w:sz="0" w:space="0" w:color="auto"/>
      </w:divBdr>
    </w:div>
    <w:div w:id="753939636">
      <w:bodyDiv w:val="1"/>
      <w:marLeft w:val="0"/>
      <w:marRight w:val="0"/>
      <w:marTop w:val="0"/>
      <w:marBottom w:val="0"/>
      <w:divBdr>
        <w:top w:val="none" w:sz="0" w:space="0" w:color="auto"/>
        <w:left w:val="none" w:sz="0" w:space="0" w:color="auto"/>
        <w:bottom w:val="none" w:sz="0" w:space="0" w:color="auto"/>
        <w:right w:val="none" w:sz="0" w:space="0" w:color="auto"/>
      </w:divBdr>
    </w:div>
    <w:div w:id="754741602">
      <w:bodyDiv w:val="1"/>
      <w:marLeft w:val="0"/>
      <w:marRight w:val="0"/>
      <w:marTop w:val="0"/>
      <w:marBottom w:val="0"/>
      <w:divBdr>
        <w:top w:val="none" w:sz="0" w:space="0" w:color="auto"/>
        <w:left w:val="none" w:sz="0" w:space="0" w:color="auto"/>
        <w:bottom w:val="none" w:sz="0" w:space="0" w:color="auto"/>
        <w:right w:val="none" w:sz="0" w:space="0" w:color="auto"/>
      </w:divBdr>
    </w:div>
    <w:div w:id="764498276">
      <w:bodyDiv w:val="1"/>
      <w:marLeft w:val="0"/>
      <w:marRight w:val="0"/>
      <w:marTop w:val="0"/>
      <w:marBottom w:val="0"/>
      <w:divBdr>
        <w:top w:val="none" w:sz="0" w:space="0" w:color="auto"/>
        <w:left w:val="none" w:sz="0" w:space="0" w:color="auto"/>
        <w:bottom w:val="none" w:sz="0" w:space="0" w:color="auto"/>
        <w:right w:val="none" w:sz="0" w:space="0" w:color="auto"/>
      </w:divBdr>
    </w:div>
    <w:div w:id="771166509">
      <w:bodyDiv w:val="1"/>
      <w:marLeft w:val="0"/>
      <w:marRight w:val="0"/>
      <w:marTop w:val="0"/>
      <w:marBottom w:val="0"/>
      <w:divBdr>
        <w:top w:val="none" w:sz="0" w:space="0" w:color="auto"/>
        <w:left w:val="none" w:sz="0" w:space="0" w:color="auto"/>
        <w:bottom w:val="none" w:sz="0" w:space="0" w:color="auto"/>
        <w:right w:val="none" w:sz="0" w:space="0" w:color="auto"/>
      </w:divBdr>
    </w:div>
    <w:div w:id="777480604">
      <w:bodyDiv w:val="1"/>
      <w:marLeft w:val="0"/>
      <w:marRight w:val="0"/>
      <w:marTop w:val="0"/>
      <w:marBottom w:val="0"/>
      <w:divBdr>
        <w:top w:val="none" w:sz="0" w:space="0" w:color="auto"/>
        <w:left w:val="none" w:sz="0" w:space="0" w:color="auto"/>
        <w:bottom w:val="none" w:sz="0" w:space="0" w:color="auto"/>
        <w:right w:val="none" w:sz="0" w:space="0" w:color="auto"/>
      </w:divBdr>
    </w:div>
    <w:div w:id="779763083">
      <w:bodyDiv w:val="1"/>
      <w:marLeft w:val="0"/>
      <w:marRight w:val="0"/>
      <w:marTop w:val="0"/>
      <w:marBottom w:val="0"/>
      <w:divBdr>
        <w:top w:val="none" w:sz="0" w:space="0" w:color="auto"/>
        <w:left w:val="none" w:sz="0" w:space="0" w:color="auto"/>
        <w:bottom w:val="none" w:sz="0" w:space="0" w:color="auto"/>
        <w:right w:val="none" w:sz="0" w:space="0" w:color="auto"/>
      </w:divBdr>
    </w:div>
    <w:div w:id="787891478">
      <w:bodyDiv w:val="1"/>
      <w:marLeft w:val="0"/>
      <w:marRight w:val="0"/>
      <w:marTop w:val="0"/>
      <w:marBottom w:val="0"/>
      <w:divBdr>
        <w:top w:val="none" w:sz="0" w:space="0" w:color="auto"/>
        <w:left w:val="none" w:sz="0" w:space="0" w:color="auto"/>
        <w:bottom w:val="none" w:sz="0" w:space="0" w:color="auto"/>
        <w:right w:val="none" w:sz="0" w:space="0" w:color="auto"/>
      </w:divBdr>
    </w:div>
    <w:div w:id="792021129">
      <w:bodyDiv w:val="1"/>
      <w:marLeft w:val="0"/>
      <w:marRight w:val="0"/>
      <w:marTop w:val="0"/>
      <w:marBottom w:val="0"/>
      <w:divBdr>
        <w:top w:val="none" w:sz="0" w:space="0" w:color="auto"/>
        <w:left w:val="none" w:sz="0" w:space="0" w:color="auto"/>
        <w:bottom w:val="none" w:sz="0" w:space="0" w:color="auto"/>
        <w:right w:val="none" w:sz="0" w:space="0" w:color="auto"/>
      </w:divBdr>
    </w:div>
    <w:div w:id="793064715">
      <w:bodyDiv w:val="1"/>
      <w:marLeft w:val="0"/>
      <w:marRight w:val="0"/>
      <w:marTop w:val="0"/>
      <w:marBottom w:val="0"/>
      <w:divBdr>
        <w:top w:val="none" w:sz="0" w:space="0" w:color="auto"/>
        <w:left w:val="none" w:sz="0" w:space="0" w:color="auto"/>
        <w:bottom w:val="none" w:sz="0" w:space="0" w:color="auto"/>
        <w:right w:val="none" w:sz="0" w:space="0" w:color="auto"/>
      </w:divBdr>
    </w:div>
    <w:div w:id="795442956">
      <w:bodyDiv w:val="1"/>
      <w:marLeft w:val="0"/>
      <w:marRight w:val="0"/>
      <w:marTop w:val="0"/>
      <w:marBottom w:val="0"/>
      <w:divBdr>
        <w:top w:val="none" w:sz="0" w:space="0" w:color="auto"/>
        <w:left w:val="none" w:sz="0" w:space="0" w:color="auto"/>
        <w:bottom w:val="none" w:sz="0" w:space="0" w:color="auto"/>
        <w:right w:val="none" w:sz="0" w:space="0" w:color="auto"/>
      </w:divBdr>
    </w:div>
    <w:div w:id="797257245">
      <w:bodyDiv w:val="1"/>
      <w:marLeft w:val="0"/>
      <w:marRight w:val="0"/>
      <w:marTop w:val="0"/>
      <w:marBottom w:val="0"/>
      <w:divBdr>
        <w:top w:val="none" w:sz="0" w:space="0" w:color="auto"/>
        <w:left w:val="none" w:sz="0" w:space="0" w:color="auto"/>
        <w:bottom w:val="none" w:sz="0" w:space="0" w:color="auto"/>
        <w:right w:val="none" w:sz="0" w:space="0" w:color="auto"/>
      </w:divBdr>
    </w:div>
    <w:div w:id="799885960">
      <w:bodyDiv w:val="1"/>
      <w:marLeft w:val="0"/>
      <w:marRight w:val="0"/>
      <w:marTop w:val="0"/>
      <w:marBottom w:val="0"/>
      <w:divBdr>
        <w:top w:val="none" w:sz="0" w:space="0" w:color="auto"/>
        <w:left w:val="none" w:sz="0" w:space="0" w:color="auto"/>
        <w:bottom w:val="none" w:sz="0" w:space="0" w:color="auto"/>
        <w:right w:val="none" w:sz="0" w:space="0" w:color="auto"/>
      </w:divBdr>
    </w:div>
    <w:div w:id="801727061">
      <w:bodyDiv w:val="1"/>
      <w:marLeft w:val="0"/>
      <w:marRight w:val="0"/>
      <w:marTop w:val="0"/>
      <w:marBottom w:val="0"/>
      <w:divBdr>
        <w:top w:val="none" w:sz="0" w:space="0" w:color="auto"/>
        <w:left w:val="none" w:sz="0" w:space="0" w:color="auto"/>
        <w:bottom w:val="none" w:sz="0" w:space="0" w:color="auto"/>
        <w:right w:val="none" w:sz="0" w:space="0" w:color="auto"/>
      </w:divBdr>
    </w:div>
    <w:div w:id="803038997">
      <w:bodyDiv w:val="1"/>
      <w:marLeft w:val="0"/>
      <w:marRight w:val="0"/>
      <w:marTop w:val="0"/>
      <w:marBottom w:val="0"/>
      <w:divBdr>
        <w:top w:val="none" w:sz="0" w:space="0" w:color="auto"/>
        <w:left w:val="none" w:sz="0" w:space="0" w:color="auto"/>
        <w:bottom w:val="none" w:sz="0" w:space="0" w:color="auto"/>
        <w:right w:val="none" w:sz="0" w:space="0" w:color="auto"/>
      </w:divBdr>
    </w:div>
    <w:div w:id="805662238">
      <w:bodyDiv w:val="1"/>
      <w:marLeft w:val="0"/>
      <w:marRight w:val="0"/>
      <w:marTop w:val="0"/>
      <w:marBottom w:val="0"/>
      <w:divBdr>
        <w:top w:val="none" w:sz="0" w:space="0" w:color="auto"/>
        <w:left w:val="none" w:sz="0" w:space="0" w:color="auto"/>
        <w:bottom w:val="none" w:sz="0" w:space="0" w:color="auto"/>
        <w:right w:val="none" w:sz="0" w:space="0" w:color="auto"/>
      </w:divBdr>
    </w:div>
    <w:div w:id="805896582">
      <w:bodyDiv w:val="1"/>
      <w:marLeft w:val="0"/>
      <w:marRight w:val="0"/>
      <w:marTop w:val="0"/>
      <w:marBottom w:val="0"/>
      <w:divBdr>
        <w:top w:val="none" w:sz="0" w:space="0" w:color="auto"/>
        <w:left w:val="none" w:sz="0" w:space="0" w:color="auto"/>
        <w:bottom w:val="none" w:sz="0" w:space="0" w:color="auto"/>
        <w:right w:val="none" w:sz="0" w:space="0" w:color="auto"/>
      </w:divBdr>
    </w:div>
    <w:div w:id="807866653">
      <w:bodyDiv w:val="1"/>
      <w:marLeft w:val="0"/>
      <w:marRight w:val="0"/>
      <w:marTop w:val="0"/>
      <w:marBottom w:val="0"/>
      <w:divBdr>
        <w:top w:val="none" w:sz="0" w:space="0" w:color="auto"/>
        <w:left w:val="none" w:sz="0" w:space="0" w:color="auto"/>
        <w:bottom w:val="none" w:sz="0" w:space="0" w:color="auto"/>
        <w:right w:val="none" w:sz="0" w:space="0" w:color="auto"/>
      </w:divBdr>
    </w:div>
    <w:div w:id="809401296">
      <w:bodyDiv w:val="1"/>
      <w:marLeft w:val="0"/>
      <w:marRight w:val="0"/>
      <w:marTop w:val="0"/>
      <w:marBottom w:val="0"/>
      <w:divBdr>
        <w:top w:val="none" w:sz="0" w:space="0" w:color="auto"/>
        <w:left w:val="none" w:sz="0" w:space="0" w:color="auto"/>
        <w:bottom w:val="none" w:sz="0" w:space="0" w:color="auto"/>
        <w:right w:val="none" w:sz="0" w:space="0" w:color="auto"/>
      </w:divBdr>
    </w:div>
    <w:div w:id="810367176">
      <w:bodyDiv w:val="1"/>
      <w:marLeft w:val="0"/>
      <w:marRight w:val="0"/>
      <w:marTop w:val="0"/>
      <w:marBottom w:val="0"/>
      <w:divBdr>
        <w:top w:val="none" w:sz="0" w:space="0" w:color="auto"/>
        <w:left w:val="none" w:sz="0" w:space="0" w:color="auto"/>
        <w:bottom w:val="none" w:sz="0" w:space="0" w:color="auto"/>
        <w:right w:val="none" w:sz="0" w:space="0" w:color="auto"/>
      </w:divBdr>
    </w:div>
    <w:div w:id="816461122">
      <w:bodyDiv w:val="1"/>
      <w:marLeft w:val="0"/>
      <w:marRight w:val="0"/>
      <w:marTop w:val="0"/>
      <w:marBottom w:val="0"/>
      <w:divBdr>
        <w:top w:val="none" w:sz="0" w:space="0" w:color="auto"/>
        <w:left w:val="none" w:sz="0" w:space="0" w:color="auto"/>
        <w:bottom w:val="none" w:sz="0" w:space="0" w:color="auto"/>
        <w:right w:val="none" w:sz="0" w:space="0" w:color="auto"/>
      </w:divBdr>
    </w:div>
    <w:div w:id="816532164">
      <w:bodyDiv w:val="1"/>
      <w:marLeft w:val="0"/>
      <w:marRight w:val="0"/>
      <w:marTop w:val="0"/>
      <w:marBottom w:val="0"/>
      <w:divBdr>
        <w:top w:val="none" w:sz="0" w:space="0" w:color="auto"/>
        <w:left w:val="none" w:sz="0" w:space="0" w:color="auto"/>
        <w:bottom w:val="none" w:sz="0" w:space="0" w:color="auto"/>
        <w:right w:val="none" w:sz="0" w:space="0" w:color="auto"/>
      </w:divBdr>
    </w:div>
    <w:div w:id="818032197">
      <w:bodyDiv w:val="1"/>
      <w:marLeft w:val="0"/>
      <w:marRight w:val="0"/>
      <w:marTop w:val="0"/>
      <w:marBottom w:val="0"/>
      <w:divBdr>
        <w:top w:val="none" w:sz="0" w:space="0" w:color="auto"/>
        <w:left w:val="none" w:sz="0" w:space="0" w:color="auto"/>
        <w:bottom w:val="none" w:sz="0" w:space="0" w:color="auto"/>
        <w:right w:val="none" w:sz="0" w:space="0" w:color="auto"/>
      </w:divBdr>
    </w:div>
    <w:div w:id="829906601">
      <w:bodyDiv w:val="1"/>
      <w:marLeft w:val="0"/>
      <w:marRight w:val="0"/>
      <w:marTop w:val="0"/>
      <w:marBottom w:val="0"/>
      <w:divBdr>
        <w:top w:val="none" w:sz="0" w:space="0" w:color="auto"/>
        <w:left w:val="none" w:sz="0" w:space="0" w:color="auto"/>
        <w:bottom w:val="none" w:sz="0" w:space="0" w:color="auto"/>
        <w:right w:val="none" w:sz="0" w:space="0" w:color="auto"/>
      </w:divBdr>
    </w:div>
    <w:div w:id="831138572">
      <w:bodyDiv w:val="1"/>
      <w:marLeft w:val="0"/>
      <w:marRight w:val="0"/>
      <w:marTop w:val="0"/>
      <w:marBottom w:val="0"/>
      <w:divBdr>
        <w:top w:val="none" w:sz="0" w:space="0" w:color="auto"/>
        <w:left w:val="none" w:sz="0" w:space="0" w:color="auto"/>
        <w:bottom w:val="none" w:sz="0" w:space="0" w:color="auto"/>
        <w:right w:val="none" w:sz="0" w:space="0" w:color="auto"/>
      </w:divBdr>
    </w:div>
    <w:div w:id="832257331">
      <w:bodyDiv w:val="1"/>
      <w:marLeft w:val="0"/>
      <w:marRight w:val="0"/>
      <w:marTop w:val="0"/>
      <w:marBottom w:val="0"/>
      <w:divBdr>
        <w:top w:val="none" w:sz="0" w:space="0" w:color="auto"/>
        <w:left w:val="none" w:sz="0" w:space="0" w:color="auto"/>
        <w:bottom w:val="none" w:sz="0" w:space="0" w:color="auto"/>
        <w:right w:val="none" w:sz="0" w:space="0" w:color="auto"/>
      </w:divBdr>
    </w:div>
    <w:div w:id="834417572">
      <w:bodyDiv w:val="1"/>
      <w:marLeft w:val="0"/>
      <w:marRight w:val="0"/>
      <w:marTop w:val="0"/>
      <w:marBottom w:val="0"/>
      <w:divBdr>
        <w:top w:val="none" w:sz="0" w:space="0" w:color="auto"/>
        <w:left w:val="none" w:sz="0" w:space="0" w:color="auto"/>
        <w:bottom w:val="none" w:sz="0" w:space="0" w:color="auto"/>
        <w:right w:val="none" w:sz="0" w:space="0" w:color="auto"/>
      </w:divBdr>
    </w:div>
    <w:div w:id="836118944">
      <w:bodyDiv w:val="1"/>
      <w:marLeft w:val="0"/>
      <w:marRight w:val="0"/>
      <w:marTop w:val="0"/>
      <w:marBottom w:val="0"/>
      <w:divBdr>
        <w:top w:val="none" w:sz="0" w:space="0" w:color="auto"/>
        <w:left w:val="none" w:sz="0" w:space="0" w:color="auto"/>
        <w:bottom w:val="none" w:sz="0" w:space="0" w:color="auto"/>
        <w:right w:val="none" w:sz="0" w:space="0" w:color="auto"/>
      </w:divBdr>
    </w:div>
    <w:div w:id="839933679">
      <w:bodyDiv w:val="1"/>
      <w:marLeft w:val="0"/>
      <w:marRight w:val="0"/>
      <w:marTop w:val="0"/>
      <w:marBottom w:val="0"/>
      <w:divBdr>
        <w:top w:val="none" w:sz="0" w:space="0" w:color="auto"/>
        <w:left w:val="none" w:sz="0" w:space="0" w:color="auto"/>
        <w:bottom w:val="none" w:sz="0" w:space="0" w:color="auto"/>
        <w:right w:val="none" w:sz="0" w:space="0" w:color="auto"/>
      </w:divBdr>
    </w:div>
    <w:div w:id="841579223">
      <w:bodyDiv w:val="1"/>
      <w:marLeft w:val="0"/>
      <w:marRight w:val="0"/>
      <w:marTop w:val="0"/>
      <w:marBottom w:val="0"/>
      <w:divBdr>
        <w:top w:val="none" w:sz="0" w:space="0" w:color="auto"/>
        <w:left w:val="none" w:sz="0" w:space="0" w:color="auto"/>
        <w:bottom w:val="none" w:sz="0" w:space="0" w:color="auto"/>
        <w:right w:val="none" w:sz="0" w:space="0" w:color="auto"/>
      </w:divBdr>
    </w:div>
    <w:div w:id="843251867">
      <w:bodyDiv w:val="1"/>
      <w:marLeft w:val="0"/>
      <w:marRight w:val="0"/>
      <w:marTop w:val="0"/>
      <w:marBottom w:val="0"/>
      <w:divBdr>
        <w:top w:val="none" w:sz="0" w:space="0" w:color="auto"/>
        <w:left w:val="none" w:sz="0" w:space="0" w:color="auto"/>
        <w:bottom w:val="none" w:sz="0" w:space="0" w:color="auto"/>
        <w:right w:val="none" w:sz="0" w:space="0" w:color="auto"/>
      </w:divBdr>
    </w:div>
    <w:div w:id="843473006">
      <w:bodyDiv w:val="1"/>
      <w:marLeft w:val="0"/>
      <w:marRight w:val="0"/>
      <w:marTop w:val="0"/>
      <w:marBottom w:val="0"/>
      <w:divBdr>
        <w:top w:val="none" w:sz="0" w:space="0" w:color="auto"/>
        <w:left w:val="none" w:sz="0" w:space="0" w:color="auto"/>
        <w:bottom w:val="none" w:sz="0" w:space="0" w:color="auto"/>
        <w:right w:val="none" w:sz="0" w:space="0" w:color="auto"/>
      </w:divBdr>
    </w:div>
    <w:div w:id="843713298">
      <w:bodyDiv w:val="1"/>
      <w:marLeft w:val="0"/>
      <w:marRight w:val="0"/>
      <w:marTop w:val="0"/>
      <w:marBottom w:val="0"/>
      <w:divBdr>
        <w:top w:val="none" w:sz="0" w:space="0" w:color="auto"/>
        <w:left w:val="none" w:sz="0" w:space="0" w:color="auto"/>
        <w:bottom w:val="none" w:sz="0" w:space="0" w:color="auto"/>
        <w:right w:val="none" w:sz="0" w:space="0" w:color="auto"/>
      </w:divBdr>
    </w:div>
    <w:div w:id="845823519">
      <w:bodyDiv w:val="1"/>
      <w:marLeft w:val="0"/>
      <w:marRight w:val="0"/>
      <w:marTop w:val="0"/>
      <w:marBottom w:val="0"/>
      <w:divBdr>
        <w:top w:val="none" w:sz="0" w:space="0" w:color="auto"/>
        <w:left w:val="none" w:sz="0" w:space="0" w:color="auto"/>
        <w:bottom w:val="none" w:sz="0" w:space="0" w:color="auto"/>
        <w:right w:val="none" w:sz="0" w:space="0" w:color="auto"/>
      </w:divBdr>
    </w:div>
    <w:div w:id="848451941">
      <w:bodyDiv w:val="1"/>
      <w:marLeft w:val="0"/>
      <w:marRight w:val="0"/>
      <w:marTop w:val="0"/>
      <w:marBottom w:val="0"/>
      <w:divBdr>
        <w:top w:val="none" w:sz="0" w:space="0" w:color="auto"/>
        <w:left w:val="none" w:sz="0" w:space="0" w:color="auto"/>
        <w:bottom w:val="none" w:sz="0" w:space="0" w:color="auto"/>
        <w:right w:val="none" w:sz="0" w:space="0" w:color="auto"/>
      </w:divBdr>
    </w:div>
    <w:div w:id="849566745">
      <w:bodyDiv w:val="1"/>
      <w:marLeft w:val="0"/>
      <w:marRight w:val="0"/>
      <w:marTop w:val="0"/>
      <w:marBottom w:val="0"/>
      <w:divBdr>
        <w:top w:val="none" w:sz="0" w:space="0" w:color="auto"/>
        <w:left w:val="none" w:sz="0" w:space="0" w:color="auto"/>
        <w:bottom w:val="none" w:sz="0" w:space="0" w:color="auto"/>
        <w:right w:val="none" w:sz="0" w:space="0" w:color="auto"/>
      </w:divBdr>
    </w:div>
    <w:div w:id="850723272">
      <w:bodyDiv w:val="1"/>
      <w:marLeft w:val="0"/>
      <w:marRight w:val="0"/>
      <w:marTop w:val="0"/>
      <w:marBottom w:val="0"/>
      <w:divBdr>
        <w:top w:val="none" w:sz="0" w:space="0" w:color="auto"/>
        <w:left w:val="none" w:sz="0" w:space="0" w:color="auto"/>
        <w:bottom w:val="none" w:sz="0" w:space="0" w:color="auto"/>
        <w:right w:val="none" w:sz="0" w:space="0" w:color="auto"/>
      </w:divBdr>
    </w:div>
    <w:div w:id="856044841">
      <w:bodyDiv w:val="1"/>
      <w:marLeft w:val="0"/>
      <w:marRight w:val="0"/>
      <w:marTop w:val="0"/>
      <w:marBottom w:val="0"/>
      <w:divBdr>
        <w:top w:val="none" w:sz="0" w:space="0" w:color="auto"/>
        <w:left w:val="none" w:sz="0" w:space="0" w:color="auto"/>
        <w:bottom w:val="none" w:sz="0" w:space="0" w:color="auto"/>
        <w:right w:val="none" w:sz="0" w:space="0" w:color="auto"/>
      </w:divBdr>
    </w:div>
    <w:div w:id="857306852">
      <w:bodyDiv w:val="1"/>
      <w:marLeft w:val="0"/>
      <w:marRight w:val="0"/>
      <w:marTop w:val="0"/>
      <w:marBottom w:val="0"/>
      <w:divBdr>
        <w:top w:val="none" w:sz="0" w:space="0" w:color="auto"/>
        <w:left w:val="none" w:sz="0" w:space="0" w:color="auto"/>
        <w:bottom w:val="none" w:sz="0" w:space="0" w:color="auto"/>
        <w:right w:val="none" w:sz="0" w:space="0" w:color="auto"/>
      </w:divBdr>
    </w:div>
    <w:div w:id="859392352">
      <w:bodyDiv w:val="1"/>
      <w:marLeft w:val="0"/>
      <w:marRight w:val="0"/>
      <w:marTop w:val="0"/>
      <w:marBottom w:val="0"/>
      <w:divBdr>
        <w:top w:val="none" w:sz="0" w:space="0" w:color="auto"/>
        <w:left w:val="none" w:sz="0" w:space="0" w:color="auto"/>
        <w:bottom w:val="none" w:sz="0" w:space="0" w:color="auto"/>
        <w:right w:val="none" w:sz="0" w:space="0" w:color="auto"/>
      </w:divBdr>
    </w:div>
    <w:div w:id="865019926">
      <w:bodyDiv w:val="1"/>
      <w:marLeft w:val="0"/>
      <w:marRight w:val="0"/>
      <w:marTop w:val="0"/>
      <w:marBottom w:val="0"/>
      <w:divBdr>
        <w:top w:val="none" w:sz="0" w:space="0" w:color="auto"/>
        <w:left w:val="none" w:sz="0" w:space="0" w:color="auto"/>
        <w:bottom w:val="none" w:sz="0" w:space="0" w:color="auto"/>
        <w:right w:val="none" w:sz="0" w:space="0" w:color="auto"/>
      </w:divBdr>
    </w:div>
    <w:div w:id="868489853">
      <w:bodyDiv w:val="1"/>
      <w:marLeft w:val="0"/>
      <w:marRight w:val="0"/>
      <w:marTop w:val="0"/>
      <w:marBottom w:val="0"/>
      <w:divBdr>
        <w:top w:val="none" w:sz="0" w:space="0" w:color="auto"/>
        <w:left w:val="none" w:sz="0" w:space="0" w:color="auto"/>
        <w:bottom w:val="none" w:sz="0" w:space="0" w:color="auto"/>
        <w:right w:val="none" w:sz="0" w:space="0" w:color="auto"/>
      </w:divBdr>
    </w:div>
    <w:div w:id="870412773">
      <w:bodyDiv w:val="1"/>
      <w:marLeft w:val="0"/>
      <w:marRight w:val="0"/>
      <w:marTop w:val="0"/>
      <w:marBottom w:val="0"/>
      <w:divBdr>
        <w:top w:val="none" w:sz="0" w:space="0" w:color="auto"/>
        <w:left w:val="none" w:sz="0" w:space="0" w:color="auto"/>
        <w:bottom w:val="none" w:sz="0" w:space="0" w:color="auto"/>
        <w:right w:val="none" w:sz="0" w:space="0" w:color="auto"/>
      </w:divBdr>
    </w:div>
    <w:div w:id="872691727">
      <w:bodyDiv w:val="1"/>
      <w:marLeft w:val="0"/>
      <w:marRight w:val="0"/>
      <w:marTop w:val="0"/>
      <w:marBottom w:val="0"/>
      <w:divBdr>
        <w:top w:val="none" w:sz="0" w:space="0" w:color="auto"/>
        <w:left w:val="none" w:sz="0" w:space="0" w:color="auto"/>
        <w:bottom w:val="none" w:sz="0" w:space="0" w:color="auto"/>
        <w:right w:val="none" w:sz="0" w:space="0" w:color="auto"/>
      </w:divBdr>
    </w:div>
    <w:div w:id="872696555">
      <w:bodyDiv w:val="1"/>
      <w:marLeft w:val="0"/>
      <w:marRight w:val="0"/>
      <w:marTop w:val="0"/>
      <w:marBottom w:val="0"/>
      <w:divBdr>
        <w:top w:val="none" w:sz="0" w:space="0" w:color="auto"/>
        <w:left w:val="none" w:sz="0" w:space="0" w:color="auto"/>
        <w:bottom w:val="none" w:sz="0" w:space="0" w:color="auto"/>
        <w:right w:val="none" w:sz="0" w:space="0" w:color="auto"/>
      </w:divBdr>
    </w:div>
    <w:div w:id="873495410">
      <w:bodyDiv w:val="1"/>
      <w:marLeft w:val="0"/>
      <w:marRight w:val="0"/>
      <w:marTop w:val="0"/>
      <w:marBottom w:val="0"/>
      <w:divBdr>
        <w:top w:val="none" w:sz="0" w:space="0" w:color="auto"/>
        <w:left w:val="none" w:sz="0" w:space="0" w:color="auto"/>
        <w:bottom w:val="none" w:sz="0" w:space="0" w:color="auto"/>
        <w:right w:val="none" w:sz="0" w:space="0" w:color="auto"/>
      </w:divBdr>
    </w:div>
    <w:div w:id="893350078">
      <w:bodyDiv w:val="1"/>
      <w:marLeft w:val="0"/>
      <w:marRight w:val="0"/>
      <w:marTop w:val="0"/>
      <w:marBottom w:val="0"/>
      <w:divBdr>
        <w:top w:val="none" w:sz="0" w:space="0" w:color="auto"/>
        <w:left w:val="none" w:sz="0" w:space="0" w:color="auto"/>
        <w:bottom w:val="none" w:sz="0" w:space="0" w:color="auto"/>
        <w:right w:val="none" w:sz="0" w:space="0" w:color="auto"/>
      </w:divBdr>
    </w:div>
    <w:div w:id="893463297">
      <w:bodyDiv w:val="1"/>
      <w:marLeft w:val="0"/>
      <w:marRight w:val="0"/>
      <w:marTop w:val="0"/>
      <w:marBottom w:val="0"/>
      <w:divBdr>
        <w:top w:val="none" w:sz="0" w:space="0" w:color="auto"/>
        <w:left w:val="none" w:sz="0" w:space="0" w:color="auto"/>
        <w:bottom w:val="none" w:sz="0" w:space="0" w:color="auto"/>
        <w:right w:val="none" w:sz="0" w:space="0" w:color="auto"/>
      </w:divBdr>
    </w:div>
    <w:div w:id="893739407">
      <w:bodyDiv w:val="1"/>
      <w:marLeft w:val="0"/>
      <w:marRight w:val="0"/>
      <w:marTop w:val="0"/>
      <w:marBottom w:val="0"/>
      <w:divBdr>
        <w:top w:val="none" w:sz="0" w:space="0" w:color="auto"/>
        <w:left w:val="none" w:sz="0" w:space="0" w:color="auto"/>
        <w:bottom w:val="none" w:sz="0" w:space="0" w:color="auto"/>
        <w:right w:val="none" w:sz="0" w:space="0" w:color="auto"/>
      </w:divBdr>
    </w:div>
    <w:div w:id="896860708">
      <w:bodyDiv w:val="1"/>
      <w:marLeft w:val="0"/>
      <w:marRight w:val="0"/>
      <w:marTop w:val="0"/>
      <w:marBottom w:val="0"/>
      <w:divBdr>
        <w:top w:val="none" w:sz="0" w:space="0" w:color="auto"/>
        <w:left w:val="none" w:sz="0" w:space="0" w:color="auto"/>
        <w:bottom w:val="none" w:sz="0" w:space="0" w:color="auto"/>
        <w:right w:val="none" w:sz="0" w:space="0" w:color="auto"/>
      </w:divBdr>
    </w:div>
    <w:div w:id="897285763">
      <w:bodyDiv w:val="1"/>
      <w:marLeft w:val="0"/>
      <w:marRight w:val="0"/>
      <w:marTop w:val="0"/>
      <w:marBottom w:val="0"/>
      <w:divBdr>
        <w:top w:val="none" w:sz="0" w:space="0" w:color="auto"/>
        <w:left w:val="none" w:sz="0" w:space="0" w:color="auto"/>
        <w:bottom w:val="none" w:sz="0" w:space="0" w:color="auto"/>
        <w:right w:val="none" w:sz="0" w:space="0" w:color="auto"/>
      </w:divBdr>
    </w:div>
    <w:div w:id="900402759">
      <w:bodyDiv w:val="1"/>
      <w:marLeft w:val="0"/>
      <w:marRight w:val="0"/>
      <w:marTop w:val="0"/>
      <w:marBottom w:val="0"/>
      <w:divBdr>
        <w:top w:val="none" w:sz="0" w:space="0" w:color="auto"/>
        <w:left w:val="none" w:sz="0" w:space="0" w:color="auto"/>
        <w:bottom w:val="none" w:sz="0" w:space="0" w:color="auto"/>
        <w:right w:val="none" w:sz="0" w:space="0" w:color="auto"/>
      </w:divBdr>
    </w:div>
    <w:div w:id="902714000">
      <w:bodyDiv w:val="1"/>
      <w:marLeft w:val="0"/>
      <w:marRight w:val="0"/>
      <w:marTop w:val="0"/>
      <w:marBottom w:val="0"/>
      <w:divBdr>
        <w:top w:val="none" w:sz="0" w:space="0" w:color="auto"/>
        <w:left w:val="none" w:sz="0" w:space="0" w:color="auto"/>
        <w:bottom w:val="none" w:sz="0" w:space="0" w:color="auto"/>
        <w:right w:val="none" w:sz="0" w:space="0" w:color="auto"/>
      </w:divBdr>
    </w:div>
    <w:div w:id="904293658">
      <w:bodyDiv w:val="1"/>
      <w:marLeft w:val="0"/>
      <w:marRight w:val="0"/>
      <w:marTop w:val="0"/>
      <w:marBottom w:val="0"/>
      <w:divBdr>
        <w:top w:val="none" w:sz="0" w:space="0" w:color="auto"/>
        <w:left w:val="none" w:sz="0" w:space="0" w:color="auto"/>
        <w:bottom w:val="none" w:sz="0" w:space="0" w:color="auto"/>
        <w:right w:val="none" w:sz="0" w:space="0" w:color="auto"/>
      </w:divBdr>
    </w:div>
    <w:div w:id="905533138">
      <w:bodyDiv w:val="1"/>
      <w:marLeft w:val="0"/>
      <w:marRight w:val="0"/>
      <w:marTop w:val="0"/>
      <w:marBottom w:val="0"/>
      <w:divBdr>
        <w:top w:val="none" w:sz="0" w:space="0" w:color="auto"/>
        <w:left w:val="none" w:sz="0" w:space="0" w:color="auto"/>
        <w:bottom w:val="none" w:sz="0" w:space="0" w:color="auto"/>
        <w:right w:val="none" w:sz="0" w:space="0" w:color="auto"/>
      </w:divBdr>
    </w:div>
    <w:div w:id="905727968">
      <w:bodyDiv w:val="1"/>
      <w:marLeft w:val="0"/>
      <w:marRight w:val="0"/>
      <w:marTop w:val="0"/>
      <w:marBottom w:val="0"/>
      <w:divBdr>
        <w:top w:val="none" w:sz="0" w:space="0" w:color="auto"/>
        <w:left w:val="none" w:sz="0" w:space="0" w:color="auto"/>
        <w:bottom w:val="none" w:sz="0" w:space="0" w:color="auto"/>
        <w:right w:val="none" w:sz="0" w:space="0" w:color="auto"/>
      </w:divBdr>
    </w:div>
    <w:div w:id="906305554">
      <w:bodyDiv w:val="1"/>
      <w:marLeft w:val="0"/>
      <w:marRight w:val="0"/>
      <w:marTop w:val="0"/>
      <w:marBottom w:val="0"/>
      <w:divBdr>
        <w:top w:val="none" w:sz="0" w:space="0" w:color="auto"/>
        <w:left w:val="none" w:sz="0" w:space="0" w:color="auto"/>
        <w:bottom w:val="none" w:sz="0" w:space="0" w:color="auto"/>
        <w:right w:val="none" w:sz="0" w:space="0" w:color="auto"/>
      </w:divBdr>
    </w:div>
    <w:div w:id="910189694">
      <w:bodyDiv w:val="1"/>
      <w:marLeft w:val="0"/>
      <w:marRight w:val="0"/>
      <w:marTop w:val="0"/>
      <w:marBottom w:val="0"/>
      <w:divBdr>
        <w:top w:val="none" w:sz="0" w:space="0" w:color="auto"/>
        <w:left w:val="none" w:sz="0" w:space="0" w:color="auto"/>
        <w:bottom w:val="none" w:sz="0" w:space="0" w:color="auto"/>
        <w:right w:val="none" w:sz="0" w:space="0" w:color="auto"/>
      </w:divBdr>
    </w:div>
    <w:div w:id="910966323">
      <w:bodyDiv w:val="1"/>
      <w:marLeft w:val="0"/>
      <w:marRight w:val="0"/>
      <w:marTop w:val="0"/>
      <w:marBottom w:val="0"/>
      <w:divBdr>
        <w:top w:val="none" w:sz="0" w:space="0" w:color="auto"/>
        <w:left w:val="none" w:sz="0" w:space="0" w:color="auto"/>
        <w:bottom w:val="none" w:sz="0" w:space="0" w:color="auto"/>
        <w:right w:val="none" w:sz="0" w:space="0" w:color="auto"/>
      </w:divBdr>
    </w:div>
    <w:div w:id="911234843">
      <w:bodyDiv w:val="1"/>
      <w:marLeft w:val="0"/>
      <w:marRight w:val="0"/>
      <w:marTop w:val="0"/>
      <w:marBottom w:val="0"/>
      <w:divBdr>
        <w:top w:val="none" w:sz="0" w:space="0" w:color="auto"/>
        <w:left w:val="none" w:sz="0" w:space="0" w:color="auto"/>
        <w:bottom w:val="none" w:sz="0" w:space="0" w:color="auto"/>
        <w:right w:val="none" w:sz="0" w:space="0" w:color="auto"/>
      </w:divBdr>
    </w:div>
    <w:div w:id="921061607">
      <w:bodyDiv w:val="1"/>
      <w:marLeft w:val="0"/>
      <w:marRight w:val="0"/>
      <w:marTop w:val="0"/>
      <w:marBottom w:val="0"/>
      <w:divBdr>
        <w:top w:val="none" w:sz="0" w:space="0" w:color="auto"/>
        <w:left w:val="none" w:sz="0" w:space="0" w:color="auto"/>
        <w:bottom w:val="none" w:sz="0" w:space="0" w:color="auto"/>
        <w:right w:val="none" w:sz="0" w:space="0" w:color="auto"/>
      </w:divBdr>
    </w:div>
    <w:div w:id="924067868">
      <w:bodyDiv w:val="1"/>
      <w:marLeft w:val="0"/>
      <w:marRight w:val="0"/>
      <w:marTop w:val="0"/>
      <w:marBottom w:val="0"/>
      <w:divBdr>
        <w:top w:val="none" w:sz="0" w:space="0" w:color="auto"/>
        <w:left w:val="none" w:sz="0" w:space="0" w:color="auto"/>
        <w:bottom w:val="none" w:sz="0" w:space="0" w:color="auto"/>
        <w:right w:val="none" w:sz="0" w:space="0" w:color="auto"/>
      </w:divBdr>
    </w:div>
    <w:div w:id="927468166">
      <w:bodyDiv w:val="1"/>
      <w:marLeft w:val="0"/>
      <w:marRight w:val="0"/>
      <w:marTop w:val="0"/>
      <w:marBottom w:val="0"/>
      <w:divBdr>
        <w:top w:val="none" w:sz="0" w:space="0" w:color="auto"/>
        <w:left w:val="none" w:sz="0" w:space="0" w:color="auto"/>
        <w:bottom w:val="none" w:sz="0" w:space="0" w:color="auto"/>
        <w:right w:val="none" w:sz="0" w:space="0" w:color="auto"/>
      </w:divBdr>
    </w:div>
    <w:div w:id="940913710">
      <w:bodyDiv w:val="1"/>
      <w:marLeft w:val="0"/>
      <w:marRight w:val="0"/>
      <w:marTop w:val="0"/>
      <w:marBottom w:val="0"/>
      <w:divBdr>
        <w:top w:val="none" w:sz="0" w:space="0" w:color="auto"/>
        <w:left w:val="none" w:sz="0" w:space="0" w:color="auto"/>
        <w:bottom w:val="none" w:sz="0" w:space="0" w:color="auto"/>
        <w:right w:val="none" w:sz="0" w:space="0" w:color="auto"/>
      </w:divBdr>
    </w:div>
    <w:div w:id="941839896">
      <w:bodyDiv w:val="1"/>
      <w:marLeft w:val="0"/>
      <w:marRight w:val="0"/>
      <w:marTop w:val="0"/>
      <w:marBottom w:val="0"/>
      <w:divBdr>
        <w:top w:val="none" w:sz="0" w:space="0" w:color="auto"/>
        <w:left w:val="none" w:sz="0" w:space="0" w:color="auto"/>
        <w:bottom w:val="none" w:sz="0" w:space="0" w:color="auto"/>
        <w:right w:val="none" w:sz="0" w:space="0" w:color="auto"/>
      </w:divBdr>
    </w:div>
    <w:div w:id="942080316">
      <w:bodyDiv w:val="1"/>
      <w:marLeft w:val="0"/>
      <w:marRight w:val="0"/>
      <w:marTop w:val="0"/>
      <w:marBottom w:val="0"/>
      <w:divBdr>
        <w:top w:val="none" w:sz="0" w:space="0" w:color="auto"/>
        <w:left w:val="none" w:sz="0" w:space="0" w:color="auto"/>
        <w:bottom w:val="none" w:sz="0" w:space="0" w:color="auto"/>
        <w:right w:val="none" w:sz="0" w:space="0" w:color="auto"/>
      </w:divBdr>
    </w:div>
    <w:div w:id="942224690">
      <w:bodyDiv w:val="1"/>
      <w:marLeft w:val="0"/>
      <w:marRight w:val="0"/>
      <w:marTop w:val="0"/>
      <w:marBottom w:val="0"/>
      <w:divBdr>
        <w:top w:val="none" w:sz="0" w:space="0" w:color="auto"/>
        <w:left w:val="none" w:sz="0" w:space="0" w:color="auto"/>
        <w:bottom w:val="none" w:sz="0" w:space="0" w:color="auto"/>
        <w:right w:val="none" w:sz="0" w:space="0" w:color="auto"/>
      </w:divBdr>
    </w:div>
    <w:div w:id="943268391">
      <w:bodyDiv w:val="1"/>
      <w:marLeft w:val="0"/>
      <w:marRight w:val="0"/>
      <w:marTop w:val="0"/>
      <w:marBottom w:val="0"/>
      <w:divBdr>
        <w:top w:val="none" w:sz="0" w:space="0" w:color="auto"/>
        <w:left w:val="none" w:sz="0" w:space="0" w:color="auto"/>
        <w:bottom w:val="none" w:sz="0" w:space="0" w:color="auto"/>
        <w:right w:val="none" w:sz="0" w:space="0" w:color="auto"/>
      </w:divBdr>
    </w:div>
    <w:div w:id="944187614">
      <w:bodyDiv w:val="1"/>
      <w:marLeft w:val="0"/>
      <w:marRight w:val="0"/>
      <w:marTop w:val="0"/>
      <w:marBottom w:val="0"/>
      <w:divBdr>
        <w:top w:val="none" w:sz="0" w:space="0" w:color="auto"/>
        <w:left w:val="none" w:sz="0" w:space="0" w:color="auto"/>
        <w:bottom w:val="none" w:sz="0" w:space="0" w:color="auto"/>
        <w:right w:val="none" w:sz="0" w:space="0" w:color="auto"/>
      </w:divBdr>
    </w:div>
    <w:div w:id="951403358">
      <w:bodyDiv w:val="1"/>
      <w:marLeft w:val="0"/>
      <w:marRight w:val="0"/>
      <w:marTop w:val="0"/>
      <w:marBottom w:val="0"/>
      <w:divBdr>
        <w:top w:val="none" w:sz="0" w:space="0" w:color="auto"/>
        <w:left w:val="none" w:sz="0" w:space="0" w:color="auto"/>
        <w:bottom w:val="none" w:sz="0" w:space="0" w:color="auto"/>
        <w:right w:val="none" w:sz="0" w:space="0" w:color="auto"/>
      </w:divBdr>
    </w:div>
    <w:div w:id="964193362">
      <w:bodyDiv w:val="1"/>
      <w:marLeft w:val="0"/>
      <w:marRight w:val="0"/>
      <w:marTop w:val="0"/>
      <w:marBottom w:val="0"/>
      <w:divBdr>
        <w:top w:val="none" w:sz="0" w:space="0" w:color="auto"/>
        <w:left w:val="none" w:sz="0" w:space="0" w:color="auto"/>
        <w:bottom w:val="none" w:sz="0" w:space="0" w:color="auto"/>
        <w:right w:val="none" w:sz="0" w:space="0" w:color="auto"/>
      </w:divBdr>
    </w:div>
    <w:div w:id="964578381">
      <w:bodyDiv w:val="1"/>
      <w:marLeft w:val="0"/>
      <w:marRight w:val="0"/>
      <w:marTop w:val="0"/>
      <w:marBottom w:val="0"/>
      <w:divBdr>
        <w:top w:val="none" w:sz="0" w:space="0" w:color="auto"/>
        <w:left w:val="none" w:sz="0" w:space="0" w:color="auto"/>
        <w:bottom w:val="none" w:sz="0" w:space="0" w:color="auto"/>
        <w:right w:val="none" w:sz="0" w:space="0" w:color="auto"/>
      </w:divBdr>
    </w:div>
    <w:div w:id="965161120">
      <w:bodyDiv w:val="1"/>
      <w:marLeft w:val="0"/>
      <w:marRight w:val="0"/>
      <w:marTop w:val="0"/>
      <w:marBottom w:val="0"/>
      <w:divBdr>
        <w:top w:val="none" w:sz="0" w:space="0" w:color="auto"/>
        <w:left w:val="none" w:sz="0" w:space="0" w:color="auto"/>
        <w:bottom w:val="none" w:sz="0" w:space="0" w:color="auto"/>
        <w:right w:val="none" w:sz="0" w:space="0" w:color="auto"/>
      </w:divBdr>
    </w:div>
    <w:div w:id="965820310">
      <w:bodyDiv w:val="1"/>
      <w:marLeft w:val="0"/>
      <w:marRight w:val="0"/>
      <w:marTop w:val="0"/>
      <w:marBottom w:val="0"/>
      <w:divBdr>
        <w:top w:val="none" w:sz="0" w:space="0" w:color="auto"/>
        <w:left w:val="none" w:sz="0" w:space="0" w:color="auto"/>
        <w:bottom w:val="none" w:sz="0" w:space="0" w:color="auto"/>
        <w:right w:val="none" w:sz="0" w:space="0" w:color="auto"/>
      </w:divBdr>
    </w:div>
    <w:div w:id="967978943">
      <w:bodyDiv w:val="1"/>
      <w:marLeft w:val="0"/>
      <w:marRight w:val="0"/>
      <w:marTop w:val="0"/>
      <w:marBottom w:val="0"/>
      <w:divBdr>
        <w:top w:val="none" w:sz="0" w:space="0" w:color="auto"/>
        <w:left w:val="none" w:sz="0" w:space="0" w:color="auto"/>
        <w:bottom w:val="none" w:sz="0" w:space="0" w:color="auto"/>
        <w:right w:val="none" w:sz="0" w:space="0" w:color="auto"/>
      </w:divBdr>
    </w:div>
    <w:div w:id="970986498">
      <w:bodyDiv w:val="1"/>
      <w:marLeft w:val="0"/>
      <w:marRight w:val="0"/>
      <w:marTop w:val="0"/>
      <w:marBottom w:val="0"/>
      <w:divBdr>
        <w:top w:val="none" w:sz="0" w:space="0" w:color="auto"/>
        <w:left w:val="none" w:sz="0" w:space="0" w:color="auto"/>
        <w:bottom w:val="none" w:sz="0" w:space="0" w:color="auto"/>
        <w:right w:val="none" w:sz="0" w:space="0" w:color="auto"/>
      </w:divBdr>
    </w:div>
    <w:div w:id="973752442">
      <w:bodyDiv w:val="1"/>
      <w:marLeft w:val="0"/>
      <w:marRight w:val="0"/>
      <w:marTop w:val="0"/>
      <w:marBottom w:val="0"/>
      <w:divBdr>
        <w:top w:val="none" w:sz="0" w:space="0" w:color="auto"/>
        <w:left w:val="none" w:sz="0" w:space="0" w:color="auto"/>
        <w:bottom w:val="none" w:sz="0" w:space="0" w:color="auto"/>
        <w:right w:val="none" w:sz="0" w:space="0" w:color="auto"/>
      </w:divBdr>
    </w:div>
    <w:div w:id="973944185">
      <w:bodyDiv w:val="1"/>
      <w:marLeft w:val="0"/>
      <w:marRight w:val="0"/>
      <w:marTop w:val="0"/>
      <w:marBottom w:val="0"/>
      <w:divBdr>
        <w:top w:val="none" w:sz="0" w:space="0" w:color="auto"/>
        <w:left w:val="none" w:sz="0" w:space="0" w:color="auto"/>
        <w:bottom w:val="none" w:sz="0" w:space="0" w:color="auto"/>
        <w:right w:val="none" w:sz="0" w:space="0" w:color="auto"/>
      </w:divBdr>
    </w:div>
    <w:div w:id="977418875">
      <w:bodyDiv w:val="1"/>
      <w:marLeft w:val="0"/>
      <w:marRight w:val="0"/>
      <w:marTop w:val="0"/>
      <w:marBottom w:val="0"/>
      <w:divBdr>
        <w:top w:val="none" w:sz="0" w:space="0" w:color="auto"/>
        <w:left w:val="none" w:sz="0" w:space="0" w:color="auto"/>
        <w:bottom w:val="none" w:sz="0" w:space="0" w:color="auto"/>
        <w:right w:val="none" w:sz="0" w:space="0" w:color="auto"/>
      </w:divBdr>
    </w:div>
    <w:div w:id="981009474">
      <w:bodyDiv w:val="1"/>
      <w:marLeft w:val="0"/>
      <w:marRight w:val="0"/>
      <w:marTop w:val="0"/>
      <w:marBottom w:val="0"/>
      <w:divBdr>
        <w:top w:val="none" w:sz="0" w:space="0" w:color="auto"/>
        <w:left w:val="none" w:sz="0" w:space="0" w:color="auto"/>
        <w:bottom w:val="none" w:sz="0" w:space="0" w:color="auto"/>
        <w:right w:val="none" w:sz="0" w:space="0" w:color="auto"/>
      </w:divBdr>
    </w:div>
    <w:div w:id="981231759">
      <w:bodyDiv w:val="1"/>
      <w:marLeft w:val="0"/>
      <w:marRight w:val="0"/>
      <w:marTop w:val="0"/>
      <w:marBottom w:val="0"/>
      <w:divBdr>
        <w:top w:val="none" w:sz="0" w:space="0" w:color="auto"/>
        <w:left w:val="none" w:sz="0" w:space="0" w:color="auto"/>
        <w:bottom w:val="none" w:sz="0" w:space="0" w:color="auto"/>
        <w:right w:val="none" w:sz="0" w:space="0" w:color="auto"/>
      </w:divBdr>
    </w:div>
    <w:div w:id="985548817">
      <w:bodyDiv w:val="1"/>
      <w:marLeft w:val="0"/>
      <w:marRight w:val="0"/>
      <w:marTop w:val="0"/>
      <w:marBottom w:val="0"/>
      <w:divBdr>
        <w:top w:val="none" w:sz="0" w:space="0" w:color="auto"/>
        <w:left w:val="none" w:sz="0" w:space="0" w:color="auto"/>
        <w:bottom w:val="none" w:sz="0" w:space="0" w:color="auto"/>
        <w:right w:val="none" w:sz="0" w:space="0" w:color="auto"/>
      </w:divBdr>
    </w:div>
    <w:div w:id="986470908">
      <w:bodyDiv w:val="1"/>
      <w:marLeft w:val="0"/>
      <w:marRight w:val="0"/>
      <w:marTop w:val="0"/>
      <w:marBottom w:val="0"/>
      <w:divBdr>
        <w:top w:val="none" w:sz="0" w:space="0" w:color="auto"/>
        <w:left w:val="none" w:sz="0" w:space="0" w:color="auto"/>
        <w:bottom w:val="none" w:sz="0" w:space="0" w:color="auto"/>
        <w:right w:val="none" w:sz="0" w:space="0" w:color="auto"/>
      </w:divBdr>
    </w:div>
    <w:div w:id="992372457">
      <w:bodyDiv w:val="1"/>
      <w:marLeft w:val="0"/>
      <w:marRight w:val="0"/>
      <w:marTop w:val="0"/>
      <w:marBottom w:val="0"/>
      <w:divBdr>
        <w:top w:val="none" w:sz="0" w:space="0" w:color="auto"/>
        <w:left w:val="none" w:sz="0" w:space="0" w:color="auto"/>
        <w:bottom w:val="none" w:sz="0" w:space="0" w:color="auto"/>
        <w:right w:val="none" w:sz="0" w:space="0" w:color="auto"/>
      </w:divBdr>
    </w:div>
    <w:div w:id="993677351">
      <w:bodyDiv w:val="1"/>
      <w:marLeft w:val="0"/>
      <w:marRight w:val="0"/>
      <w:marTop w:val="0"/>
      <w:marBottom w:val="0"/>
      <w:divBdr>
        <w:top w:val="none" w:sz="0" w:space="0" w:color="auto"/>
        <w:left w:val="none" w:sz="0" w:space="0" w:color="auto"/>
        <w:bottom w:val="none" w:sz="0" w:space="0" w:color="auto"/>
        <w:right w:val="none" w:sz="0" w:space="0" w:color="auto"/>
      </w:divBdr>
    </w:div>
    <w:div w:id="998270447">
      <w:bodyDiv w:val="1"/>
      <w:marLeft w:val="0"/>
      <w:marRight w:val="0"/>
      <w:marTop w:val="0"/>
      <w:marBottom w:val="0"/>
      <w:divBdr>
        <w:top w:val="none" w:sz="0" w:space="0" w:color="auto"/>
        <w:left w:val="none" w:sz="0" w:space="0" w:color="auto"/>
        <w:bottom w:val="none" w:sz="0" w:space="0" w:color="auto"/>
        <w:right w:val="none" w:sz="0" w:space="0" w:color="auto"/>
      </w:divBdr>
    </w:div>
    <w:div w:id="998582986">
      <w:bodyDiv w:val="1"/>
      <w:marLeft w:val="0"/>
      <w:marRight w:val="0"/>
      <w:marTop w:val="0"/>
      <w:marBottom w:val="0"/>
      <w:divBdr>
        <w:top w:val="none" w:sz="0" w:space="0" w:color="auto"/>
        <w:left w:val="none" w:sz="0" w:space="0" w:color="auto"/>
        <w:bottom w:val="none" w:sz="0" w:space="0" w:color="auto"/>
        <w:right w:val="none" w:sz="0" w:space="0" w:color="auto"/>
      </w:divBdr>
    </w:div>
    <w:div w:id="999043261">
      <w:bodyDiv w:val="1"/>
      <w:marLeft w:val="0"/>
      <w:marRight w:val="0"/>
      <w:marTop w:val="0"/>
      <w:marBottom w:val="0"/>
      <w:divBdr>
        <w:top w:val="none" w:sz="0" w:space="0" w:color="auto"/>
        <w:left w:val="none" w:sz="0" w:space="0" w:color="auto"/>
        <w:bottom w:val="none" w:sz="0" w:space="0" w:color="auto"/>
        <w:right w:val="none" w:sz="0" w:space="0" w:color="auto"/>
      </w:divBdr>
    </w:div>
    <w:div w:id="1002196889">
      <w:bodyDiv w:val="1"/>
      <w:marLeft w:val="0"/>
      <w:marRight w:val="0"/>
      <w:marTop w:val="0"/>
      <w:marBottom w:val="0"/>
      <w:divBdr>
        <w:top w:val="none" w:sz="0" w:space="0" w:color="auto"/>
        <w:left w:val="none" w:sz="0" w:space="0" w:color="auto"/>
        <w:bottom w:val="none" w:sz="0" w:space="0" w:color="auto"/>
        <w:right w:val="none" w:sz="0" w:space="0" w:color="auto"/>
      </w:divBdr>
    </w:div>
    <w:div w:id="1005014424">
      <w:bodyDiv w:val="1"/>
      <w:marLeft w:val="0"/>
      <w:marRight w:val="0"/>
      <w:marTop w:val="0"/>
      <w:marBottom w:val="0"/>
      <w:divBdr>
        <w:top w:val="none" w:sz="0" w:space="0" w:color="auto"/>
        <w:left w:val="none" w:sz="0" w:space="0" w:color="auto"/>
        <w:bottom w:val="none" w:sz="0" w:space="0" w:color="auto"/>
        <w:right w:val="none" w:sz="0" w:space="0" w:color="auto"/>
      </w:divBdr>
    </w:div>
    <w:div w:id="1009717120">
      <w:bodyDiv w:val="1"/>
      <w:marLeft w:val="0"/>
      <w:marRight w:val="0"/>
      <w:marTop w:val="0"/>
      <w:marBottom w:val="0"/>
      <w:divBdr>
        <w:top w:val="none" w:sz="0" w:space="0" w:color="auto"/>
        <w:left w:val="none" w:sz="0" w:space="0" w:color="auto"/>
        <w:bottom w:val="none" w:sz="0" w:space="0" w:color="auto"/>
        <w:right w:val="none" w:sz="0" w:space="0" w:color="auto"/>
      </w:divBdr>
    </w:div>
    <w:div w:id="1013337344">
      <w:bodyDiv w:val="1"/>
      <w:marLeft w:val="0"/>
      <w:marRight w:val="0"/>
      <w:marTop w:val="0"/>
      <w:marBottom w:val="0"/>
      <w:divBdr>
        <w:top w:val="none" w:sz="0" w:space="0" w:color="auto"/>
        <w:left w:val="none" w:sz="0" w:space="0" w:color="auto"/>
        <w:bottom w:val="none" w:sz="0" w:space="0" w:color="auto"/>
        <w:right w:val="none" w:sz="0" w:space="0" w:color="auto"/>
      </w:divBdr>
    </w:div>
    <w:div w:id="1017268740">
      <w:bodyDiv w:val="1"/>
      <w:marLeft w:val="0"/>
      <w:marRight w:val="0"/>
      <w:marTop w:val="0"/>
      <w:marBottom w:val="0"/>
      <w:divBdr>
        <w:top w:val="none" w:sz="0" w:space="0" w:color="auto"/>
        <w:left w:val="none" w:sz="0" w:space="0" w:color="auto"/>
        <w:bottom w:val="none" w:sz="0" w:space="0" w:color="auto"/>
        <w:right w:val="none" w:sz="0" w:space="0" w:color="auto"/>
      </w:divBdr>
    </w:div>
    <w:div w:id="1019428859">
      <w:bodyDiv w:val="1"/>
      <w:marLeft w:val="0"/>
      <w:marRight w:val="0"/>
      <w:marTop w:val="0"/>
      <w:marBottom w:val="0"/>
      <w:divBdr>
        <w:top w:val="none" w:sz="0" w:space="0" w:color="auto"/>
        <w:left w:val="none" w:sz="0" w:space="0" w:color="auto"/>
        <w:bottom w:val="none" w:sz="0" w:space="0" w:color="auto"/>
        <w:right w:val="none" w:sz="0" w:space="0" w:color="auto"/>
      </w:divBdr>
    </w:div>
    <w:div w:id="1022197129">
      <w:bodyDiv w:val="1"/>
      <w:marLeft w:val="0"/>
      <w:marRight w:val="0"/>
      <w:marTop w:val="0"/>
      <w:marBottom w:val="0"/>
      <w:divBdr>
        <w:top w:val="none" w:sz="0" w:space="0" w:color="auto"/>
        <w:left w:val="none" w:sz="0" w:space="0" w:color="auto"/>
        <w:bottom w:val="none" w:sz="0" w:space="0" w:color="auto"/>
        <w:right w:val="none" w:sz="0" w:space="0" w:color="auto"/>
      </w:divBdr>
    </w:div>
    <w:div w:id="1025643292">
      <w:bodyDiv w:val="1"/>
      <w:marLeft w:val="0"/>
      <w:marRight w:val="0"/>
      <w:marTop w:val="0"/>
      <w:marBottom w:val="0"/>
      <w:divBdr>
        <w:top w:val="none" w:sz="0" w:space="0" w:color="auto"/>
        <w:left w:val="none" w:sz="0" w:space="0" w:color="auto"/>
        <w:bottom w:val="none" w:sz="0" w:space="0" w:color="auto"/>
        <w:right w:val="none" w:sz="0" w:space="0" w:color="auto"/>
      </w:divBdr>
    </w:div>
    <w:div w:id="1033573237">
      <w:bodyDiv w:val="1"/>
      <w:marLeft w:val="0"/>
      <w:marRight w:val="0"/>
      <w:marTop w:val="0"/>
      <w:marBottom w:val="0"/>
      <w:divBdr>
        <w:top w:val="none" w:sz="0" w:space="0" w:color="auto"/>
        <w:left w:val="none" w:sz="0" w:space="0" w:color="auto"/>
        <w:bottom w:val="none" w:sz="0" w:space="0" w:color="auto"/>
        <w:right w:val="none" w:sz="0" w:space="0" w:color="auto"/>
      </w:divBdr>
    </w:div>
    <w:div w:id="1033654311">
      <w:bodyDiv w:val="1"/>
      <w:marLeft w:val="0"/>
      <w:marRight w:val="0"/>
      <w:marTop w:val="0"/>
      <w:marBottom w:val="0"/>
      <w:divBdr>
        <w:top w:val="none" w:sz="0" w:space="0" w:color="auto"/>
        <w:left w:val="none" w:sz="0" w:space="0" w:color="auto"/>
        <w:bottom w:val="none" w:sz="0" w:space="0" w:color="auto"/>
        <w:right w:val="none" w:sz="0" w:space="0" w:color="auto"/>
      </w:divBdr>
    </w:div>
    <w:div w:id="1036545054">
      <w:bodyDiv w:val="1"/>
      <w:marLeft w:val="0"/>
      <w:marRight w:val="0"/>
      <w:marTop w:val="0"/>
      <w:marBottom w:val="0"/>
      <w:divBdr>
        <w:top w:val="none" w:sz="0" w:space="0" w:color="auto"/>
        <w:left w:val="none" w:sz="0" w:space="0" w:color="auto"/>
        <w:bottom w:val="none" w:sz="0" w:space="0" w:color="auto"/>
        <w:right w:val="none" w:sz="0" w:space="0" w:color="auto"/>
      </w:divBdr>
    </w:div>
    <w:div w:id="1037435192">
      <w:bodyDiv w:val="1"/>
      <w:marLeft w:val="0"/>
      <w:marRight w:val="0"/>
      <w:marTop w:val="0"/>
      <w:marBottom w:val="0"/>
      <w:divBdr>
        <w:top w:val="none" w:sz="0" w:space="0" w:color="auto"/>
        <w:left w:val="none" w:sz="0" w:space="0" w:color="auto"/>
        <w:bottom w:val="none" w:sz="0" w:space="0" w:color="auto"/>
        <w:right w:val="none" w:sz="0" w:space="0" w:color="auto"/>
      </w:divBdr>
    </w:div>
    <w:div w:id="1039209324">
      <w:bodyDiv w:val="1"/>
      <w:marLeft w:val="0"/>
      <w:marRight w:val="0"/>
      <w:marTop w:val="0"/>
      <w:marBottom w:val="0"/>
      <w:divBdr>
        <w:top w:val="none" w:sz="0" w:space="0" w:color="auto"/>
        <w:left w:val="none" w:sz="0" w:space="0" w:color="auto"/>
        <w:bottom w:val="none" w:sz="0" w:space="0" w:color="auto"/>
        <w:right w:val="none" w:sz="0" w:space="0" w:color="auto"/>
      </w:divBdr>
    </w:div>
    <w:div w:id="1042679042">
      <w:bodyDiv w:val="1"/>
      <w:marLeft w:val="0"/>
      <w:marRight w:val="0"/>
      <w:marTop w:val="0"/>
      <w:marBottom w:val="0"/>
      <w:divBdr>
        <w:top w:val="none" w:sz="0" w:space="0" w:color="auto"/>
        <w:left w:val="none" w:sz="0" w:space="0" w:color="auto"/>
        <w:bottom w:val="none" w:sz="0" w:space="0" w:color="auto"/>
        <w:right w:val="none" w:sz="0" w:space="0" w:color="auto"/>
      </w:divBdr>
    </w:div>
    <w:div w:id="1043334202">
      <w:bodyDiv w:val="1"/>
      <w:marLeft w:val="0"/>
      <w:marRight w:val="0"/>
      <w:marTop w:val="0"/>
      <w:marBottom w:val="0"/>
      <w:divBdr>
        <w:top w:val="none" w:sz="0" w:space="0" w:color="auto"/>
        <w:left w:val="none" w:sz="0" w:space="0" w:color="auto"/>
        <w:bottom w:val="none" w:sz="0" w:space="0" w:color="auto"/>
        <w:right w:val="none" w:sz="0" w:space="0" w:color="auto"/>
      </w:divBdr>
    </w:div>
    <w:div w:id="1056784010">
      <w:bodyDiv w:val="1"/>
      <w:marLeft w:val="0"/>
      <w:marRight w:val="0"/>
      <w:marTop w:val="0"/>
      <w:marBottom w:val="0"/>
      <w:divBdr>
        <w:top w:val="none" w:sz="0" w:space="0" w:color="auto"/>
        <w:left w:val="none" w:sz="0" w:space="0" w:color="auto"/>
        <w:bottom w:val="none" w:sz="0" w:space="0" w:color="auto"/>
        <w:right w:val="none" w:sz="0" w:space="0" w:color="auto"/>
      </w:divBdr>
    </w:div>
    <w:div w:id="1063869467">
      <w:bodyDiv w:val="1"/>
      <w:marLeft w:val="0"/>
      <w:marRight w:val="0"/>
      <w:marTop w:val="0"/>
      <w:marBottom w:val="0"/>
      <w:divBdr>
        <w:top w:val="none" w:sz="0" w:space="0" w:color="auto"/>
        <w:left w:val="none" w:sz="0" w:space="0" w:color="auto"/>
        <w:bottom w:val="none" w:sz="0" w:space="0" w:color="auto"/>
        <w:right w:val="none" w:sz="0" w:space="0" w:color="auto"/>
      </w:divBdr>
    </w:div>
    <w:div w:id="1064983318">
      <w:bodyDiv w:val="1"/>
      <w:marLeft w:val="0"/>
      <w:marRight w:val="0"/>
      <w:marTop w:val="0"/>
      <w:marBottom w:val="0"/>
      <w:divBdr>
        <w:top w:val="none" w:sz="0" w:space="0" w:color="auto"/>
        <w:left w:val="none" w:sz="0" w:space="0" w:color="auto"/>
        <w:bottom w:val="none" w:sz="0" w:space="0" w:color="auto"/>
        <w:right w:val="none" w:sz="0" w:space="0" w:color="auto"/>
      </w:divBdr>
    </w:div>
    <w:div w:id="1065639499">
      <w:bodyDiv w:val="1"/>
      <w:marLeft w:val="0"/>
      <w:marRight w:val="0"/>
      <w:marTop w:val="0"/>
      <w:marBottom w:val="0"/>
      <w:divBdr>
        <w:top w:val="none" w:sz="0" w:space="0" w:color="auto"/>
        <w:left w:val="none" w:sz="0" w:space="0" w:color="auto"/>
        <w:bottom w:val="none" w:sz="0" w:space="0" w:color="auto"/>
        <w:right w:val="none" w:sz="0" w:space="0" w:color="auto"/>
      </w:divBdr>
    </w:div>
    <w:div w:id="1069184614">
      <w:bodyDiv w:val="1"/>
      <w:marLeft w:val="0"/>
      <w:marRight w:val="0"/>
      <w:marTop w:val="0"/>
      <w:marBottom w:val="0"/>
      <w:divBdr>
        <w:top w:val="none" w:sz="0" w:space="0" w:color="auto"/>
        <w:left w:val="none" w:sz="0" w:space="0" w:color="auto"/>
        <w:bottom w:val="none" w:sz="0" w:space="0" w:color="auto"/>
        <w:right w:val="none" w:sz="0" w:space="0" w:color="auto"/>
      </w:divBdr>
    </w:div>
    <w:div w:id="1074400515">
      <w:bodyDiv w:val="1"/>
      <w:marLeft w:val="0"/>
      <w:marRight w:val="0"/>
      <w:marTop w:val="0"/>
      <w:marBottom w:val="0"/>
      <w:divBdr>
        <w:top w:val="none" w:sz="0" w:space="0" w:color="auto"/>
        <w:left w:val="none" w:sz="0" w:space="0" w:color="auto"/>
        <w:bottom w:val="none" w:sz="0" w:space="0" w:color="auto"/>
        <w:right w:val="none" w:sz="0" w:space="0" w:color="auto"/>
      </w:divBdr>
    </w:div>
    <w:div w:id="1076785912">
      <w:bodyDiv w:val="1"/>
      <w:marLeft w:val="0"/>
      <w:marRight w:val="0"/>
      <w:marTop w:val="0"/>
      <w:marBottom w:val="0"/>
      <w:divBdr>
        <w:top w:val="none" w:sz="0" w:space="0" w:color="auto"/>
        <w:left w:val="none" w:sz="0" w:space="0" w:color="auto"/>
        <w:bottom w:val="none" w:sz="0" w:space="0" w:color="auto"/>
        <w:right w:val="none" w:sz="0" w:space="0" w:color="auto"/>
      </w:divBdr>
    </w:div>
    <w:div w:id="1078552683">
      <w:bodyDiv w:val="1"/>
      <w:marLeft w:val="0"/>
      <w:marRight w:val="0"/>
      <w:marTop w:val="0"/>
      <w:marBottom w:val="0"/>
      <w:divBdr>
        <w:top w:val="none" w:sz="0" w:space="0" w:color="auto"/>
        <w:left w:val="none" w:sz="0" w:space="0" w:color="auto"/>
        <w:bottom w:val="none" w:sz="0" w:space="0" w:color="auto"/>
        <w:right w:val="none" w:sz="0" w:space="0" w:color="auto"/>
      </w:divBdr>
    </w:div>
    <w:div w:id="1082025016">
      <w:bodyDiv w:val="1"/>
      <w:marLeft w:val="0"/>
      <w:marRight w:val="0"/>
      <w:marTop w:val="0"/>
      <w:marBottom w:val="0"/>
      <w:divBdr>
        <w:top w:val="none" w:sz="0" w:space="0" w:color="auto"/>
        <w:left w:val="none" w:sz="0" w:space="0" w:color="auto"/>
        <w:bottom w:val="none" w:sz="0" w:space="0" w:color="auto"/>
        <w:right w:val="none" w:sz="0" w:space="0" w:color="auto"/>
      </w:divBdr>
    </w:div>
    <w:div w:id="1082262800">
      <w:bodyDiv w:val="1"/>
      <w:marLeft w:val="0"/>
      <w:marRight w:val="0"/>
      <w:marTop w:val="0"/>
      <w:marBottom w:val="0"/>
      <w:divBdr>
        <w:top w:val="none" w:sz="0" w:space="0" w:color="auto"/>
        <w:left w:val="none" w:sz="0" w:space="0" w:color="auto"/>
        <w:bottom w:val="none" w:sz="0" w:space="0" w:color="auto"/>
        <w:right w:val="none" w:sz="0" w:space="0" w:color="auto"/>
      </w:divBdr>
    </w:div>
    <w:div w:id="1085800917">
      <w:bodyDiv w:val="1"/>
      <w:marLeft w:val="0"/>
      <w:marRight w:val="0"/>
      <w:marTop w:val="0"/>
      <w:marBottom w:val="0"/>
      <w:divBdr>
        <w:top w:val="none" w:sz="0" w:space="0" w:color="auto"/>
        <w:left w:val="none" w:sz="0" w:space="0" w:color="auto"/>
        <w:bottom w:val="none" w:sz="0" w:space="0" w:color="auto"/>
        <w:right w:val="none" w:sz="0" w:space="0" w:color="auto"/>
      </w:divBdr>
    </w:div>
    <w:div w:id="1089691955">
      <w:bodyDiv w:val="1"/>
      <w:marLeft w:val="0"/>
      <w:marRight w:val="0"/>
      <w:marTop w:val="0"/>
      <w:marBottom w:val="0"/>
      <w:divBdr>
        <w:top w:val="none" w:sz="0" w:space="0" w:color="auto"/>
        <w:left w:val="none" w:sz="0" w:space="0" w:color="auto"/>
        <w:bottom w:val="none" w:sz="0" w:space="0" w:color="auto"/>
        <w:right w:val="none" w:sz="0" w:space="0" w:color="auto"/>
      </w:divBdr>
    </w:div>
    <w:div w:id="1092697953">
      <w:bodyDiv w:val="1"/>
      <w:marLeft w:val="0"/>
      <w:marRight w:val="0"/>
      <w:marTop w:val="0"/>
      <w:marBottom w:val="0"/>
      <w:divBdr>
        <w:top w:val="none" w:sz="0" w:space="0" w:color="auto"/>
        <w:left w:val="none" w:sz="0" w:space="0" w:color="auto"/>
        <w:bottom w:val="none" w:sz="0" w:space="0" w:color="auto"/>
        <w:right w:val="none" w:sz="0" w:space="0" w:color="auto"/>
      </w:divBdr>
    </w:div>
    <w:div w:id="1094745248">
      <w:bodyDiv w:val="1"/>
      <w:marLeft w:val="0"/>
      <w:marRight w:val="0"/>
      <w:marTop w:val="0"/>
      <w:marBottom w:val="0"/>
      <w:divBdr>
        <w:top w:val="none" w:sz="0" w:space="0" w:color="auto"/>
        <w:left w:val="none" w:sz="0" w:space="0" w:color="auto"/>
        <w:bottom w:val="none" w:sz="0" w:space="0" w:color="auto"/>
        <w:right w:val="none" w:sz="0" w:space="0" w:color="auto"/>
      </w:divBdr>
    </w:div>
    <w:div w:id="1096942590">
      <w:bodyDiv w:val="1"/>
      <w:marLeft w:val="0"/>
      <w:marRight w:val="0"/>
      <w:marTop w:val="0"/>
      <w:marBottom w:val="0"/>
      <w:divBdr>
        <w:top w:val="none" w:sz="0" w:space="0" w:color="auto"/>
        <w:left w:val="none" w:sz="0" w:space="0" w:color="auto"/>
        <w:bottom w:val="none" w:sz="0" w:space="0" w:color="auto"/>
        <w:right w:val="none" w:sz="0" w:space="0" w:color="auto"/>
      </w:divBdr>
    </w:div>
    <w:div w:id="1098411391">
      <w:bodyDiv w:val="1"/>
      <w:marLeft w:val="0"/>
      <w:marRight w:val="0"/>
      <w:marTop w:val="0"/>
      <w:marBottom w:val="0"/>
      <w:divBdr>
        <w:top w:val="none" w:sz="0" w:space="0" w:color="auto"/>
        <w:left w:val="none" w:sz="0" w:space="0" w:color="auto"/>
        <w:bottom w:val="none" w:sz="0" w:space="0" w:color="auto"/>
        <w:right w:val="none" w:sz="0" w:space="0" w:color="auto"/>
      </w:divBdr>
    </w:div>
    <w:div w:id="1098676999">
      <w:bodyDiv w:val="1"/>
      <w:marLeft w:val="0"/>
      <w:marRight w:val="0"/>
      <w:marTop w:val="0"/>
      <w:marBottom w:val="0"/>
      <w:divBdr>
        <w:top w:val="none" w:sz="0" w:space="0" w:color="auto"/>
        <w:left w:val="none" w:sz="0" w:space="0" w:color="auto"/>
        <w:bottom w:val="none" w:sz="0" w:space="0" w:color="auto"/>
        <w:right w:val="none" w:sz="0" w:space="0" w:color="auto"/>
      </w:divBdr>
    </w:div>
    <w:div w:id="1104610430">
      <w:bodyDiv w:val="1"/>
      <w:marLeft w:val="0"/>
      <w:marRight w:val="0"/>
      <w:marTop w:val="0"/>
      <w:marBottom w:val="0"/>
      <w:divBdr>
        <w:top w:val="none" w:sz="0" w:space="0" w:color="auto"/>
        <w:left w:val="none" w:sz="0" w:space="0" w:color="auto"/>
        <w:bottom w:val="none" w:sz="0" w:space="0" w:color="auto"/>
        <w:right w:val="none" w:sz="0" w:space="0" w:color="auto"/>
      </w:divBdr>
    </w:div>
    <w:div w:id="1105273175">
      <w:bodyDiv w:val="1"/>
      <w:marLeft w:val="0"/>
      <w:marRight w:val="0"/>
      <w:marTop w:val="0"/>
      <w:marBottom w:val="0"/>
      <w:divBdr>
        <w:top w:val="none" w:sz="0" w:space="0" w:color="auto"/>
        <w:left w:val="none" w:sz="0" w:space="0" w:color="auto"/>
        <w:bottom w:val="none" w:sz="0" w:space="0" w:color="auto"/>
        <w:right w:val="none" w:sz="0" w:space="0" w:color="auto"/>
      </w:divBdr>
    </w:div>
    <w:div w:id="1108046166">
      <w:bodyDiv w:val="1"/>
      <w:marLeft w:val="0"/>
      <w:marRight w:val="0"/>
      <w:marTop w:val="0"/>
      <w:marBottom w:val="0"/>
      <w:divBdr>
        <w:top w:val="none" w:sz="0" w:space="0" w:color="auto"/>
        <w:left w:val="none" w:sz="0" w:space="0" w:color="auto"/>
        <w:bottom w:val="none" w:sz="0" w:space="0" w:color="auto"/>
        <w:right w:val="none" w:sz="0" w:space="0" w:color="auto"/>
      </w:divBdr>
    </w:div>
    <w:div w:id="1108429925">
      <w:bodyDiv w:val="1"/>
      <w:marLeft w:val="0"/>
      <w:marRight w:val="0"/>
      <w:marTop w:val="0"/>
      <w:marBottom w:val="0"/>
      <w:divBdr>
        <w:top w:val="none" w:sz="0" w:space="0" w:color="auto"/>
        <w:left w:val="none" w:sz="0" w:space="0" w:color="auto"/>
        <w:bottom w:val="none" w:sz="0" w:space="0" w:color="auto"/>
        <w:right w:val="none" w:sz="0" w:space="0" w:color="auto"/>
      </w:divBdr>
    </w:div>
    <w:div w:id="1108744586">
      <w:bodyDiv w:val="1"/>
      <w:marLeft w:val="0"/>
      <w:marRight w:val="0"/>
      <w:marTop w:val="0"/>
      <w:marBottom w:val="0"/>
      <w:divBdr>
        <w:top w:val="none" w:sz="0" w:space="0" w:color="auto"/>
        <w:left w:val="none" w:sz="0" w:space="0" w:color="auto"/>
        <w:bottom w:val="none" w:sz="0" w:space="0" w:color="auto"/>
        <w:right w:val="none" w:sz="0" w:space="0" w:color="auto"/>
      </w:divBdr>
    </w:div>
    <w:div w:id="1120148402">
      <w:bodyDiv w:val="1"/>
      <w:marLeft w:val="0"/>
      <w:marRight w:val="0"/>
      <w:marTop w:val="0"/>
      <w:marBottom w:val="0"/>
      <w:divBdr>
        <w:top w:val="none" w:sz="0" w:space="0" w:color="auto"/>
        <w:left w:val="none" w:sz="0" w:space="0" w:color="auto"/>
        <w:bottom w:val="none" w:sz="0" w:space="0" w:color="auto"/>
        <w:right w:val="none" w:sz="0" w:space="0" w:color="auto"/>
      </w:divBdr>
    </w:div>
    <w:div w:id="1125125238">
      <w:bodyDiv w:val="1"/>
      <w:marLeft w:val="0"/>
      <w:marRight w:val="0"/>
      <w:marTop w:val="0"/>
      <w:marBottom w:val="0"/>
      <w:divBdr>
        <w:top w:val="none" w:sz="0" w:space="0" w:color="auto"/>
        <w:left w:val="none" w:sz="0" w:space="0" w:color="auto"/>
        <w:bottom w:val="none" w:sz="0" w:space="0" w:color="auto"/>
        <w:right w:val="none" w:sz="0" w:space="0" w:color="auto"/>
      </w:divBdr>
    </w:div>
    <w:div w:id="1127775107">
      <w:bodyDiv w:val="1"/>
      <w:marLeft w:val="0"/>
      <w:marRight w:val="0"/>
      <w:marTop w:val="0"/>
      <w:marBottom w:val="0"/>
      <w:divBdr>
        <w:top w:val="none" w:sz="0" w:space="0" w:color="auto"/>
        <w:left w:val="none" w:sz="0" w:space="0" w:color="auto"/>
        <w:bottom w:val="none" w:sz="0" w:space="0" w:color="auto"/>
        <w:right w:val="none" w:sz="0" w:space="0" w:color="auto"/>
      </w:divBdr>
    </w:div>
    <w:div w:id="1133402670">
      <w:bodyDiv w:val="1"/>
      <w:marLeft w:val="0"/>
      <w:marRight w:val="0"/>
      <w:marTop w:val="0"/>
      <w:marBottom w:val="0"/>
      <w:divBdr>
        <w:top w:val="none" w:sz="0" w:space="0" w:color="auto"/>
        <w:left w:val="none" w:sz="0" w:space="0" w:color="auto"/>
        <w:bottom w:val="none" w:sz="0" w:space="0" w:color="auto"/>
        <w:right w:val="none" w:sz="0" w:space="0" w:color="auto"/>
      </w:divBdr>
    </w:div>
    <w:div w:id="1136987900">
      <w:bodyDiv w:val="1"/>
      <w:marLeft w:val="0"/>
      <w:marRight w:val="0"/>
      <w:marTop w:val="0"/>
      <w:marBottom w:val="0"/>
      <w:divBdr>
        <w:top w:val="none" w:sz="0" w:space="0" w:color="auto"/>
        <w:left w:val="none" w:sz="0" w:space="0" w:color="auto"/>
        <w:bottom w:val="none" w:sz="0" w:space="0" w:color="auto"/>
        <w:right w:val="none" w:sz="0" w:space="0" w:color="auto"/>
      </w:divBdr>
    </w:div>
    <w:div w:id="1137796376">
      <w:bodyDiv w:val="1"/>
      <w:marLeft w:val="0"/>
      <w:marRight w:val="0"/>
      <w:marTop w:val="0"/>
      <w:marBottom w:val="0"/>
      <w:divBdr>
        <w:top w:val="none" w:sz="0" w:space="0" w:color="auto"/>
        <w:left w:val="none" w:sz="0" w:space="0" w:color="auto"/>
        <w:bottom w:val="none" w:sz="0" w:space="0" w:color="auto"/>
        <w:right w:val="none" w:sz="0" w:space="0" w:color="auto"/>
      </w:divBdr>
    </w:div>
    <w:div w:id="1138257023">
      <w:bodyDiv w:val="1"/>
      <w:marLeft w:val="0"/>
      <w:marRight w:val="0"/>
      <w:marTop w:val="0"/>
      <w:marBottom w:val="0"/>
      <w:divBdr>
        <w:top w:val="none" w:sz="0" w:space="0" w:color="auto"/>
        <w:left w:val="none" w:sz="0" w:space="0" w:color="auto"/>
        <w:bottom w:val="none" w:sz="0" w:space="0" w:color="auto"/>
        <w:right w:val="none" w:sz="0" w:space="0" w:color="auto"/>
      </w:divBdr>
    </w:div>
    <w:div w:id="1142432213">
      <w:bodyDiv w:val="1"/>
      <w:marLeft w:val="0"/>
      <w:marRight w:val="0"/>
      <w:marTop w:val="0"/>
      <w:marBottom w:val="0"/>
      <w:divBdr>
        <w:top w:val="none" w:sz="0" w:space="0" w:color="auto"/>
        <w:left w:val="none" w:sz="0" w:space="0" w:color="auto"/>
        <w:bottom w:val="none" w:sz="0" w:space="0" w:color="auto"/>
        <w:right w:val="none" w:sz="0" w:space="0" w:color="auto"/>
      </w:divBdr>
    </w:div>
    <w:div w:id="1148665032">
      <w:bodyDiv w:val="1"/>
      <w:marLeft w:val="0"/>
      <w:marRight w:val="0"/>
      <w:marTop w:val="0"/>
      <w:marBottom w:val="0"/>
      <w:divBdr>
        <w:top w:val="none" w:sz="0" w:space="0" w:color="auto"/>
        <w:left w:val="none" w:sz="0" w:space="0" w:color="auto"/>
        <w:bottom w:val="none" w:sz="0" w:space="0" w:color="auto"/>
        <w:right w:val="none" w:sz="0" w:space="0" w:color="auto"/>
      </w:divBdr>
    </w:div>
    <w:div w:id="1151020453">
      <w:bodyDiv w:val="1"/>
      <w:marLeft w:val="0"/>
      <w:marRight w:val="0"/>
      <w:marTop w:val="0"/>
      <w:marBottom w:val="0"/>
      <w:divBdr>
        <w:top w:val="none" w:sz="0" w:space="0" w:color="auto"/>
        <w:left w:val="none" w:sz="0" w:space="0" w:color="auto"/>
        <w:bottom w:val="none" w:sz="0" w:space="0" w:color="auto"/>
        <w:right w:val="none" w:sz="0" w:space="0" w:color="auto"/>
      </w:divBdr>
    </w:div>
    <w:div w:id="1151558310">
      <w:bodyDiv w:val="1"/>
      <w:marLeft w:val="0"/>
      <w:marRight w:val="0"/>
      <w:marTop w:val="0"/>
      <w:marBottom w:val="0"/>
      <w:divBdr>
        <w:top w:val="none" w:sz="0" w:space="0" w:color="auto"/>
        <w:left w:val="none" w:sz="0" w:space="0" w:color="auto"/>
        <w:bottom w:val="none" w:sz="0" w:space="0" w:color="auto"/>
        <w:right w:val="none" w:sz="0" w:space="0" w:color="auto"/>
      </w:divBdr>
    </w:div>
    <w:div w:id="1151825245">
      <w:bodyDiv w:val="1"/>
      <w:marLeft w:val="0"/>
      <w:marRight w:val="0"/>
      <w:marTop w:val="0"/>
      <w:marBottom w:val="0"/>
      <w:divBdr>
        <w:top w:val="none" w:sz="0" w:space="0" w:color="auto"/>
        <w:left w:val="none" w:sz="0" w:space="0" w:color="auto"/>
        <w:bottom w:val="none" w:sz="0" w:space="0" w:color="auto"/>
        <w:right w:val="none" w:sz="0" w:space="0" w:color="auto"/>
      </w:divBdr>
    </w:div>
    <w:div w:id="1154838698">
      <w:bodyDiv w:val="1"/>
      <w:marLeft w:val="0"/>
      <w:marRight w:val="0"/>
      <w:marTop w:val="0"/>
      <w:marBottom w:val="0"/>
      <w:divBdr>
        <w:top w:val="none" w:sz="0" w:space="0" w:color="auto"/>
        <w:left w:val="none" w:sz="0" w:space="0" w:color="auto"/>
        <w:bottom w:val="none" w:sz="0" w:space="0" w:color="auto"/>
        <w:right w:val="none" w:sz="0" w:space="0" w:color="auto"/>
      </w:divBdr>
    </w:div>
    <w:div w:id="1156797101">
      <w:bodyDiv w:val="1"/>
      <w:marLeft w:val="0"/>
      <w:marRight w:val="0"/>
      <w:marTop w:val="0"/>
      <w:marBottom w:val="0"/>
      <w:divBdr>
        <w:top w:val="none" w:sz="0" w:space="0" w:color="auto"/>
        <w:left w:val="none" w:sz="0" w:space="0" w:color="auto"/>
        <w:bottom w:val="none" w:sz="0" w:space="0" w:color="auto"/>
        <w:right w:val="none" w:sz="0" w:space="0" w:color="auto"/>
      </w:divBdr>
    </w:div>
    <w:div w:id="1156992354">
      <w:bodyDiv w:val="1"/>
      <w:marLeft w:val="0"/>
      <w:marRight w:val="0"/>
      <w:marTop w:val="0"/>
      <w:marBottom w:val="0"/>
      <w:divBdr>
        <w:top w:val="none" w:sz="0" w:space="0" w:color="auto"/>
        <w:left w:val="none" w:sz="0" w:space="0" w:color="auto"/>
        <w:bottom w:val="none" w:sz="0" w:space="0" w:color="auto"/>
        <w:right w:val="none" w:sz="0" w:space="0" w:color="auto"/>
      </w:divBdr>
    </w:div>
    <w:div w:id="1159535177">
      <w:bodyDiv w:val="1"/>
      <w:marLeft w:val="0"/>
      <w:marRight w:val="0"/>
      <w:marTop w:val="0"/>
      <w:marBottom w:val="0"/>
      <w:divBdr>
        <w:top w:val="none" w:sz="0" w:space="0" w:color="auto"/>
        <w:left w:val="none" w:sz="0" w:space="0" w:color="auto"/>
        <w:bottom w:val="none" w:sz="0" w:space="0" w:color="auto"/>
        <w:right w:val="none" w:sz="0" w:space="0" w:color="auto"/>
      </w:divBdr>
    </w:div>
    <w:div w:id="1160922909">
      <w:bodyDiv w:val="1"/>
      <w:marLeft w:val="0"/>
      <w:marRight w:val="0"/>
      <w:marTop w:val="0"/>
      <w:marBottom w:val="0"/>
      <w:divBdr>
        <w:top w:val="none" w:sz="0" w:space="0" w:color="auto"/>
        <w:left w:val="none" w:sz="0" w:space="0" w:color="auto"/>
        <w:bottom w:val="none" w:sz="0" w:space="0" w:color="auto"/>
        <w:right w:val="none" w:sz="0" w:space="0" w:color="auto"/>
      </w:divBdr>
    </w:div>
    <w:div w:id="1163006628">
      <w:bodyDiv w:val="1"/>
      <w:marLeft w:val="0"/>
      <w:marRight w:val="0"/>
      <w:marTop w:val="0"/>
      <w:marBottom w:val="0"/>
      <w:divBdr>
        <w:top w:val="none" w:sz="0" w:space="0" w:color="auto"/>
        <w:left w:val="none" w:sz="0" w:space="0" w:color="auto"/>
        <w:bottom w:val="none" w:sz="0" w:space="0" w:color="auto"/>
        <w:right w:val="none" w:sz="0" w:space="0" w:color="auto"/>
      </w:divBdr>
    </w:div>
    <w:div w:id="1163742166">
      <w:bodyDiv w:val="1"/>
      <w:marLeft w:val="0"/>
      <w:marRight w:val="0"/>
      <w:marTop w:val="0"/>
      <w:marBottom w:val="0"/>
      <w:divBdr>
        <w:top w:val="none" w:sz="0" w:space="0" w:color="auto"/>
        <w:left w:val="none" w:sz="0" w:space="0" w:color="auto"/>
        <w:bottom w:val="none" w:sz="0" w:space="0" w:color="auto"/>
        <w:right w:val="none" w:sz="0" w:space="0" w:color="auto"/>
      </w:divBdr>
    </w:div>
    <w:div w:id="1164590126">
      <w:bodyDiv w:val="1"/>
      <w:marLeft w:val="0"/>
      <w:marRight w:val="0"/>
      <w:marTop w:val="0"/>
      <w:marBottom w:val="0"/>
      <w:divBdr>
        <w:top w:val="none" w:sz="0" w:space="0" w:color="auto"/>
        <w:left w:val="none" w:sz="0" w:space="0" w:color="auto"/>
        <w:bottom w:val="none" w:sz="0" w:space="0" w:color="auto"/>
        <w:right w:val="none" w:sz="0" w:space="0" w:color="auto"/>
      </w:divBdr>
    </w:div>
    <w:div w:id="1171531969">
      <w:bodyDiv w:val="1"/>
      <w:marLeft w:val="0"/>
      <w:marRight w:val="0"/>
      <w:marTop w:val="0"/>
      <w:marBottom w:val="0"/>
      <w:divBdr>
        <w:top w:val="none" w:sz="0" w:space="0" w:color="auto"/>
        <w:left w:val="none" w:sz="0" w:space="0" w:color="auto"/>
        <w:bottom w:val="none" w:sz="0" w:space="0" w:color="auto"/>
        <w:right w:val="none" w:sz="0" w:space="0" w:color="auto"/>
      </w:divBdr>
    </w:div>
    <w:div w:id="1173185383">
      <w:bodyDiv w:val="1"/>
      <w:marLeft w:val="0"/>
      <w:marRight w:val="0"/>
      <w:marTop w:val="0"/>
      <w:marBottom w:val="0"/>
      <w:divBdr>
        <w:top w:val="none" w:sz="0" w:space="0" w:color="auto"/>
        <w:left w:val="none" w:sz="0" w:space="0" w:color="auto"/>
        <w:bottom w:val="none" w:sz="0" w:space="0" w:color="auto"/>
        <w:right w:val="none" w:sz="0" w:space="0" w:color="auto"/>
      </w:divBdr>
    </w:div>
    <w:div w:id="1174346552">
      <w:bodyDiv w:val="1"/>
      <w:marLeft w:val="0"/>
      <w:marRight w:val="0"/>
      <w:marTop w:val="0"/>
      <w:marBottom w:val="0"/>
      <w:divBdr>
        <w:top w:val="none" w:sz="0" w:space="0" w:color="auto"/>
        <w:left w:val="none" w:sz="0" w:space="0" w:color="auto"/>
        <w:bottom w:val="none" w:sz="0" w:space="0" w:color="auto"/>
        <w:right w:val="none" w:sz="0" w:space="0" w:color="auto"/>
      </w:divBdr>
    </w:div>
    <w:div w:id="1179271368">
      <w:bodyDiv w:val="1"/>
      <w:marLeft w:val="0"/>
      <w:marRight w:val="0"/>
      <w:marTop w:val="0"/>
      <w:marBottom w:val="0"/>
      <w:divBdr>
        <w:top w:val="none" w:sz="0" w:space="0" w:color="auto"/>
        <w:left w:val="none" w:sz="0" w:space="0" w:color="auto"/>
        <w:bottom w:val="none" w:sz="0" w:space="0" w:color="auto"/>
        <w:right w:val="none" w:sz="0" w:space="0" w:color="auto"/>
      </w:divBdr>
    </w:div>
    <w:div w:id="1181433352">
      <w:bodyDiv w:val="1"/>
      <w:marLeft w:val="0"/>
      <w:marRight w:val="0"/>
      <w:marTop w:val="0"/>
      <w:marBottom w:val="0"/>
      <w:divBdr>
        <w:top w:val="none" w:sz="0" w:space="0" w:color="auto"/>
        <w:left w:val="none" w:sz="0" w:space="0" w:color="auto"/>
        <w:bottom w:val="none" w:sz="0" w:space="0" w:color="auto"/>
        <w:right w:val="none" w:sz="0" w:space="0" w:color="auto"/>
      </w:divBdr>
    </w:div>
    <w:div w:id="1187864096">
      <w:bodyDiv w:val="1"/>
      <w:marLeft w:val="0"/>
      <w:marRight w:val="0"/>
      <w:marTop w:val="0"/>
      <w:marBottom w:val="0"/>
      <w:divBdr>
        <w:top w:val="none" w:sz="0" w:space="0" w:color="auto"/>
        <w:left w:val="none" w:sz="0" w:space="0" w:color="auto"/>
        <w:bottom w:val="none" w:sz="0" w:space="0" w:color="auto"/>
        <w:right w:val="none" w:sz="0" w:space="0" w:color="auto"/>
      </w:divBdr>
    </w:div>
    <w:div w:id="1188906341">
      <w:bodyDiv w:val="1"/>
      <w:marLeft w:val="0"/>
      <w:marRight w:val="0"/>
      <w:marTop w:val="0"/>
      <w:marBottom w:val="0"/>
      <w:divBdr>
        <w:top w:val="none" w:sz="0" w:space="0" w:color="auto"/>
        <w:left w:val="none" w:sz="0" w:space="0" w:color="auto"/>
        <w:bottom w:val="none" w:sz="0" w:space="0" w:color="auto"/>
        <w:right w:val="none" w:sz="0" w:space="0" w:color="auto"/>
      </w:divBdr>
    </w:div>
    <w:div w:id="1189413674">
      <w:bodyDiv w:val="1"/>
      <w:marLeft w:val="0"/>
      <w:marRight w:val="0"/>
      <w:marTop w:val="0"/>
      <w:marBottom w:val="0"/>
      <w:divBdr>
        <w:top w:val="none" w:sz="0" w:space="0" w:color="auto"/>
        <w:left w:val="none" w:sz="0" w:space="0" w:color="auto"/>
        <w:bottom w:val="none" w:sz="0" w:space="0" w:color="auto"/>
        <w:right w:val="none" w:sz="0" w:space="0" w:color="auto"/>
      </w:divBdr>
    </w:div>
    <w:div w:id="1189442044">
      <w:bodyDiv w:val="1"/>
      <w:marLeft w:val="0"/>
      <w:marRight w:val="0"/>
      <w:marTop w:val="0"/>
      <w:marBottom w:val="0"/>
      <w:divBdr>
        <w:top w:val="none" w:sz="0" w:space="0" w:color="auto"/>
        <w:left w:val="none" w:sz="0" w:space="0" w:color="auto"/>
        <w:bottom w:val="none" w:sz="0" w:space="0" w:color="auto"/>
        <w:right w:val="none" w:sz="0" w:space="0" w:color="auto"/>
      </w:divBdr>
    </w:div>
    <w:div w:id="1192913848">
      <w:bodyDiv w:val="1"/>
      <w:marLeft w:val="0"/>
      <w:marRight w:val="0"/>
      <w:marTop w:val="0"/>
      <w:marBottom w:val="0"/>
      <w:divBdr>
        <w:top w:val="none" w:sz="0" w:space="0" w:color="auto"/>
        <w:left w:val="none" w:sz="0" w:space="0" w:color="auto"/>
        <w:bottom w:val="none" w:sz="0" w:space="0" w:color="auto"/>
        <w:right w:val="none" w:sz="0" w:space="0" w:color="auto"/>
      </w:divBdr>
    </w:div>
    <w:div w:id="1193879470">
      <w:bodyDiv w:val="1"/>
      <w:marLeft w:val="0"/>
      <w:marRight w:val="0"/>
      <w:marTop w:val="0"/>
      <w:marBottom w:val="0"/>
      <w:divBdr>
        <w:top w:val="none" w:sz="0" w:space="0" w:color="auto"/>
        <w:left w:val="none" w:sz="0" w:space="0" w:color="auto"/>
        <w:bottom w:val="none" w:sz="0" w:space="0" w:color="auto"/>
        <w:right w:val="none" w:sz="0" w:space="0" w:color="auto"/>
      </w:divBdr>
    </w:div>
    <w:div w:id="1197695216">
      <w:bodyDiv w:val="1"/>
      <w:marLeft w:val="0"/>
      <w:marRight w:val="0"/>
      <w:marTop w:val="0"/>
      <w:marBottom w:val="0"/>
      <w:divBdr>
        <w:top w:val="none" w:sz="0" w:space="0" w:color="auto"/>
        <w:left w:val="none" w:sz="0" w:space="0" w:color="auto"/>
        <w:bottom w:val="none" w:sz="0" w:space="0" w:color="auto"/>
        <w:right w:val="none" w:sz="0" w:space="0" w:color="auto"/>
      </w:divBdr>
    </w:div>
    <w:div w:id="1200245981">
      <w:bodyDiv w:val="1"/>
      <w:marLeft w:val="0"/>
      <w:marRight w:val="0"/>
      <w:marTop w:val="0"/>
      <w:marBottom w:val="0"/>
      <w:divBdr>
        <w:top w:val="none" w:sz="0" w:space="0" w:color="auto"/>
        <w:left w:val="none" w:sz="0" w:space="0" w:color="auto"/>
        <w:bottom w:val="none" w:sz="0" w:space="0" w:color="auto"/>
        <w:right w:val="none" w:sz="0" w:space="0" w:color="auto"/>
      </w:divBdr>
    </w:div>
    <w:div w:id="1204561191">
      <w:bodyDiv w:val="1"/>
      <w:marLeft w:val="0"/>
      <w:marRight w:val="0"/>
      <w:marTop w:val="0"/>
      <w:marBottom w:val="0"/>
      <w:divBdr>
        <w:top w:val="none" w:sz="0" w:space="0" w:color="auto"/>
        <w:left w:val="none" w:sz="0" w:space="0" w:color="auto"/>
        <w:bottom w:val="none" w:sz="0" w:space="0" w:color="auto"/>
        <w:right w:val="none" w:sz="0" w:space="0" w:color="auto"/>
      </w:divBdr>
    </w:div>
    <w:div w:id="1206023996">
      <w:bodyDiv w:val="1"/>
      <w:marLeft w:val="0"/>
      <w:marRight w:val="0"/>
      <w:marTop w:val="0"/>
      <w:marBottom w:val="0"/>
      <w:divBdr>
        <w:top w:val="none" w:sz="0" w:space="0" w:color="auto"/>
        <w:left w:val="none" w:sz="0" w:space="0" w:color="auto"/>
        <w:bottom w:val="none" w:sz="0" w:space="0" w:color="auto"/>
        <w:right w:val="none" w:sz="0" w:space="0" w:color="auto"/>
      </w:divBdr>
    </w:div>
    <w:div w:id="1209342254">
      <w:bodyDiv w:val="1"/>
      <w:marLeft w:val="0"/>
      <w:marRight w:val="0"/>
      <w:marTop w:val="0"/>
      <w:marBottom w:val="0"/>
      <w:divBdr>
        <w:top w:val="none" w:sz="0" w:space="0" w:color="auto"/>
        <w:left w:val="none" w:sz="0" w:space="0" w:color="auto"/>
        <w:bottom w:val="none" w:sz="0" w:space="0" w:color="auto"/>
        <w:right w:val="none" w:sz="0" w:space="0" w:color="auto"/>
      </w:divBdr>
    </w:div>
    <w:div w:id="1211921731">
      <w:bodyDiv w:val="1"/>
      <w:marLeft w:val="0"/>
      <w:marRight w:val="0"/>
      <w:marTop w:val="0"/>
      <w:marBottom w:val="0"/>
      <w:divBdr>
        <w:top w:val="none" w:sz="0" w:space="0" w:color="auto"/>
        <w:left w:val="none" w:sz="0" w:space="0" w:color="auto"/>
        <w:bottom w:val="none" w:sz="0" w:space="0" w:color="auto"/>
        <w:right w:val="none" w:sz="0" w:space="0" w:color="auto"/>
      </w:divBdr>
    </w:div>
    <w:div w:id="1213268352">
      <w:bodyDiv w:val="1"/>
      <w:marLeft w:val="0"/>
      <w:marRight w:val="0"/>
      <w:marTop w:val="0"/>
      <w:marBottom w:val="0"/>
      <w:divBdr>
        <w:top w:val="none" w:sz="0" w:space="0" w:color="auto"/>
        <w:left w:val="none" w:sz="0" w:space="0" w:color="auto"/>
        <w:bottom w:val="none" w:sz="0" w:space="0" w:color="auto"/>
        <w:right w:val="none" w:sz="0" w:space="0" w:color="auto"/>
      </w:divBdr>
    </w:div>
    <w:div w:id="1214930610">
      <w:bodyDiv w:val="1"/>
      <w:marLeft w:val="0"/>
      <w:marRight w:val="0"/>
      <w:marTop w:val="0"/>
      <w:marBottom w:val="0"/>
      <w:divBdr>
        <w:top w:val="none" w:sz="0" w:space="0" w:color="auto"/>
        <w:left w:val="none" w:sz="0" w:space="0" w:color="auto"/>
        <w:bottom w:val="none" w:sz="0" w:space="0" w:color="auto"/>
        <w:right w:val="none" w:sz="0" w:space="0" w:color="auto"/>
      </w:divBdr>
    </w:div>
    <w:div w:id="1215892006">
      <w:bodyDiv w:val="1"/>
      <w:marLeft w:val="0"/>
      <w:marRight w:val="0"/>
      <w:marTop w:val="0"/>
      <w:marBottom w:val="0"/>
      <w:divBdr>
        <w:top w:val="none" w:sz="0" w:space="0" w:color="auto"/>
        <w:left w:val="none" w:sz="0" w:space="0" w:color="auto"/>
        <w:bottom w:val="none" w:sz="0" w:space="0" w:color="auto"/>
        <w:right w:val="none" w:sz="0" w:space="0" w:color="auto"/>
      </w:divBdr>
    </w:div>
    <w:div w:id="1217232256">
      <w:bodyDiv w:val="1"/>
      <w:marLeft w:val="0"/>
      <w:marRight w:val="0"/>
      <w:marTop w:val="0"/>
      <w:marBottom w:val="0"/>
      <w:divBdr>
        <w:top w:val="none" w:sz="0" w:space="0" w:color="auto"/>
        <w:left w:val="none" w:sz="0" w:space="0" w:color="auto"/>
        <w:bottom w:val="none" w:sz="0" w:space="0" w:color="auto"/>
        <w:right w:val="none" w:sz="0" w:space="0" w:color="auto"/>
      </w:divBdr>
    </w:div>
    <w:div w:id="1217276665">
      <w:bodyDiv w:val="1"/>
      <w:marLeft w:val="0"/>
      <w:marRight w:val="0"/>
      <w:marTop w:val="0"/>
      <w:marBottom w:val="0"/>
      <w:divBdr>
        <w:top w:val="none" w:sz="0" w:space="0" w:color="auto"/>
        <w:left w:val="none" w:sz="0" w:space="0" w:color="auto"/>
        <w:bottom w:val="none" w:sz="0" w:space="0" w:color="auto"/>
        <w:right w:val="none" w:sz="0" w:space="0" w:color="auto"/>
      </w:divBdr>
    </w:div>
    <w:div w:id="1217358251">
      <w:bodyDiv w:val="1"/>
      <w:marLeft w:val="0"/>
      <w:marRight w:val="0"/>
      <w:marTop w:val="0"/>
      <w:marBottom w:val="0"/>
      <w:divBdr>
        <w:top w:val="none" w:sz="0" w:space="0" w:color="auto"/>
        <w:left w:val="none" w:sz="0" w:space="0" w:color="auto"/>
        <w:bottom w:val="none" w:sz="0" w:space="0" w:color="auto"/>
        <w:right w:val="none" w:sz="0" w:space="0" w:color="auto"/>
      </w:divBdr>
    </w:div>
    <w:div w:id="1220048505">
      <w:bodyDiv w:val="1"/>
      <w:marLeft w:val="0"/>
      <w:marRight w:val="0"/>
      <w:marTop w:val="0"/>
      <w:marBottom w:val="0"/>
      <w:divBdr>
        <w:top w:val="none" w:sz="0" w:space="0" w:color="auto"/>
        <w:left w:val="none" w:sz="0" w:space="0" w:color="auto"/>
        <w:bottom w:val="none" w:sz="0" w:space="0" w:color="auto"/>
        <w:right w:val="none" w:sz="0" w:space="0" w:color="auto"/>
      </w:divBdr>
    </w:div>
    <w:div w:id="1223492223">
      <w:bodyDiv w:val="1"/>
      <w:marLeft w:val="0"/>
      <w:marRight w:val="0"/>
      <w:marTop w:val="0"/>
      <w:marBottom w:val="0"/>
      <w:divBdr>
        <w:top w:val="none" w:sz="0" w:space="0" w:color="auto"/>
        <w:left w:val="none" w:sz="0" w:space="0" w:color="auto"/>
        <w:bottom w:val="none" w:sz="0" w:space="0" w:color="auto"/>
        <w:right w:val="none" w:sz="0" w:space="0" w:color="auto"/>
      </w:divBdr>
    </w:div>
    <w:div w:id="1226180906">
      <w:bodyDiv w:val="1"/>
      <w:marLeft w:val="0"/>
      <w:marRight w:val="0"/>
      <w:marTop w:val="0"/>
      <w:marBottom w:val="0"/>
      <w:divBdr>
        <w:top w:val="none" w:sz="0" w:space="0" w:color="auto"/>
        <w:left w:val="none" w:sz="0" w:space="0" w:color="auto"/>
        <w:bottom w:val="none" w:sz="0" w:space="0" w:color="auto"/>
        <w:right w:val="none" w:sz="0" w:space="0" w:color="auto"/>
      </w:divBdr>
    </w:div>
    <w:div w:id="1226526494">
      <w:bodyDiv w:val="1"/>
      <w:marLeft w:val="0"/>
      <w:marRight w:val="0"/>
      <w:marTop w:val="0"/>
      <w:marBottom w:val="0"/>
      <w:divBdr>
        <w:top w:val="none" w:sz="0" w:space="0" w:color="auto"/>
        <w:left w:val="none" w:sz="0" w:space="0" w:color="auto"/>
        <w:bottom w:val="none" w:sz="0" w:space="0" w:color="auto"/>
        <w:right w:val="none" w:sz="0" w:space="0" w:color="auto"/>
      </w:divBdr>
    </w:div>
    <w:div w:id="1231497358">
      <w:bodyDiv w:val="1"/>
      <w:marLeft w:val="0"/>
      <w:marRight w:val="0"/>
      <w:marTop w:val="0"/>
      <w:marBottom w:val="0"/>
      <w:divBdr>
        <w:top w:val="none" w:sz="0" w:space="0" w:color="auto"/>
        <w:left w:val="none" w:sz="0" w:space="0" w:color="auto"/>
        <w:bottom w:val="none" w:sz="0" w:space="0" w:color="auto"/>
        <w:right w:val="none" w:sz="0" w:space="0" w:color="auto"/>
      </w:divBdr>
    </w:div>
    <w:div w:id="1233007509">
      <w:bodyDiv w:val="1"/>
      <w:marLeft w:val="0"/>
      <w:marRight w:val="0"/>
      <w:marTop w:val="0"/>
      <w:marBottom w:val="0"/>
      <w:divBdr>
        <w:top w:val="none" w:sz="0" w:space="0" w:color="auto"/>
        <w:left w:val="none" w:sz="0" w:space="0" w:color="auto"/>
        <w:bottom w:val="none" w:sz="0" w:space="0" w:color="auto"/>
        <w:right w:val="none" w:sz="0" w:space="0" w:color="auto"/>
      </w:divBdr>
    </w:div>
    <w:div w:id="1234900427">
      <w:bodyDiv w:val="1"/>
      <w:marLeft w:val="0"/>
      <w:marRight w:val="0"/>
      <w:marTop w:val="0"/>
      <w:marBottom w:val="0"/>
      <w:divBdr>
        <w:top w:val="none" w:sz="0" w:space="0" w:color="auto"/>
        <w:left w:val="none" w:sz="0" w:space="0" w:color="auto"/>
        <w:bottom w:val="none" w:sz="0" w:space="0" w:color="auto"/>
        <w:right w:val="none" w:sz="0" w:space="0" w:color="auto"/>
      </w:divBdr>
    </w:div>
    <w:div w:id="1236820041">
      <w:bodyDiv w:val="1"/>
      <w:marLeft w:val="0"/>
      <w:marRight w:val="0"/>
      <w:marTop w:val="0"/>
      <w:marBottom w:val="0"/>
      <w:divBdr>
        <w:top w:val="none" w:sz="0" w:space="0" w:color="auto"/>
        <w:left w:val="none" w:sz="0" w:space="0" w:color="auto"/>
        <w:bottom w:val="none" w:sz="0" w:space="0" w:color="auto"/>
        <w:right w:val="none" w:sz="0" w:space="0" w:color="auto"/>
      </w:divBdr>
    </w:div>
    <w:div w:id="1240092600">
      <w:bodyDiv w:val="1"/>
      <w:marLeft w:val="0"/>
      <w:marRight w:val="0"/>
      <w:marTop w:val="0"/>
      <w:marBottom w:val="0"/>
      <w:divBdr>
        <w:top w:val="none" w:sz="0" w:space="0" w:color="auto"/>
        <w:left w:val="none" w:sz="0" w:space="0" w:color="auto"/>
        <w:bottom w:val="none" w:sz="0" w:space="0" w:color="auto"/>
        <w:right w:val="none" w:sz="0" w:space="0" w:color="auto"/>
      </w:divBdr>
    </w:div>
    <w:div w:id="1241796132">
      <w:bodyDiv w:val="1"/>
      <w:marLeft w:val="0"/>
      <w:marRight w:val="0"/>
      <w:marTop w:val="0"/>
      <w:marBottom w:val="0"/>
      <w:divBdr>
        <w:top w:val="none" w:sz="0" w:space="0" w:color="auto"/>
        <w:left w:val="none" w:sz="0" w:space="0" w:color="auto"/>
        <w:bottom w:val="none" w:sz="0" w:space="0" w:color="auto"/>
        <w:right w:val="none" w:sz="0" w:space="0" w:color="auto"/>
      </w:divBdr>
    </w:div>
    <w:div w:id="1243367789">
      <w:bodyDiv w:val="1"/>
      <w:marLeft w:val="0"/>
      <w:marRight w:val="0"/>
      <w:marTop w:val="0"/>
      <w:marBottom w:val="0"/>
      <w:divBdr>
        <w:top w:val="none" w:sz="0" w:space="0" w:color="auto"/>
        <w:left w:val="none" w:sz="0" w:space="0" w:color="auto"/>
        <w:bottom w:val="none" w:sz="0" w:space="0" w:color="auto"/>
        <w:right w:val="none" w:sz="0" w:space="0" w:color="auto"/>
      </w:divBdr>
    </w:div>
    <w:div w:id="1247689527">
      <w:bodyDiv w:val="1"/>
      <w:marLeft w:val="0"/>
      <w:marRight w:val="0"/>
      <w:marTop w:val="0"/>
      <w:marBottom w:val="0"/>
      <w:divBdr>
        <w:top w:val="none" w:sz="0" w:space="0" w:color="auto"/>
        <w:left w:val="none" w:sz="0" w:space="0" w:color="auto"/>
        <w:bottom w:val="none" w:sz="0" w:space="0" w:color="auto"/>
        <w:right w:val="none" w:sz="0" w:space="0" w:color="auto"/>
      </w:divBdr>
    </w:div>
    <w:div w:id="1250313309">
      <w:bodyDiv w:val="1"/>
      <w:marLeft w:val="0"/>
      <w:marRight w:val="0"/>
      <w:marTop w:val="0"/>
      <w:marBottom w:val="0"/>
      <w:divBdr>
        <w:top w:val="none" w:sz="0" w:space="0" w:color="auto"/>
        <w:left w:val="none" w:sz="0" w:space="0" w:color="auto"/>
        <w:bottom w:val="none" w:sz="0" w:space="0" w:color="auto"/>
        <w:right w:val="none" w:sz="0" w:space="0" w:color="auto"/>
      </w:divBdr>
    </w:div>
    <w:div w:id="1256205237">
      <w:bodyDiv w:val="1"/>
      <w:marLeft w:val="0"/>
      <w:marRight w:val="0"/>
      <w:marTop w:val="0"/>
      <w:marBottom w:val="0"/>
      <w:divBdr>
        <w:top w:val="none" w:sz="0" w:space="0" w:color="auto"/>
        <w:left w:val="none" w:sz="0" w:space="0" w:color="auto"/>
        <w:bottom w:val="none" w:sz="0" w:space="0" w:color="auto"/>
        <w:right w:val="none" w:sz="0" w:space="0" w:color="auto"/>
      </w:divBdr>
    </w:div>
    <w:div w:id="1257208437">
      <w:bodyDiv w:val="1"/>
      <w:marLeft w:val="0"/>
      <w:marRight w:val="0"/>
      <w:marTop w:val="0"/>
      <w:marBottom w:val="0"/>
      <w:divBdr>
        <w:top w:val="none" w:sz="0" w:space="0" w:color="auto"/>
        <w:left w:val="none" w:sz="0" w:space="0" w:color="auto"/>
        <w:bottom w:val="none" w:sz="0" w:space="0" w:color="auto"/>
        <w:right w:val="none" w:sz="0" w:space="0" w:color="auto"/>
      </w:divBdr>
    </w:div>
    <w:div w:id="1258749965">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sChild>
        <w:div w:id="1223558443">
          <w:marLeft w:val="0"/>
          <w:marRight w:val="0"/>
          <w:marTop w:val="0"/>
          <w:marBottom w:val="0"/>
          <w:divBdr>
            <w:top w:val="none" w:sz="0" w:space="0" w:color="auto"/>
            <w:left w:val="none" w:sz="0" w:space="0" w:color="auto"/>
            <w:bottom w:val="none" w:sz="0" w:space="0" w:color="auto"/>
            <w:right w:val="none" w:sz="0" w:space="0" w:color="auto"/>
          </w:divBdr>
        </w:div>
      </w:divsChild>
    </w:div>
    <w:div w:id="1259951541">
      <w:bodyDiv w:val="1"/>
      <w:marLeft w:val="0"/>
      <w:marRight w:val="0"/>
      <w:marTop w:val="0"/>
      <w:marBottom w:val="0"/>
      <w:divBdr>
        <w:top w:val="none" w:sz="0" w:space="0" w:color="auto"/>
        <w:left w:val="none" w:sz="0" w:space="0" w:color="auto"/>
        <w:bottom w:val="none" w:sz="0" w:space="0" w:color="auto"/>
        <w:right w:val="none" w:sz="0" w:space="0" w:color="auto"/>
      </w:divBdr>
    </w:div>
    <w:div w:id="1261064155">
      <w:bodyDiv w:val="1"/>
      <w:marLeft w:val="0"/>
      <w:marRight w:val="0"/>
      <w:marTop w:val="0"/>
      <w:marBottom w:val="0"/>
      <w:divBdr>
        <w:top w:val="none" w:sz="0" w:space="0" w:color="auto"/>
        <w:left w:val="none" w:sz="0" w:space="0" w:color="auto"/>
        <w:bottom w:val="none" w:sz="0" w:space="0" w:color="auto"/>
        <w:right w:val="none" w:sz="0" w:space="0" w:color="auto"/>
      </w:divBdr>
    </w:div>
    <w:div w:id="1261916935">
      <w:bodyDiv w:val="1"/>
      <w:marLeft w:val="0"/>
      <w:marRight w:val="0"/>
      <w:marTop w:val="0"/>
      <w:marBottom w:val="0"/>
      <w:divBdr>
        <w:top w:val="none" w:sz="0" w:space="0" w:color="auto"/>
        <w:left w:val="none" w:sz="0" w:space="0" w:color="auto"/>
        <w:bottom w:val="none" w:sz="0" w:space="0" w:color="auto"/>
        <w:right w:val="none" w:sz="0" w:space="0" w:color="auto"/>
      </w:divBdr>
    </w:div>
    <w:div w:id="1266573244">
      <w:bodyDiv w:val="1"/>
      <w:marLeft w:val="0"/>
      <w:marRight w:val="0"/>
      <w:marTop w:val="0"/>
      <w:marBottom w:val="0"/>
      <w:divBdr>
        <w:top w:val="none" w:sz="0" w:space="0" w:color="auto"/>
        <w:left w:val="none" w:sz="0" w:space="0" w:color="auto"/>
        <w:bottom w:val="none" w:sz="0" w:space="0" w:color="auto"/>
        <w:right w:val="none" w:sz="0" w:space="0" w:color="auto"/>
      </w:divBdr>
    </w:div>
    <w:div w:id="1270046806">
      <w:bodyDiv w:val="1"/>
      <w:marLeft w:val="0"/>
      <w:marRight w:val="0"/>
      <w:marTop w:val="0"/>
      <w:marBottom w:val="0"/>
      <w:divBdr>
        <w:top w:val="none" w:sz="0" w:space="0" w:color="auto"/>
        <w:left w:val="none" w:sz="0" w:space="0" w:color="auto"/>
        <w:bottom w:val="none" w:sz="0" w:space="0" w:color="auto"/>
        <w:right w:val="none" w:sz="0" w:space="0" w:color="auto"/>
      </w:divBdr>
    </w:div>
    <w:div w:id="1274753372">
      <w:bodyDiv w:val="1"/>
      <w:marLeft w:val="0"/>
      <w:marRight w:val="0"/>
      <w:marTop w:val="0"/>
      <w:marBottom w:val="0"/>
      <w:divBdr>
        <w:top w:val="none" w:sz="0" w:space="0" w:color="auto"/>
        <w:left w:val="none" w:sz="0" w:space="0" w:color="auto"/>
        <w:bottom w:val="none" w:sz="0" w:space="0" w:color="auto"/>
        <w:right w:val="none" w:sz="0" w:space="0" w:color="auto"/>
      </w:divBdr>
    </w:div>
    <w:div w:id="1276593170">
      <w:bodyDiv w:val="1"/>
      <w:marLeft w:val="0"/>
      <w:marRight w:val="0"/>
      <w:marTop w:val="0"/>
      <w:marBottom w:val="0"/>
      <w:divBdr>
        <w:top w:val="none" w:sz="0" w:space="0" w:color="auto"/>
        <w:left w:val="none" w:sz="0" w:space="0" w:color="auto"/>
        <w:bottom w:val="none" w:sz="0" w:space="0" w:color="auto"/>
        <w:right w:val="none" w:sz="0" w:space="0" w:color="auto"/>
      </w:divBdr>
    </w:div>
    <w:div w:id="1288123987">
      <w:bodyDiv w:val="1"/>
      <w:marLeft w:val="0"/>
      <w:marRight w:val="0"/>
      <w:marTop w:val="0"/>
      <w:marBottom w:val="0"/>
      <w:divBdr>
        <w:top w:val="none" w:sz="0" w:space="0" w:color="auto"/>
        <w:left w:val="none" w:sz="0" w:space="0" w:color="auto"/>
        <w:bottom w:val="none" w:sz="0" w:space="0" w:color="auto"/>
        <w:right w:val="none" w:sz="0" w:space="0" w:color="auto"/>
      </w:divBdr>
    </w:div>
    <w:div w:id="1293823796">
      <w:bodyDiv w:val="1"/>
      <w:marLeft w:val="0"/>
      <w:marRight w:val="0"/>
      <w:marTop w:val="0"/>
      <w:marBottom w:val="0"/>
      <w:divBdr>
        <w:top w:val="none" w:sz="0" w:space="0" w:color="auto"/>
        <w:left w:val="none" w:sz="0" w:space="0" w:color="auto"/>
        <w:bottom w:val="none" w:sz="0" w:space="0" w:color="auto"/>
        <w:right w:val="none" w:sz="0" w:space="0" w:color="auto"/>
      </w:divBdr>
    </w:div>
    <w:div w:id="1297678954">
      <w:bodyDiv w:val="1"/>
      <w:marLeft w:val="0"/>
      <w:marRight w:val="0"/>
      <w:marTop w:val="0"/>
      <w:marBottom w:val="0"/>
      <w:divBdr>
        <w:top w:val="none" w:sz="0" w:space="0" w:color="auto"/>
        <w:left w:val="none" w:sz="0" w:space="0" w:color="auto"/>
        <w:bottom w:val="none" w:sz="0" w:space="0" w:color="auto"/>
        <w:right w:val="none" w:sz="0" w:space="0" w:color="auto"/>
      </w:divBdr>
    </w:div>
    <w:div w:id="1298611334">
      <w:bodyDiv w:val="1"/>
      <w:marLeft w:val="0"/>
      <w:marRight w:val="0"/>
      <w:marTop w:val="0"/>
      <w:marBottom w:val="0"/>
      <w:divBdr>
        <w:top w:val="none" w:sz="0" w:space="0" w:color="auto"/>
        <w:left w:val="none" w:sz="0" w:space="0" w:color="auto"/>
        <w:bottom w:val="none" w:sz="0" w:space="0" w:color="auto"/>
        <w:right w:val="none" w:sz="0" w:space="0" w:color="auto"/>
      </w:divBdr>
    </w:div>
    <w:div w:id="1303197626">
      <w:bodyDiv w:val="1"/>
      <w:marLeft w:val="0"/>
      <w:marRight w:val="0"/>
      <w:marTop w:val="0"/>
      <w:marBottom w:val="0"/>
      <w:divBdr>
        <w:top w:val="none" w:sz="0" w:space="0" w:color="auto"/>
        <w:left w:val="none" w:sz="0" w:space="0" w:color="auto"/>
        <w:bottom w:val="none" w:sz="0" w:space="0" w:color="auto"/>
        <w:right w:val="none" w:sz="0" w:space="0" w:color="auto"/>
      </w:divBdr>
    </w:div>
    <w:div w:id="1305500047">
      <w:bodyDiv w:val="1"/>
      <w:marLeft w:val="0"/>
      <w:marRight w:val="0"/>
      <w:marTop w:val="0"/>
      <w:marBottom w:val="0"/>
      <w:divBdr>
        <w:top w:val="none" w:sz="0" w:space="0" w:color="auto"/>
        <w:left w:val="none" w:sz="0" w:space="0" w:color="auto"/>
        <w:bottom w:val="none" w:sz="0" w:space="0" w:color="auto"/>
        <w:right w:val="none" w:sz="0" w:space="0" w:color="auto"/>
      </w:divBdr>
    </w:div>
    <w:div w:id="1308317170">
      <w:bodyDiv w:val="1"/>
      <w:marLeft w:val="0"/>
      <w:marRight w:val="0"/>
      <w:marTop w:val="0"/>
      <w:marBottom w:val="0"/>
      <w:divBdr>
        <w:top w:val="none" w:sz="0" w:space="0" w:color="auto"/>
        <w:left w:val="none" w:sz="0" w:space="0" w:color="auto"/>
        <w:bottom w:val="none" w:sz="0" w:space="0" w:color="auto"/>
        <w:right w:val="none" w:sz="0" w:space="0" w:color="auto"/>
      </w:divBdr>
    </w:div>
    <w:div w:id="1316835176">
      <w:bodyDiv w:val="1"/>
      <w:marLeft w:val="0"/>
      <w:marRight w:val="0"/>
      <w:marTop w:val="0"/>
      <w:marBottom w:val="0"/>
      <w:divBdr>
        <w:top w:val="none" w:sz="0" w:space="0" w:color="auto"/>
        <w:left w:val="none" w:sz="0" w:space="0" w:color="auto"/>
        <w:bottom w:val="none" w:sz="0" w:space="0" w:color="auto"/>
        <w:right w:val="none" w:sz="0" w:space="0" w:color="auto"/>
      </w:divBdr>
    </w:div>
    <w:div w:id="1318653943">
      <w:bodyDiv w:val="1"/>
      <w:marLeft w:val="0"/>
      <w:marRight w:val="0"/>
      <w:marTop w:val="0"/>
      <w:marBottom w:val="0"/>
      <w:divBdr>
        <w:top w:val="none" w:sz="0" w:space="0" w:color="auto"/>
        <w:left w:val="none" w:sz="0" w:space="0" w:color="auto"/>
        <w:bottom w:val="none" w:sz="0" w:space="0" w:color="auto"/>
        <w:right w:val="none" w:sz="0" w:space="0" w:color="auto"/>
      </w:divBdr>
    </w:div>
    <w:div w:id="1323124698">
      <w:bodyDiv w:val="1"/>
      <w:marLeft w:val="0"/>
      <w:marRight w:val="0"/>
      <w:marTop w:val="0"/>
      <w:marBottom w:val="0"/>
      <w:divBdr>
        <w:top w:val="none" w:sz="0" w:space="0" w:color="auto"/>
        <w:left w:val="none" w:sz="0" w:space="0" w:color="auto"/>
        <w:bottom w:val="none" w:sz="0" w:space="0" w:color="auto"/>
        <w:right w:val="none" w:sz="0" w:space="0" w:color="auto"/>
      </w:divBdr>
    </w:div>
    <w:div w:id="1325816301">
      <w:bodyDiv w:val="1"/>
      <w:marLeft w:val="0"/>
      <w:marRight w:val="0"/>
      <w:marTop w:val="0"/>
      <w:marBottom w:val="0"/>
      <w:divBdr>
        <w:top w:val="none" w:sz="0" w:space="0" w:color="auto"/>
        <w:left w:val="none" w:sz="0" w:space="0" w:color="auto"/>
        <w:bottom w:val="none" w:sz="0" w:space="0" w:color="auto"/>
        <w:right w:val="none" w:sz="0" w:space="0" w:color="auto"/>
      </w:divBdr>
    </w:div>
    <w:div w:id="1329867795">
      <w:bodyDiv w:val="1"/>
      <w:marLeft w:val="0"/>
      <w:marRight w:val="0"/>
      <w:marTop w:val="0"/>
      <w:marBottom w:val="0"/>
      <w:divBdr>
        <w:top w:val="none" w:sz="0" w:space="0" w:color="auto"/>
        <w:left w:val="none" w:sz="0" w:space="0" w:color="auto"/>
        <w:bottom w:val="none" w:sz="0" w:space="0" w:color="auto"/>
        <w:right w:val="none" w:sz="0" w:space="0" w:color="auto"/>
      </w:divBdr>
    </w:div>
    <w:div w:id="1329870913">
      <w:bodyDiv w:val="1"/>
      <w:marLeft w:val="0"/>
      <w:marRight w:val="0"/>
      <w:marTop w:val="0"/>
      <w:marBottom w:val="0"/>
      <w:divBdr>
        <w:top w:val="none" w:sz="0" w:space="0" w:color="auto"/>
        <w:left w:val="none" w:sz="0" w:space="0" w:color="auto"/>
        <w:bottom w:val="none" w:sz="0" w:space="0" w:color="auto"/>
        <w:right w:val="none" w:sz="0" w:space="0" w:color="auto"/>
      </w:divBdr>
    </w:div>
    <w:div w:id="1331642128">
      <w:bodyDiv w:val="1"/>
      <w:marLeft w:val="0"/>
      <w:marRight w:val="0"/>
      <w:marTop w:val="0"/>
      <w:marBottom w:val="0"/>
      <w:divBdr>
        <w:top w:val="none" w:sz="0" w:space="0" w:color="auto"/>
        <w:left w:val="none" w:sz="0" w:space="0" w:color="auto"/>
        <w:bottom w:val="none" w:sz="0" w:space="0" w:color="auto"/>
        <w:right w:val="none" w:sz="0" w:space="0" w:color="auto"/>
      </w:divBdr>
    </w:div>
    <w:div w:id="1336107073">
      <w:bodyDiv w:val="1"/>
      <w:marLeft w:val="0"/>
      <w:marRight w:val="0"/>
      <w:marTop w:val="0"/>
      <w:marBottom w:val="0"/>
      <w:divBdr>
        <w:top w:val="none" w:sz="0" w:space="0" w:color="auto"/>
        <w:left w:val="none" w:sz="0" w:space="0" w:color="auto"/>
        <w:bottom w:val="none" w:sz="0" w:space="0" w:color="auto"/>
        <w:right w:val="none" w:sz="0" w:space="0" w:color="auto"/>
      </w:divBdr>
    </w:div>
    <w:div w:id="1338849041">
      <w:bodyDiv w:val="1"/>
      <w:marLeft w:val="0"/>
      <w:marRight w:val="0"/>
      <w:marTop w:val="0"/>
      <w:marBottom w:val="0"/>
      <w:divBdr>
        <w:top w:val="none" w:sz="0" w:space="0" w:color="auto"/>
        <w:left w:val="none" w:sz="0" w:space="0" w:color="auto"/>
        <w:bottom w:val="none" w:sz="0" w:space="0" w:color="auto"/>
        <w:right w:val="none" w:sz="0" w:space="0" w:color="auto"/>
      </w:divBdr>
    </w:div>
    <w:div w:id="1342852486">
      <w:bodyDiv w:val="1"/>
      <w:marLeft w:val="0"/>
      <w:marRight w:val="0"/>
      <w:marTop w:val="0"/>
      <w:marBottom w:val="0"/>
      <w:divBdr>
        <w:top w:val="none" w:sz="0" w:space="0" w:color="auto"/>
        <w:left w:val="none" w:sz="0" w:space="0" w:color="auto"/>
        <w:bottom w:val="none" w:sz="0" w:space="0" w:color="auto"/>
        <w:right w:val="none" w:sz="0" w:space="0" w:color="auto"/>
      </w:divBdr>
    </w:div>
    <w:div w:id="1345286028">
      <w:bodyDiv w:val="1"/>
      <w:marLeft w:val="0"/>
      <w:marRight w:val="0"/>
      <w:marTop w:val="0"/>
      <w:marBottom w:val="0"/>
      <w:divBdr>
        <w:top w:val="none" w:sz="0" w:space="0" w:color="auto"/>
        <w:left w:val="none" w:sz="0" w:space="0" w:color="auto"/>
        <w:bottom w:val="none" w:sz="0" w:space="0" w:color="auto"/>
        <w:right w:val="none" w:sz="0" w:space="0" w:color="auto"/>
      </w:divBdr>
    </w:div>
    <w:div w:id="1346176729">
      <w:bodyDiv w:val="1"/>
      <w:marLeft w:val="0"/>
      <w:marRight w:val="0"/>
      <w:marTop w:val="0"/>
      <w:marBottom w:val="0"/>
      <w:divBdr>
        <w:top w:val="none" w:sz="0" w:space="0" w:color="auto"/>
        <w:left w:val="none" w:sz="0" w:space="0" w:color="auto"/>
        <w:bottom w:val="none" w:sz="0" w:space="0" w:color="auto"/>
        <w:right w:val="none" w:sz="0" w:space="0" w:color="auto"/>
      </w:divBdr>
    </w:div>
    <w:div w:id="1346975013">
      <w:bodyDiv w:val="1"/>
      <w:marLeft w:val="0"/>
      <w:marRight w:val="0"/>
      <w:marTop w:val="0"/>
      <w:marBottom w:val="0"/>
      <w:divBdr>
        <w:top w:val="none" w:sz="0" w:space="0" w:color="auto"/>
        <w:left w:val="none" w:sz="0" w:space="0" w:color="auto"/>
        <w:bottom w:val="none" w:sz="0" w:space="0" w:color="auto"/>
        <w:right w:val="none" w:sz="0" w:space="0" w:color="auto"/>
      </w:divBdr>
    </w:div>
    <w:div w:id="1348630015">
      <w:bodyDiv w:val="1"/>
      <w:marLeft w:val="0"/>
      <w:marRight w:val="0"/>
      <w:marTop w:val="0"/>
      <w:marBottom w:val="0"/>
      <w:divBdr>
        <w:top w:val="none" w:sz="0" w:space="0" w:color="auto"/>
        <w:left w:val="none" w:sz="0" w:space="0" w:color="auto"/>
        <w:bottom w:val="none" w:sz="0" w:space="0" w:color="auto"/>
        <w:right w:val="none" w:sz="0" w:space="0" w:color="auto"/>
      </w:divBdr>
    </w:div>
    <w:div w:id="1353847196">
      <w:bodyDiv w:val="1"/>
      <w:marLeft w:val="0"/>
      <w:marRight w:val="0"/>
      <w:marTop w:val="0"/>
      <w:marBottom w:val="0"/>
      <w:divBdr>
        <w:top w:val="none" w:sz="0" w:space="0" w:color="auto"/>
        <w:left w:val="none" w:sz="0" w:space="0" w:color="auto"/>
        <w:bottom w:val="none" w:sz="0" w:space="0" w:color="auto"/>
        <w:right w:val="none" w:sz="0" w:space="0" w:color="auto"/>
      </w:divBdr>
    </w:div>
    <w:div w:id="1355234278">
      <w:bodyDiv w:val="1"/>
      <w:marLeft w:val="0"/>
      <w:marRight w:val="0"/>
      <w:marTop w:val="0"/>
      <w:marBottom w:val="0"/>
      <w:divBdr>
        <w:top w:val="none" w:sz="0" w:space="0" w:color="auto"/>
        <w:left w:val="none" w:sz="0" w:space="0" w:color="auto"/>
        <w:bottom w:val="none" w:sz="0" w:space="0" w:color="auto"/>
        <w:right w:val="none" w:sz="0" w:space="0" w:color="auto"/>
      </w:divBdr>
    </w:div>
    <w:div w:id="1358770148">
      <w:bodyDiv w:val="1"/>
      <w:marLeft w:val="0"/>
      <w:marRight w:val="0"/>
      <w:marTop w:val="0"/>
      <w:marBottom w:val="0"/>
      <w:divBdr>
        <w:top w:val="none" w:sz="0" w:space="0" w:color="auto"/>
        <w:left w:val="none" w:sz="0" w:space="0" w:color="auto"/>
        <w:bottom w:val="none" w:sz="0" w:space="0" w:color="auto"/>
        <w:right w:val="none" w:sz="0" w:space="0" w:color="auto"/>
      </w:divBdr>
    </w:div>
    <w:div w:id="1359969785">
      <w:bodyDiv w:val="1"/>
      <w:marLeft w:val="0"/>
      <w:marRight w:val="0"/>
      <w:marTop w:val="0"/>
      <w:marBottom w:val="0"/>
      <w:divBdr>
        <w:top w:val="none" w:sz="0" w:space="0" w:color="auto"/>
        <w:left w:val="none" w:sz="0" w:space="0" w:color="auto"/>
        <w:bottom w:val="none" w:sz="0" w:space="0" w:color="auto"/>
        <w:right w:val="none" w:sz="0" w:space="0" w:color="auto"/>
      </w:divBdr>
    </w:div>
    <w:div w:id="1367020939">
      <w:bodyDiv w:val="1"/>
      <w:marLeft w:val="0"/>
      <w:marRight w:val="0"/>
      <w:marTop w:val="0"/>
      <w:marBottom w:val="0"/>
      <w:divBdr>
        <w:top w:val="none" w:sz="0" w:space="0" w:color="auto"/>
        <w:left w:val="none" w:sz="0" w:space="0" w:color="auto"/>
        <w:bottom w:val="none" w:sz="0" w:space="0" w:color="auto"/>
        <w:right w:val="none" w:sz="0" w:space="0" w:color="auto"/>
      </w:divBdr>
    </w:div>
    <w:div w:id="1368414950">
      <w:bodyDiv w:val="1"/>
      <w:marLeft w:val="0"/>
      <w:marRight w:val="0"/>
      <w:marTop w:val="0"/>
      <w:marBottom w:val="0"/>
      <w:divBdr>
        <w:top w:val="none" w:sz="0" w:space="0" w:color="auto"/>
        <w:left w:val="none" w:sz="0" w:space="0" w:color="auto"/>
        <w:bottom w:val="none" w:sz="0" w:space="0" w:color="auto"/>
        <w:right w:val="none" w:sz="0" w:space="0" w:color="auto"/>
      </w:divBdr>
    </w:div>
    <w:div w:id="1370258886">
      <w:bodyDiv w:val="1"/>
      <w:marLeft w:val="0"/>
      <w:marRight w:val="0"/>
      <w:marTop w:val="0"/>
      <w:marBottom w:val="0"/>
      <w:divBdr>
        <w:top w:val="none" w:sz="0" w:space="0" w:color="auto"/>
        <w:left w:val="none" w:sz="0" w:space="0" w:color="auto"/>
        <w:bottom w:val="none" w:sz="0" w:space="0" w:color="auto"/>
        <w:right w:val="none" w:sz="0" w:space="0" w:color="auto"/>
      </w:divBdr>
    </w:div>
    <w:div w:id="1371757053">
      <w:bodyDiv w:val="1"/>
      <w:marLeft w:val="0"/>
      <w:marRight w:val="0"/>
      <w:marTop w:val="0"/>
      <w:marBottom w:val="0"/>
      <w:divBdr>
        <w:top w:val="none" w:sz="0" w:space="0" w:color="auto"/>
        <w:left w:val="none" w:sz="0" w:space="0" w:color="auto"/>
        <w:bottom w:val="none" w:sz="0" w:space="0" w:color="auto"/>
        <w:right w:val="none" w:sz="0" w:space="0" w:color="auto"/>
      </w:divBdr>
    </w:div>
    <w:div w:id="1372799836">
      <w:bodyDiv w:val="1"/>
      <w:marLeft w:val="0"/>
      <w:marRight w:val="0"/>
      <w:marTop w:val="0"/>
      <w:marBottom w:val="0"/>
      <w:divBdr>
        <w:top w:val="none" w:sz="0" w:space="0" w:color="auto"/>
        <w:left w:val="none" w:sz="0" w:space="0" w:color="auto"/>
        <w:bottom w:val="none" w:sz="0" w:space="0" w:color="auto"/>
        <w:right w:val="none" w:sz="0" w:space="0" w:color="auto"/>
      </w:divBdr>
    </w:div>
    <w:div w:id="1377074533">
      <w:bodyDiv w:val="1"/>
      <w:marLeft w:val="0"/>
      <w:marRight w:val="0"/>
      <w:marTop w:val="0"/>
      <w:marBottom w:val="0"/>
      <w:divBdr>
        <w:top w:val="none" w:sz="0" w:space="0" w:color="auto"/>
        <w:left w:val="none" w:sz="0" w:space="0" w:color="auto"/>
        <w:bottom w:val="none" w:sz="0" w:space="0" w:color="auto"/>
        <w:right w:val="none" w:sz="0" w:space="0" w:color="auto"/>
      </w:divBdr>
    </w:div>
    <w:div w:id="1378243132">
      <w:bodyDiv w:val="1"/>
      <w:marLeft w:val="0"/>
      <w:marRight w:val="0"/>
      <w:marTop w:val="0"/>
      <w:marBottom w:val="0"/>
      <w:divBdr>
        <w:top w:val="none" w:sz="0" w:space="0" w:color="auto"/>
        <w:left w:val="none" w:sz="0" w:space="0" w:color="auto"/>
        <w:bottom w:val="none" w:sz="0" w:space="0" w:color="auto"/>
        <w:right w:val="none" w:sz="0" w:space="0" w:color="auto"/>
      </w:divBdr>
    </w:div>
    <w:div w:id="1379283531">
      <w:bodyDiv w:val="1"/>
      <w:marLeft w:val="0"/>
      <w:marRight w:val="0"/>
      <w:marTop w:val="0"/>
      <w:marBottom w:val="0"/>
      <w:divBdr>
        <w:top w:val="none" w:sz="0" w:space="0" w:color="auto"/>
        <w:left w:val="none" w:sz="0" w:space="0" w:color="auto"/>
        <w:bottom w:val="none" w:sz="0" w:space="0" w:color="auto"/>
        <w:right w:val="none" w:sz="0" w:space="0" w:color="auto"/>
      </w:divBdr>
    </w:div>
    <w:div w:id="1380396170">
      <w:bodyDiv w:val="1"/>
      <w:marLeft w:val="0"/>
      <w:marRight w:val="0"/>
      <w:marTop w:val="0"/>
      <w:marBottom w:val="0"/>
      <w:divBdr>
        <w:top w:val="none" w:sz="0" w:space="0" w:color="auto"/>
        <w:left w:val="none" w:sz="0" w:space="0" w:color="auto"/>
        <w:bottom w:val="none" w:sz="0" w:space="0" w:color="auto"/>
        <w:right w:val="none" w:sz="0" w:space="0" w:color="auto"/>
      </w:divBdr>
    </w:div>
    <w:div w:id="1384138998">
      <w:bodyDiv w:val="1"/>
      <w:marLeft w:val="0"/>
      <w:marRight w:val="0"/>
      <w:marTop w:val="0"/>
      <w:marBottom w:val="0"/>
      <w:divBdr>
        <w:top w:val="none" w:sz="0" w:space="0" w:color="auto"/>
        <w:left w:val="none" w:sz="0" w:space="0" w:color="auto"/>
        <w:bottom w:val="none" w:sz="0" w:space="0" w:color="auto"/>
        <w:right w:val="none" w:sz="0" w:space="0" w:color="auto"/>
      </w:divBdr>
    </w:div>
    <w:div w:id="1385759040">
      <w:bodyDiv w:val="1"/>
      <w:marLeft w:val="0"/>
      <w:marRight w:val="0"/>
      <w:marTop w:val="0"/>
      <w:marBottom w:val="0"/>
      <w:divBdr>
        <w:top w:val="none" w:sz="0" w:space="0" w:color="auto"/>
        <w:left w:val="none" w:sz="0" w:space="0" w:color="auto"/>
        <w:bottom w:val="none" w:sz="0" w:space="0" w:color="auto"/>
        <w:right w:val="none" w:sz="0" w:space="0" w:color="auto"/>
      </w:divBdr>
    </w:div>
    <w:div w:id="1386442800">
      <w:bodyDiv w:val="1"/>
      <w:marLeft w:val="0"/>
      <w:marRight w:val="0"/>
      <w:marTop w:val="0"/>
      <w:marBottom w:val="0"/>
      <w:divBdr>
        <w:top w:val="none" w:sz="0" w:space="0" w:color="auto"/>
        <w:left w:val="none" w:sz="0" w:space="0" w:color="auto"/>
        <w:bottom w:val="none" w:sz="0" w:space="0" w:color="auto"/>
        <w:right w:val="none" w:sz="0" w:space="0" w:color="auto"/>
      </w:divBdr>
    </w:div>
    <w:div w:id="1386880470">
      <w:bodyDiv w:val="1"/>
      <w:marLeft w:val="0"/>
      <w:marRight w:val="0"/>
      <w:marTop w:val="0"/>
      <w:marBottom w:val="0"/>
      <w:divBdr>
        <w:top w:val="none" w:sz="0" w:space="0" w:color="auto"/>
        <w:left w:val="none" w:sz="0" w:space="0" w:color="auto"/>
        <w:bottom w:val="none" w:sz="0" w:space="0" w:color="auto"/>
        <w:right w:val="none" w:sz="0" w:space="0" w:color="auto"/>
      </w:divBdr>
    </w:div>
    <w:div w:id="1387409900">
      <w:bodyDiv w:val="1"/>
      <w:marLeft w:val="0"/>
      <w:marRight w:val="0"/>
      <w:marTop w:val="0"/>
      <w:marBottom w:val="0"/>
      <w:divBdr>
        <w:top w:val="none" w:sz="0" w:space="0" w:color="auto"/>
        <w:left w:val="none" w:sz="0" w:space="0" w:color="auto"/>
        <w:bottom w:val="none" w:sz="0" w:space="0" w:color="auto"/>
        <w:right w:val="none" w:sz="0" w:space="0" w:color="auto"/>
      </w:divBdr>
    </w:div>
    <w:div w:id="1397238973">
      <w:bodyDiv w:val="1"/>
      <w:marLeft w:val="0"/>
      <w:marRight w:val="0"/>
      <w:marTop w:val="0"/>
      <w:marBottom w:val="0"/>
      <w:divBdr>
        <w:top w:val="none" w:sz="0" w:space="0" w:color="auto"/>
        <w:left w:val="none" w:sz="0" w:space="0" w:color="auto"/>
        <w:bottom w:val="none" w:sz="0" w:space="0" w:color="auto"/>
        <w:right w:val="none" w:sz="0" w:space="0" w:color="auto"/>
      </w:divBdr>
    </w:div>
    <w:div w:id="1399938229">
      <w:bodyDiv w:val="1"/>
      <w:marLeft w:val="0"/>
      <w:marRight w:val="0"/>
      <w:marTop w:val="0"/>
      <w:marBottom w:val="0"/>
      <w:divBdr>
        <w:top w:val="none" w:sz="0" w:space="0" w:color="auto"/>
        <w:left w:val="none" w:sz="0" w:space="0" w:color="auto"/>
        <w:bottom w:val="none" w:sz="0" w:space="0" w:color="auto"/>
        <w:right w:val="none" w:sz="0" w:space="0" w:color="auto"/>
      </w:divBdr>
    </w:div>
    <w:div w:id="1402941726">
      <w:bodyDiv w:val="1"/>
      <w:marLeft w:val="0"/>
      <w:marRight w:val="0"/>
      <w:marTop w:val="0"/>
      <w:marBottom w:val="0"/>
      <w:divBdr>
        <w:top w:val="none" w:sz="0" w:space="0" w:color="auto"/>
        <w:left w:val="none" w:sz="0" w:space="0" w:color="auto"/>
        <w:bottom w:val="none" w:sz="0" w:space="0" w:color="auto"/>
        <w:right w:val="none" w:sz="0" w:space="0" w:color="auto"/>
      </w:divBdr>
    </w:div>
    <w:div w:id="1405907948">
      <w:bodyDiv w:val="1"/>
      <w:marLeft w:val="0"/>
      <w:marRight w:val="0"/>
      <w:marTop w:val="0"/>
      <w:marBottom w:val="0"/>
      <w:divBdr>
        <w:top w:val="none" w:sz="0" w:space="0" w:color="auto"/>
        <w:left w:val="none" w:sz="0" w:space="0" w:color="auto"/>
        <w:bottom w:val="none" w:sz="0" w:space="0" w:color="auto"/>
        <w:right w:val="none" w:sz="0" w:space="0" w:color="auto"/>
      </w:divBdr>
    </w:div>
    <w:div w:id="1411082171">
      <w:bodyDiv w:val="1"/>
      <w:marLeft w:val="0"/>
      <w:marRight w:val="0"/>
      <w:marTop w:val="0"/>
      <w:marBottom w:val="0"/>
      <w:divBdr>
        <w:top w:val="none" w:sz="0" w:space="0" w:color="auto"/>
        <w:left w:val="none" w:sz="0" w:space="0" w:color="auto"/>
        <w:bottom w:val="none" w:sz="0" w:space="0" w:color="auto"/>
        <w:right w:val="none" w:sz="0" w:space="0" w:color="auto"/>
      </w:divBdr>
    </w:div>
    <w:div w:id="1412852305">
      <w:bodyDiv w:val="1"/>
      <w:marLeft w:val="0"/>
      <w:marRight w:val="0"/>
      <w:marTop w:val="0"/>
      <w:marBottom w:val="0"/>
      <w:divBdr>
        <w:top w:val="none" w:sz="0" w:space="0" w:color="auto"/>
        <w:left w:val="none" w:sz="0" w:space="0" w:color="auto"/>
        <w:bottom w:val="none" w:sz="0" w:space="0" w:color="auto"/>
        <w:right w:val="none" w:sz="0" w:space="0" w:color="auto"/>
      </w:divBdr>
    </w:div>
    <w:div w:id="1413164448">
      <w:bodyDiv w:val="1"/>
      <w:marLeft w:val="0"/>
      <w:marRight w:val="0"/>
      <w:marTop w:val="0"/>
      <w:marBottom w:val="0"/>
      <w:divBdr>
        <w:top w:val="none" w:sz="0" w:space="0" w:color="auto"/>
        <w:left w:val="none" w:sz="0" w:space="0" w:color="auto"/>
        <w:bottom w:val="none" w:sz="0" w:space="0" w:color="auto"/>
        <w:right w:val="none" w:sz="0" w:space="0" w:color="auto"/>
      </w:divBdr>
    </w:div>
    <w:div w:id="1413700240">
      <w:bodyDiv w:val="1"/>
      <w:marLeft w:val="0"/>
      <w:marRight w:val="0"/>
      <w:marTop w:val="0"/>
      <w:marBottom w:val="0"/>
      <w:divBdr>
        <w:top w:val="none" w:sz="0" w:space="0" w:color="auto"/>
        <w:left w:val="none" w:sz="0" w:space="0" w:color="auto"/>
        <w:bottom w:val="none" w:sz="0" w:space="0" w:color="auto"/>
        <w:right w:val="none" w:sz="0" w:space="0" w:color="auto"/>
      </w:divBdr>
    </w:div>
    <w:div w:id="1418164741">
      <w:bodyDiv w:val="1"/>
      <w:marLeft w:val="0"/>
      <w:marRight w:val="0"/>
      <w:marTop w:val="0"/>
      <w:marBottom w:val="0"/>
      <w:divBdr>
        <w:top w:val="none" w:sz="0" w:space="0" w:color="auto"/>
        <w:left w:val="none" w:sz="0" w:space="0" w:color="auto"/>
        <w:bottom w:val="none" w:sz="0" w:space="0" w:color="auto"/>
        <w:right w:val="none" w:sz="0" w:space="0" w:color="auto"/>
      </w:divBdr>
    </w:div>
    <w:div w:id="1421482164">
      <w:bodyDiv w:val="1"/>
      <w:marLeft w:val="0"/>
      <w:marRight w:val="0"/>
      <w:marTop w:val="0"/>
      <w:marBottom w:val="0"/>
      <w:divBdr>
        <w:top w:val="none" w:sz="0" w:space="0" w:color="auto"/>
        <w:left w:val="none" w:sz="0" w:space="0" w:color="auto"/>
        <w:bottom w:val="none" w:sz="0" w:space="0" w:color="auto"/>
        <w:right w:val="none" w:sz="0" w:space="0" w:color="auto"/>
      </w:divBdr>
    </w:div>
    <w:div w:id="1426465211">
      <w:bodyDiv w:val="1"/>
      <w:marLeft w:val="0"/>
      <w:marRight w:val="0"/>
      <w:marTop w:val="0"/>
      <w:marBottom w:val="0"/>
      <w:divBdr>
        <w:top w:val="none" w:sz="0" w:space="0" w:color="auto"/>
        <w:left w:val="none" w:sz="0" w:space="0" w:color="auto"/>
        <w:bottom w:val="none" w:sz="0" w:space="0" w:color="auto"/>
        <w:right w:val="none" w:sz="0" w:space="0" w:color="auto"/>
      </w:divBdr>
    </w:div>
    <w:div w:id="1429034798">
      <w:bodyDiv w:val="1"/>
      <w:marLeft w:val="0"/>
      <w:marRight w:val="0"/>
      <w:marTop w:val="0"/>
      <w:marBottom w:val="0"/>
      <w:divBdr>
        <w:top w:val="none" w:sz="0" w:space="0" w:color="auto"/>
        <w:left w:val="none" w:sz="0" w:space="0" w:color="auto"/>
        <w:bottom w:val="none" w:sz="0" w:space="0" w:color="auto"/>
        <w:right w:val="none" w:sz="0" w:space="0" w:color="auto"/>
      </w:divBdr>
    </w:div>
    <w:div w:id="1435712440">
      <w:bodyDiv w:val="1"/>
      <w:marLeft w:val="0"/>
      <w:marRight w:val="0"/>
      <w:marTop w:val="0"/>
      <w:marBottom w:val="0"/>
      <w:divBdr>
        <w:top w:val="none" w:sz="0" w:space="0" w:color="auto"/>
        <w:left w:val="none" w:sz="0" w:space="0" w:color="auto"/>
        <w:bottom w:val="none" w:sz="0" w:space="0" w:color="auto"/>
        <w:right w:val="none" w:sz="0" w:space="0" w:color="auto"/>
      </w:divBdr>
    </w:div>
    <w:div w:id="1440678405">
      <w:bodyDiv w:val="1"/>
      <w:marLeft w:val="0"/>
      <w:marRight w:val="0"/>
      <w:marTop w:val="0"/>
      <w:marBottom w:val="0"/>
      <w:divBdr>
        <w:top w:val="none" w:sz="0" w:space="0" w:color="auto"/>
        <w:left w:val="none" w:sz="0" w:space="0" w:color="auto"/>
        <w:bottom w:val="none" w:sz="0" w:space="0" w:color="auto"/>
        <w:right w:val="none" w:sz="0" w:space="0" w:color="auto"/>
      </w:divBdr>
    </w:div>
    <w:div w:id="1444232497">
      <w:bodyDiv w:val="1"/>
      <w:marLeft w:val="0"/>
      <w:marRight w:val="0"/>
      <w:marTop w:val="0"/>
      <w:marBottom w:val="0"/>
      <w:divBdr>
        <w:top w:val="none" w:sz="0" w:space="0" w:color="auto"/>
        <w:left w:val="none" w:sz="0" w:space="0" w:color="auto"/>
        <w:bottom w:val="none" w:sz="0" w:space="0" w:color="auto"/>
        <w:right w:val="none" w:sz="0" w:space="0" w:color="auto"/>
      </w:divBdr>
    </w:div>
    <w:div w:id="1448428588">
      <w:bodyDiv w:val="1"/>
      <w:marLeft w:val="0"/>
      <w:marRight w:val="0"/>
      <w:marTop w:val="0"/>
      <w:marBottom w:val="0"/>
      <w:divBdr>
        <w:top w:val="none" w:sz="0" w:space="0" w:color="auto"/>
        <w:left w:val="none" w:sz="0" w:space="0" w:color="auto"/>
        <w:bottom w:val="none" w:sz="0" w:space="0" w:color="auto"/>
        <w:right w:val="none" w:sz="0" w:space="0" w:color="auto"/>
      </w:divBdr>
    </w:div>
    <w:div w:id="1451585478">
      <w:bodyDiv w:val="1"/>
      <w:marLeft w:val="0"/>
      <w:marRight w:val="0"/>
      <w:marTop w:val="0"/>
      <w:marBottom w:val="0"/>
      <w:divBdr>
        <w:top w:val="none" w:sz="0" w:space="0" w:color="auto"/>
        <w:left w:val="none" w:sz="0" w:space="0" w:color="auto"/>
        <w:bottom w:val="none" w:sz="0" w:space="0" w:color="auto"/>
        <w:right w:val="none" w:sz="0" w:space="0" w:color="auto"/>
      </w:divBdr>
    </w:div>
    <w:div w:id="1452937792">
      <w:bodyDiv w:val="1"/>
      <w:marLeft w:val="0"/>
      <w:marRight w:val="0"/>
      <w:marTop w:val="0"/>
      <w:marBottom w:val="0"/>
      <w:divBdr>
        <w:top w:val="none" w:sz="0" w:space="0" w:color="auto"/>
        <w:left w:val="none" w:sz="0" w:space="0" w:color="auto"/>
        <w:bottom w:val="none" w:sz="0" w:space="0" w:color="auto"/>
        <w:right w:val="none" w:sz="0" w:space="0" w:color="auto"/>
      </w:divBdr>
    </w:div>
    <w:div w:id="1455102543">
      <w:bodyDiv w:val="1"/>
      <w:marLeft w:val="0"/>
      <w:marRight w:val="0"/>
      <w:marTop w:val="0"/>
      <w:marBottom w:val="0"/>
      <w:divBdr>
        <w:top w:val="none" w:sz="0" w:space="0" w:color="auto"/>
        <w:left w:val="none" w:sz="0" w:space="0" w:color="auto"/>
        <w:bottom w:val="none" w:sz="0" w:space="0" w:color="auto"/>
        <w:right w:val="none" w:sz="0" w:space="0" w:color="auto"/>
      </w:divBdr>
    </w:div>
    <w:div w:id="1457216909">
      <w:bodyDiv w:val="1"/>
      <w:marLeft w:val="0"/>
      <w:marRight w:val="0"/>
      <w:marTop w:val="0"/>
      <w:marBottom w:val="0"/>
      <w:divBdr>
        <w:top w:val="none" w:sz="0" w:space="0" w:color="auto"/>
        <w:left w:val="none" w:sz="0" w:space="0" w:color="auto"/>
        <w:bottom w:val="none" w:sz="0" w:space="0" w:color="auto"/>
        <w:right w:val="none" w:sz="0" w:space="0" w:color="auto"/>
      </w:divBdr>
    </w:div>
    <w:div w:id="1463889397">
      <w:bodyDiv w:val="1"/>
      <w:marLeft w:val="0"/>
      <w:marRight w:val="0"/>
      <w:marTop w:val="0"/>
      <w:marBottom w:val="0"/>
      <w:divBdr>
        <w:top w:val="none" w:sz="0" w:space="0" w:color="auto"/>
        <w:left w:val="none" w:sz="0" w:space="0" w:color="auto"/>
        <w:bottom w:val="none" w:sz="0" w:space="0" w:color="auto"/>
        <w:right w:val="none" w:sz="0" w:space="0" w:color="auto"/>
      </w:divBdr>
    </w:div>
    <w:div w:id="1464344357">
      <w:bodyDiv w:val="1"/>
      <w:marLeft w:val="0"/>
      <w:marRight w:val="0"/>
      <w:marTop w:val="0"/>
      <w:marBottom w:val="0"/>
      <w:divBdr>
        <w:top w:val="none" w:sz="0" w:space="0" w:color="auto"/>
        <w:left w:val="none" w:sz="0" w:space="0" w:color="auto"/>
        <w:bottom w:val="none" w:sz="0" w:space="0" w:color="auto"/>
        <w:right w:val="none" w:sz="0" w:space="0" w:color="auto"/>
      </w:divBdr>
    </w:div>
    <w:div w:id="1465002900">
      <w:bodyDiv w:val="1"/>
      <w:marLeft w:val="0"/>
      <w:marRight w:val="0"/>
      <w:marTop w:val="0"/>
      <w:marBottom w:val="0"/>
      <w:divBdr>
        <w:top w:val="none" w:sz="0" w:space="0" w:color="auto"/>
        <w:left w:val="none" w:sz="0" w:space="0" w:color="auto"/>
        <w:bottom w:val="none" w:sz="0" w:space="0" w:color="auto"/>
        <w:right w:val="none" w:sz="0" w:space="0" w:color="auto"/>
      </w:divBdr>
    </w:div>
    <w:div w:id="1489587557">
      <w:bodyDiv w:val="1"/>
      <w:marLeft w:val="0"/>
      <w:marRight w:val="0"/>
      <w:marTop w:val="0"/>
      <w:marBottom w:val="0"/>
      <w:divBdr>
        <w:top w:val="none" w:sz="0" w:space="0" w:color="auto"/>
        <w:left w:val="none" w:sz="0" w:space="0" w:color="auto"/>
        <w:bottom w:val="none" w:sz="0" w:space="0" w:color="auto"/>
        <w:right w:val="none" w:sz="0" w:space="0" w:color="auto"/>
      </w:divBdr>
    </w:div>
    <w:div w:id="1489860091">
      <w:bodyDiv w:val="1"/>
      <w:marLeft w:val="0"/>
      <w:marRight w:val="0"/>
      <w:marTop w:val="0"/>
      <w:marBottom w:val="0"/>
      <w:divBdr>
        <w:top w:val="none" w:sz="0" w:space="0" w:color="auto"/>
        <w:left w:val="none" w:sz="0" w:space="0" w:color="auto"/>
        <w:bottom w:val="none" w:sz="0" w:space="0" w:color="auto"/>
        <w:right w:val="none" w:sz="0" w:space="0" w:color="auto"/>
      </w:divBdr>
    </w:div>
    <w:div w:id="1496606663">
      <w:bodyDiv w:val="1"/>
      <w:marLeft w:val="0"/>
      <w:marRight w:val="0"/>
      <w:marTop w:val="0"/>
      <w:marBottom w:val="0"/>
      <w:divBdr>
        <w:top w:val="none" w:sz="0" w:space="0" w:color="auto"/>
        <w:left w:val="none" w:sz="0" w:space="0" w:color="auto"/>
        <w:bottom w:val="none" w:sz="0" w:space="0" w:color="auto"/>
        <w:right w:val="none" w:sz="0" w:space="0" w:color="auto"/>
      </w:divBdr>
    </w:div>
    <w:div w:id="1497106760">
      <w:bodyDiv w:val="1"/>
      <w:marLeft w:val="0"/>
      <w:marRight w:val="0"/>
      <w:marTop w:val="0"/>
      <w:marBottom w:val="0"/>
      <w:divBdr>
        <w:top w:val="none" w:sz="0" w:space="0" w:color="auto"/>
        <w:left w:val="none" w:sz="0" w:space="0" w:color="auto"/>
        <w:bottom w:val="none" w:sz="0" w:space="0" w:color="auto"/>
        <w:right w:val="none" w:sz="0" w:space="0" w:color="auto"/>
      </w:divBdr>
    </w:div>
    <w:div w:id="1498837750">
      <w:bodyDiv w:val="1"/>
      <w:marLeft w:val="0"/>
      <w:marRight w:val="0"/>
      <w:marTop w:val="0"/>
      <w:marBottom w:val="0"/>
      <w:divBdr>
        <w:top w:val="none" w:sz="0" w:space="0" w:color="auto"/>
        <w:left w:val="none" w:sz="0" w:space="0" w:color="auto"/>
        <w:bottom w:val="none" w:sz="0" w:space="0" w:color="auto"/>
        <w:right w:val="none" w:sz="0" w:space="0" w:color="auto"/>
      </w:divBdr>
    </w:div>
    <w:div w:id="1501702201">
      <w:bodyDiv w:val="1"/>
      <w:marLeft w:val="0"/>
      <w:marRight w:val="0"/>
      <w:marTop w:val="0"/>
      <w:marBottom w:val="0"/>
      <w:divBdr>
        <w:top w:val="none" w:sz="0" w:space="0" w:color="auto"/>
        <w:left w:val="none" w:sz="0" w:space="0" w:color="auto"/>
        <w:bottom w:val="none" w:sz="0" w:space="0" w:color="auto"/>
        <w:right w:val="none" w:sz="0" w:space="0" w:color="auto"/>
      </w:divBdr>
    </w:div>
    <w:div w:id="1501968179">
      <w:bodyDiv w:val="1"/>
      <w:marLeft w:val="0"/>
      <w:marRight w:val="0"/>
      <w:marTop w:val="0"/>
      <w:marBottom w:val="0"/>
      <w:divBdr>
        <w:top w:val="none" w:sz="0" w:space="0" w:color="auto"/>
        <w:left w:val="none" w:sz="0" w:space="0" w:color="auto"/>
        <w:bottom w:val="none" w:sz="0" w:space="0" w:color="auto"/>
        <w:right w:val="none" w:sz="0" w:space="0" w:color="auto"/>
      </w:divBdr>
    </w:div>
    <w:div w:id="1505515511">
      <w:bodyDiv w:val="1"/>
      <w:marLeft w:val="0"/>
      <w:marRight w:val="0"/>
      <w:marTop w:val="0"/>
      <w:marBottom w:val="0"/>
      <w:divBdr>
        <w:top w:val="none" w:sz="0" w:space="0" w:color="auto"/>
        <w:left w:val="none" w:sz="0" w:space="0" w:color="auto"/>
        <w:bottom w:val="none" w:sz="0" w:space="0" w:color="auto"/>
        <w:right w:val="none" w:sz="0" w:space="0" w:color="auto"/>
      </w:divBdr>
    </w:div>
    <w:div w:id="1506358893">
      <w:bodyDiv w:val="1"/>
      <w:marLeft w:val="0"/>
      <w:marRight w:val="0"/>
      <w:marTop w:val="0"/>
      <w:marBottom w:val="0"/>
      <w:divBdr>
        <w:top w:val="none" w:sz="0" w:space="0" w:color="auto"/>
        <w:left w:val="none" w:sz="0" w:space="0" w:color="auto"/>
        <w:bottom w:val="none" w:sz="0" w:space="0" w:color="auto"/>
        <w:right w:val="none" w:sz="0" w:space="0" w:color="auto"/>
      </w:divBdr>
    </w:div>
    <w:div w:id="1507093011">
      <w:bodyDiv w:val="1"/>
      <w:marLeft w:val="0"/>
      <w:marRight w:val="0"/>
      <w:marTop w:val="0"/>
      <w:marBottom w:val="0"/>
      <w:divBdr>
        <w:top w:val="none" w:sz="0" w:space="0" w:color="auto"/>
        <w:left w:val="none" w:sz="0" w:space="0" w:color="auto"/>
        <w:bottom w:val="none" w:sz="0" w:space="0" w:color="auto"/>
        <w:right w:val="none" w:sz="0" w:space="0" w:color="auto"/>
      </w:divBdr>
    </w:div>
    <w:div w:id="1510831206">
      <w:bodyDiv w:val="1"/>
      <w:marLeft w:val="0"/>
      <w:marRight w:val="0"/>
      <w:marTop w:val="0"/>
      <w:marBottom w:val="0"/>
      <w:divBdr>
        <w:top w:val="none" w:sz="0" w:space="0" w:color="auto"/>
        <w:left w:val="none" w:sz="0" w:space="0" w:color="auto"/>
        <w:bottom w:val="none" w:sz="0" w:space="0" w:color="auto"/>
        <w:right w:val="none" w:sz="0" w:space="0" w:color="auto"/>
      </w:divBdr>
    </w:div>
    <w:div w:id="1515457807">
      <w:bodyDiv w:val="1"/>
      <w:marLeft w:val="0"/>
      <w:marRight w:val="0"/>
      <w:marTop w:val="0"/>
      <w:marBottom w:val="0"/>
      <w:divBdr>
        <w:top w:val="none" w:sz="0" w:space="0" w:color="auto"/>
        <w:left w:val="none" w:sz="0" w:space="0" w:color="auto"/>
        <w:bottom w:val="none" w:sz="0" w:space="0" w:color="auto"/>
        <w:right w:val="none" w:sz="0" w:space="0" w:color="auto"/>
      </w:divBdr>
    </w:div>
    <w:div w:id="1515654187">
      <w:bodyDiv w:val="1"/>
      <w:marLeft w:val="0"/>
      <w:marRight w:val="0"/>
      <w:marTop w:val="0"/>
      <w:marBottom w:val="0"/>
      <w:divBdr>
        <w:top w:val="none" w:sz="0" w:space="0" w:color="auto"/>
        <w:left w:val="none" w:sz="0" w:space="0" w:color="auto"/>
        <w:bottom w:val="none" w:sz="0" w:space="0" w:color="auto"/>
        <w:right w:val="none" w:sz="0" w:space="0" w:color="auto"/>
      </w:divBdr>
    </w:div>
    <w:div w:id="1525440768">
      <w:bodyDiv w:val="1"/>
      <w:marLeft w:val="0"/>
      <w:marRight w:val="0"/>
      <w:marTop w:val="0"/>
      <w:marBottom w:val="0"/>
      <w:divBdr>
        <w:top w:val="none" w:sz="0" w:space="0" w:color="auto"/>
        <w:left w:val="none" w:sz="0" w:space="0" w:color="auto"/>
        <w:bottom w:val="none" w:sz="0" w:space="0" w:color="auto"/>
        <w:right w:val="none" w:sz="0" w:space="0" w:color="auto"/>
      </w:divBdr>
    </w:div>
    <w:div w:id="1527451131">
      <w:bodyDiv w:val="1"/>
      <w:marLeft w:val="0"/>
      <w:marRight w:val="0"/>
      <w:marTop w:val="0"/>
      <w:marBottom w:val="0"/>
      <w:divBdr>
        <w:top w:val="none" w:sz="0" w:space="0" w:color="auto"/>
        <w:left w:val="none" w:sz="0" w:space="0" w:color="auto"/>
        <w:bottom w:val="none" w:sz="0" w:space="0" w:color="auto"/>
        <w:right w:val="none" w:sz="0" w:space="0" w:color="auto"/>
      </w:divBdr>
    </w:div>
    <w:div w:id="1534071215">
      <w:bodyDiv w:val="1"/>
      <w:marLeft w:val="0"/>
      <w:marRight w:val="0"/>
      <w:marTop w:val="0"/>
      <w:marBottom w:val="0"/>
      <w:divBdr>
        <w:top w:val="none" w:sz="0" w:space="0" w:color="auto"/>
        <w:left w:val="none" w:sz="0" w:space="0" w:color="auto"/>
        <w:bottom w:val="none" w:sz="0" w:space="0" w:color="auto"/>
        <w:right w:val="none" w:sz="0" w:space="0" w:color="auto"/>
      </w:divBdr>
    </w:div>
    <w:div w:id="1535313208">
      <w:bodyDiv w:val="1"/>
      <w:marLeft w:val="0"/>
      <w:marRight w:val="0"/>
      <w:marTop w:val="0"/>
      <w:marBottom w:val="0"/>
      <w:divBdr>
        <w:top w:val="none" w:sz="0" w:space="0" w:color="auto"/>
        <w:left w:val="none" w:sz="0" w:space="0" w:color="auto"/>
        <w:bottom w:val="none" w:sz="0" w:space="0" w:color="auto"/>
        <w:right w:val="none" w:sz="0" w:space="0" w:color="auto"/>
      </w:divBdr>
    </w:div>
    <w:div w:id="1535772853">
      <w:bodyDiv w:val="1"/>
      <w:marLeft w:val="0"/>
      <w:marRight w:val="0"/>
      <w:marTop w:val="0"/>
      <w:marBottom w:val="0"/>
      <w:divBdr>
        <w:top w:val="none" w:sz="0" w:space="0" w:color="auto"/>
        <w:left w:val="none" w:sz="0" w:space="0" w:color="auto"/>
        <w:bottom w:val="none" w:sz="0" w:space="0" w:color="auto"/>
        <w:right w:val="none" w:sz="0" w:space="0" w:color="auto"/>
      </w:divBdr>
    </w:div>
    <w:div w:id="1538617912">
      <w:bodyDiv w:val="1"/>
      <w:marLeft w:val="0"/>
      <w:marRight w:val="0"/>
      <w:marTop w:val="0"/>
      <w:marBottom w:val="0"/>
      <w:divBdr>
        <w:top w:val="none" w:sz="0" w:space="0" w:color="auto"/>
        <w:left w:val="none" w:sz="0" w:space="0" w:color="auto"/>
        <w:bottom w:val="none" w:sz="0" w:space="0" w:color="auto"/>
        <w:right w:val="none" w:sz="0" w:space="0" w:color="auto"/>
      </w:divBdr>
    </w:div>
    <w:div w:id="1538852660">
      <w:bodyDiv w:val="1"/>
      <w:marLeft w:val="0"/>
      <w:marRight w:val="0"/>
      <w:marTop w:val="0"/>
      <w:marBottom w:val="0"/>
      <w:divBdr>
        <w:top w:val="none" w:sz="0" w:space="0" w:color="auto"/>
        <w:left w:val="none" w:sz="0" w:space="0" w:color="auto"/>
        <w:bottom w:val="none" w:sz="0" w:space="0" w:color="auto"/>
        <w:right w:val="none" w:sz="0" w:space="0" w:color="auto"/>
      </w:divBdr>
    </w:div>
    <w:div w:id="1540048388">
      <w:bodyDiv w:val="1"/>
      <w:marLeft w:val="0"/>
      <w:marRight w:val="0"/>
      <w:marTop w:val="0"/>
      <w:marBottom w:val="0"/>
      <w:divBdr>
        <w:top w:val="none" w:sz="0" w:space="0" w:color="auto"/>
        <w:left w:val="none" w:sz="0" w:space="0" w:color="auto"/>
        <w:bottom w:val="none" w:sz="0" w:space="0" w:color="auto"/>
        <w:right w:val="none" w:sz="0" w:space="0" w:color="auto"/>
      </w:divBdr>
    </w:div>
    <w:div w:id="1542132191">
      <w:bodyDiv w:val="1"/>
      <w:marLeft w:val="0"/>
      <w:marRight w:val="0"/>
      <w:marTop w:val="0"/>
      <w:marBottom w:val="0"/>
      <w:divBdr>
        <w:top w:val="none" w:sz="0" w:space="0" w:color="auto"/>
        <w:left w:val="none" w:sz="0" w:space="0" w:color="auto"/>
        <w:bottom w:val="none" w:sz="0" w:space="0" w:color="auto"/>
        <w:right w:val="none" w:sz="0" w:space="0" w:color="auto"/>
      </w:divBdr>
    </w:div>
    <w:div w:id="1542136118">
      <w:bodyDiv w:val="1"/>
      <w:marLeft w:val="0"/>
      <w:marRight w:val="0"/>
      <w:marTop w:val="0"/>
      <w:marBottom w:val="0"/>
      <w:divBdr>
        <w:top w:val="none" w:sz="0" w:space="0" w:color="auto"/>
        <w:left w:val="none" w:sz="0" w:space="0" w:color="auto"/>
        <w:bottom w:val="none" w:sz="0" w:space="0" w:color="auto"/>
        <w:right w:val="none" w:sz="0" w:space="0" w:color="auto"/>
      </w:divBdr>
    </w:div>
    <w:div w:id="1554391679">
      <w:bodyDiv w:val="1"/>
      <w:marLeft w:val="0"/>
      <w:marRight w:val="0"/>
      <w:marTop w:val="0"/>
      <w:marBottom w:val="0"/>
      <w:divBdr>
        <w:top w:val="none" w:sz="0" w:space="0" w:color="auto"/>
        <w:left w:val="none" w:sz="0" w:space="0" w:color="auto"/>
        <w:bottom w:val="none" w:sz="0" w:space="0" w:color="auto"/>
        <w:right w:val="none" w:sz="0" w:space="0" w:color="auto"/>
      </w:divBdr>
    </w:div>
    <w:div w:id="1557011109">
      <w:bodyDiv w:val="1"/>
      <w:marLeft w:val="0"/>
      <w:marRight w:val="0"/>
      <w:marTop w:val="0"/>
      <w:marBottom w:val="0"/>
      <w:divBdr>
        <w:top w:val="none" w:sz="0" w:space="0" w:color="auto"/>
        <w:left w:val="none" w:sz="0" w:space="0" w:color="auto"/>
        <w:bottom w:val="none" w:sz="0" w:space="0" w:color="auto"/>
        <w:right w:val="none" w:sz="0" w:space="0" w:color="auto"/>
      </w:divBdr>
    </w:div>
    <w:div w:id="1557551228">
      <w:bodyDiv w:val="1"/>
      <w:marLeft w:val="0"/>
      <w:marRight w:val="0"/>
      <w:marTop w:val="0"/>
      <w:marBottom w:val="0"/>
      <w:divBdr>
        <w:top w:val="none" w:sz="0" w:space="0" w:color="auto"/>
        <w:left w:val="none" w:sz="0" w:space="0" w:color="auto"/>
        <w:bottom w:val="none" w:sz="0" w:space="0" w:color="auto"/>
        <w:right w:val="none" w:sz="0" w:space="0" w:color="auto"/>
      </w:divBdr>
    </w:div>
    <w:div w:id="1560245625">
      <w:bodyDiv w:val="1"/>
      <w:marLeft w:val="0"/>
      <w:marRight w:val="0"/>
      <w:marTop w:val="0"/>
      <w:marBottom w:val="0"/>
      <w:divBdr>
        <w:top w:val="none" w:sz="0" w:space="0" w:color="auto"/>
        <w:left w:val="none" w:sz="0" w:space="0" w:color="auto"/>
        <w:bottom w:val="none" w:sz="0" w:space="0" w:color="auto"/>
        <w:right w:val="none" w:sz="0" w:space="0" w:color="auto"/>
      </w:divBdr>
    </w:div>
    <w:div w:id="1564490372">
      <w:bodyDiv w:val="1"/>
      <w:marLeft w:val="0"/>
      <w:marRight w:val="0"/>
      <w:marTop w:val="0"/>
      <w:marBottom w:val="0"/>
      <w:divBdr>
        <w:top w:val="none" w:sz="0" w:space="0" w:color="auto"/>
        <w:left w:val="none" w:sz="0" w:space="0" w:color="auto"/>
        <w:bottom w:val="none" w:sz="0" w:space="0" w:color="auto"/>
        <w:right w:val="none" w:sz="0" w:space="0" w:color="auto"/>
      </w:divBdr>
    </w:div>
    <w:div w:id="1566912992">
      <w:bodyDiv w:val="1"/>
      <w:marLeft w:val="0"/>
      <w:marRight w:val="0"/>
      <w:marTop w:val="0"/>
      <w:marBottom w:val="0"/>
      <w:divBdr>
        <w:top w:val="none" w:sz="0" w:space="0" w:color="auto"/>
        <w:left w:val="none" w:sz="0" w:space="0" w:color="auto"/>
        <w:bottom w:val="none" w:sz="0" w:space="0" w:color="auto"/>
        <w:right w:val="none" w:sz="0" w:space="0" w:color="auto"/>
      </w:divBdr>
    </w:div>
    <w:div w:id="1567766065">
      <w:bodyDiv w:val="1"/>
      <w:marLeft w:val="0"/>
      <w:marRight w:val="0"/>
      <w:marTop w:val="0"/>
      <w:marBottom w:val="0"/>
      <w:divBdr>
        <w:top w:val="none" w:sz="0" w:space="0" w:color="auto"/>
        <w:left w:val="none" w:sz="0" w:space="0" w:color="auto"/>
        <w:bottom w:val="none" w:sz="0" w:space="0" w:color="auto"/>
        <w:right w:val="none" w:sz="0" w:space="0" w:color="auto"/>
      </w:divBdr>
    </w:div>
    <w:div w:id="1572228757">
      <w:bodyDiv w:val="1"/>
      <w:marLeft w:val="0"/>
      <w:marRight w:val="0"/>
      <w:marTop w:val="0"/>
      <w:marBottom w:val="0"/>
      <w:divBdr>
        <w:top w:val="none" w:sz="0" w:space="0" w:color="auto"/>
        <w:left w:val="none" w:sz="0" w:space="0" w:color="auto"/>
        <w:bottom w:val="none" w:sz="0" w:space="0" w:color="auto"/>
        <w:right w:val="none" w:sz="0" w:space="0" w:color="auto"/>
      </w:divBdr>
    </w:div>
    <w:div w:id="1572500469">
      <w:bodyDiv w:val="1"/>
      <w:marLeft w:val="0"/>
      <w:marRight w:val="0"/>
      <w:marTop w:val="0"/>
      <w:marBottom w:val="0"/>
      <w:divBdr>
        <w:top w:val="none" w:sz="0" w:space="0" w:color="auto"/>
        <w:left w:val="none" w:sz="0" w:space="0" w:color="auto"/>
        <w:bottom w:val="none" w:sz="0" w:space="0" w:color="auto"/>
        <w:right w:val="none" w:sz="0" w:space="0" w:color="auto"/>
      </w:divBdr>
    </w:div>
    <w:div w:id="1575236276">
      <w:bodyDiv w:val="1"/>
      <w:marLeft w:val="0"/>
      <w:marRight w:val="0"/>
      <w:marTop w:val="0"/>
      <w:marBottom w:val="0"/>
      <w:divBdr>
        <w:top w:val="none" w:sz="0" w:space="0" w:color="auto"/>
        <w:left w:val="none" w:sz="0" w:space="0" w:color="auto"/>
        <w:bottom w:val="none" w:sz="0" w:space="0" w:color="auto"/>
        <w:right w:val="none" w:sz="0" w:space="0" w:color="auto"/>
      </w:divBdr>
    </w:div>
    <w:div w:id="1577589414">
      <w:bodyDiv w:val="1"/>
      <w:marLeft w:val="0"/>
      <w:marRight w:val="0"/>
      <w:marTop w:val="0"/>
      <w:marBottom w:val="0"/>
      <w:divBdr>
        <w:top w:val="none" w:sz="0" w:space="0" w:color="auto"/>
        <w:left w:val="none" w:sz="0" w:space="0" w:color="auto"/>
        <w:bottom w:val="none" w:sz="0" w:space="0" w:color="auto"/>
        <w:right w:val="none" w:sz="0" w:space="0" w:color="auto"/>
      </w:divBdr>
    </w:div>
    <w:div w:id="1578592113">
      <w:bodyDiv w:val="1"/>
      <w:marLeft w:val="0"/>
      <w:marRight w:val="0"/>
      <w:marTop w:val="0"/>
      <w:marBottom w:val="0"/>
      <w:divBdr>
        <w:top w:val="none" w:sz="0" w:space="0" w:color="auto"/>
        <w:left w:val="none" w:sz="0" w:space="0" w:color="auto"/>
        <w:bottom w:val="none" w:sz="0" w:space="0" w:color="auto"/>
        <w:right w:val="none" w:sz="0" w:space="0" w:color="auto"/>
      </w:divBdr>
    </w:div>
    <w:div w:id="1580097211">
      <w:bodyDiv w:val="1"/>
      <w:marLeft w:val="0"/>
      <w:marRight w:val="0"/>
      <w:marTop w:val="0"/>
      <w:marBottom w:val="0"/>
      <w:divBdr>
        <w:top w:val="none" w:sz="0" w:space="0" w:color="auto"/>
        <w:left w:val="none" w:sz="0" w:space="0" w:color="auto"/>
        <w:bottom w:val="none" w:sz="0" w:space="0" w:color="auto"/>
        <w:right w:val="none" w:sz="0" w:space="0" w:color="auto"/>
      </w:divBdr>
    </w:div>
    <w:div w:id="1584484671">
      <w:bodyDiv w:val="1"/>
      <w:marLeft w:val="0"/>
      <w:marRight w:val="0"/>
      <w:marTop w:val="0"/>
      <w:marBottom w:val="0"/>
      <w:divBdr>
        <w:top w:val="none" w:sz="0" w:space="0" w:color="auto"/>
        <w:left w:val="none" w:sz="0" w:space="0" w:color="auto"/>
        <w:bottom w:val="none" w:sz="0" w:space="0" w:color="auto"/>
        <w:right w:val="none" w:sz="0" w:space="0" w:color="auto"/>
      </w:divBdr>
    </w:div>
    <w:div w:id="1587181033">
      <w:bodyDiv w:val="1"/>
      <w:marLeft w:val="0"/>
      <w:marRight w:val="0"/>
      <w:marTop w:val="0"/>
      <w:marBottom w:val="0"/>
      <w:divBdr>
        <w:top w:val="none" w:sz="0" w:space="0" w:color="auto"/>
        <w:left w:val="none" w:sz="0" w:space="0" w:color="auto"/>
        <w:bottom w:val="none" w:sz="0" w:space="0" w:color="auto"/>
        <w:right w:val="none" w:sz="0" w:space="0" w:color="auto"/>
      </w:divBdr>
    </w:div>
    <w:div w:id="1589998191">
      <w:bodyDiv w:val="1"/>
      <w:marLeft w:val="0"/>
      <w:marRight w:val="0"/>
      <w:marTop w:val="0"/>
      <w:marBottom w:val="0"/>
      <w:divBdr>
        <w:top w:val="none" w:sz="0" w:space="0" w:color="auto"/>
        <w:left w:val="none" w:sz="0" w:space="0" w:color="auto"/>
        <w:bottom w:val="none" w:sz="0" w:space="0" w:color="auto"/>
        <w:right w:val="none" w:sz="0" w:space="0" w:color="auto"/>
      </w:divBdr>
    </w:div>
    <w:div w:id="1590238999">
      <w:bodyDiv w:val="1"/>
      <w:marLeft w:val="0"/>
      <w:marRight w:val="0"/>
      <w:marTop w:val="0"/>
      <w:marBottom w:val="0"/>
      <w:divBdr>
        <w:top w:val="none" w:sz="0" w:space="0" w:color="auto"/>
        <w:left w:val="none" w:sz="0" w:space="0" w:color="auto"/>
        <w:bottom w:val="none" w:sz="0" w:space="0" w:color="auto"/>
        <w:right w:val="none" w:sz="0" w:space="0" w:color="auto"/>
      </w:divBdr>
    </w:div>
    <w:div w:id="1593466026">
      <w:bodyDiv w:val="1"/>
      <w:marLeft w:val="0"/>
      <w:marRight w:val="0"/>
      <w:marTop w:val="0"/>
      <w:marBottom w:val="0"/>
      <w:divBdr>
        <w:top w:val="none" w:sz="0" w:space="0" w:color="auto"/>
        <w:left w:val="none" w:sz="0" w:space="0" w:color="auto"/>
        <w:bottom w:val="none" w:sz="0" w:space="0" w:color="auto"/>
        <w:right w:val="none" w:sz="0" w:space="0" w:color="auto"/>
      </w:divBdr>
    </w:div>
    <w:div w:id="1595281248">
      <w:bodyDiv w:val="1"/>
      <w:marLeft w:val="0"/>
      <w:marRight w:val="0"/>
      <w:marTop w:val="0"/>
      <w:marBottom w:val="0"/>
      <w:divBdr>
        <w:top w:val="none" w:sz="0" w:space="0" w:color="auto"/>
        <w:left w:val="none" w:sz="0" w:space="0" w:color="auto"/>
        <w:bottom w:val="none" w:sz="0" w:space="0" w:color="auto"/>
        <w:right w:val="none" w:sz="0" w:space="0" w:color="auto"/>
      </w:divBdr>
    </w:div>
    <w:div w:id="1599411109">
      <w:bodyDiv w:val="1"/>
      <w:marLeft w:val="0"/>
      <w:marRight w:val="0"/>
      <w:marTop w:val="0"/>
      <w:marBottom w:val="0"/>
      <w:divBdr>
        <w:top w:val="none" w:sz="0" w:space="0" w:color="auto"/>
        <w:left w:val="none" w:sz="0" w:space="0" w:color="auto"/>
        <w:bottom w:val="none" w:sz="0" w:space="0" w:color="auto"/>
        <w:right w:val="none" w:sz="0" w:space="0" w:color="auto"/>
      </w:divBdr>
    </w:div>
    <w:div w:id="1599481317">
      <w:bodyDiv w:val="1"/>
      <w:marLeft w:val="0"/>
      <w:marRight w:val="0"/>
      <w:marTop w:val="0"/>
      <w:marBottom w:val="0"/>
      <w:divBdr>
        <w:top w:val="none" w:sz="0" w:space="0" w:color="auto"/>
        <w:left w:val="none" w:sz="0" w:space="0" w:color="auto"/>
        <w:bottom w:val="none" w:sz="0" w:space="0" w:color="auto"/>
        <w:right w:val="none" w:sz="0" w:space="0" w:color="auto"/>
      </w:divBdr>
    </w:div>
    <w:div w:id="1603299041">
      <w:bodyDiv w:val="1"/>
      <w:marLeft w:val="0"/>
      <w:marRight w:val="0"/>
      <w:marTop w:val="0"/>
      <w:marBottom w:val="0"/>
      <w:divBdr>
        <w:top w:val="none" w:sz="0" w:space="0" w:color="auto"/>
        <w:left w:val="none" w:sz="0" w:space="0" w:color="auto"/>
        <w:bottom w:val="none" w:sz="0" w:space="0" w:color="auto"/>
        <w:right w:val="none" w:sz="0" w:space="0" w:color="auto"/>
      </w:divBdr>
    </w:div>
    <w:div w:id="1605184798">
      <w:bodyDiv w:val="1"/>
      <w:marLeft w:val="0"/>
      <w:marRight w:val="0"/>
      <w:marTop w:val="0"/>
      <w:marBottom w:val="0"/>
      <w:divBdr>
        <w:top w:val="none" w:sz="0" w:space="0" w:color="auto"/>
        <w:left w:val="none" w:sz="0" w:space="0" w:color="auto"/>
        <w:bottom w:val="none" w:sz="0" w:space="0" w:color="auto"/>
        <w:right w:val="none" w:sz="0" w:space="0" w:color="auto"/>
      </w:divBdr>
    </w:div>
    <w:div w:id="1606227445">
      <w:bodyDiv w:val="1"/>
      <w:marLeft w:val="0"/>
      <w:marRight w:val="0"/>
      <w:marTop w:val="0"/>
      <w:marBottom w:val="0"/>
      <w:divBdr>
        <w:top w:val="none" w:sz="0" w:space="0" w:color="auto"/>
        <w:left w:val="none" w:sz="0" w:space="0" w:color="auto"/>
        <w:bottom w:val="none" w:sz="0" w:space="0" w:color="auto"/>
        <w:right w:val="none" w:sz="0" w:space="0" w:color="auto"/>
      </w:divBdr>
    </w:div>
    <w:div w:id="1607496727">
      <w:bodyDiv w:val="1"/>
      <w:marLeft w:val="0"/>
      <w:marRight w:val="0"/>
      <w:marTop w:val="0"/>
      <w:marBottom w:val="0"/>
      <w:divBdr>
        <w:top w:val="none" w:sz="0" w:space="0" w:color="auto"/>
        <w:left w:val="none" w:sz="0" w:space="0" w:color="auto"/>
        <w:bottom w:val="none" w:sz="0" w:space="0" w:color="auto"/>
        <w:right w:val="none" w:sz="0" w:space="0" w:color="auto"/>
      </w:divBdr>
    </w:div>
    <w:div w:id="1611352632">
      <w:bodyDiv w:val="1"/>
      <w:marLeft w:val="0"/>
      <w:marRight w:val="0"/>
      <w:marTop w:val="0"/>
      <w:marBottom w:val="0"/>
      <w:divBdr>
        <w:top w:val="none" w:sz="0" w:space="0" w:color="auto"/>
        <w:left w:val="none" w:sz="0" w:space="0" w:color="auto"/>
        <w:bottom w:val="none" w:sz="0" w:space="0" w:color="auto"/>
        <w:right w:val="none" w:sz="0" w:space="0" w:color="auto"/>
      </w:divBdr>
    </w:div>
    <w:div w:id="161174128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4022222">
      <w:bodyDiv w:val="1"/>
      <w:marLeft w:val="0"/>
      <w:marRight w:val="0"/>
      <w:marTop w:val="0"/>
      <w:marBottom w:val="0"/>
      <w:divBdr>
        <w:top w:val="none" w:sz="0" w:space="0" w:color="auto"/>
        <w:left w:val="none" w:sz="0" w:space="0" w:color="auto"/>
        <w:bottom w:val="none" w:sz="0" w:space="0" w:color="auto"/>
        <w:right w:val="none" w:sz="0" w:space="0" w:color="auto"/>
      </w:divBdr>
    </w:div>
    <w:div w:id="1614241104">
      <w:bodyDiv w:val="1"/>
      <w:marLeft w:val="0"/>
      <w:marRight w:val="0"/>
      <w:marTop w:val="0"/>
      <w:marBottom w:val="0"/>
      <w:divBdr>
        <w:top w:val="none" w:sz="0" w:space="0" w:color="auto"/>
        <w:left w:val="none" w:sz="0" w:space="0" w:color="auto"/>
        <w:bottom w:val="none" w:sz="0" w:space="0" w:color="auto"/>
        <w:right w:val="none" w:sz="0" w:space="0" w:color="auto"/>
      </w:divBdr>
    </w:div>
    <w:div w:id="1614482407">
      <w:bodyDiv w:val="1"/>
      <w:marLeft w:val="0"/>
      <w:marRight w:val="0"/>
      <w:marTop w:val="0"/>
      <w:marBottom w:val="0"/>
      <w:divBdr>
        <w:top w:val="none" w:sz="0" w:space="0" w:color="auto"/>
        <w:left w:val="none" w:sz="0" w:space="0" w:color="auto"/>
        <w:bottom w:val="none" w:sz="0" w:space="0" w:color="auto"/>
        <w:right w:val="none" w:sz="0" w:space="0" w:color="auto"/>
      </w:divBdr>
    </w:div>
    <w:div w:id="1615600138">
      <w:bodyDiv w:val="1"/>
      <w:marLeft w:val="0"/>
      <w:marRight w:val="0"/>
      <w:marTop w:val="0"/>
      <w:marBottom w:val="0"/>
      <w:divBdr>
        <w:top w:val="none" w:sz="0" w:space="0" w:color="auto"/>
        <w:left w:val="none" w:sz="0" w:space="0" w:color="auto"/>
        <w:bottom w:val="none" w:sz="0" w:space="0" w:color="auto"/>
        <w:right w:val="none" w:sz="0" w:space="0" w:color="auto"/>
      </w:divBdr>
    </w:div>
    <w:div w:id="1618368886">
      <w:bodyDiv w:val="1"/>
      <w:marLeft w:val="0"/>
      <w:marRight w:val="0"/>
      <w:marTop w:val="0"/>
      <w:marBottom w:val="0"/>
      <w:divBdr>
        <w:top w:val="none" w:sz="0" w:space="0" w:color="auto"/>
        <w:left w:val="none" w:sz="0" w:space="0" w:color="auto"/>
        <w:bottom w:val="none" w:sz="0" w:space="0" w:color="auto"/>
        <w:right w:val="none" w:sz="0" w:space="0" w:color="auto"/>
      </w:divBdr>
    </w:div>
    <w:div w:id="1618565509">
      <w:bodyDiv w:val="1"/>
      <w:marLeft w:val="0"/>
      <w:marRight w:val="0"/>
      <w:marTop w:val="0"/>
      <w:marBottom w:val="0"/>
      <w:divBdr>
        <w:top w:val="none" w:sz="0" w:space="0" w:color="auto"/>
        <w:left w:val="none" w:sz="0" w:space="0" w:color="auto"/>
        <w:bottom w:val="none" w:sz="0" w:space="0" w:color="auto"/>
        <w:right w:val="none" w:sz="0" w:space="0" w:color="auto"/>
      </w:divBdr>
    </w:div>
    <w:div w:id="1620603570">
      <w:bodyDiv w:val="1"/>
      <w:marLeft w:val="0"/>
      <w:marRight w:val="0"/>
      <w:marTop w:val="0"/>
      <w:marBottom w:val="0"/>
      <w:divBdr>
        <w:top w:val="none" w:sz="0" w:space="0" w:color="auto"/>
        <w:left w:val="none" w:sz="0" w:space="0" w:color="auto"/>
        <w:bottom w:val="none" w:sz="0" w:space="0" w:color="auto"/>
        <w:right w:val="none" w:sz="0" w:space="0" w:color="auto"/>
      </w:divBdr>
    </w:div>
    <w:div w:id="1620720212">
      <w:bodyDiv w:val="1"/>
      <w:marLeft w:val="0"/>
      <w:marRight w:val="0"/>
      <w:marTop w:val="0"/>
      <w:marBottom w:val="0"/>
      <w:divBdr>
        <w:top w:val="none" w:sz="0" w:space="0" w:color="auto"/>
        <w:left w:val="none" w:sz="0" w:space="0" w:color="auto"/>
        <w:bottom w:val="none" w:sz="0" w:space="0" w:color="auto"/>
        <w:right w:val="none" w:sz="0" w:space="0" w:color="auto"/>
      </w:divBdr>
    </w:div>
    <w:div w:id="1625963342">
      <w:bodyDiv w:val="1"/>
      <w:marLeft w:val="0"/>
      <w:marRight w:val="0"/>
      <w:marTop w:val="0"/>
      <w:marBottom w:val="0"/>
      <w:divBdr>
        <w:top w:val="none" w:sz="0" w:space="0" w:color="auto"/>
        <w:left w:val="none" w:sz="0" w:space="0" w:color="auto"/>
        <w:bottom w:val="none" w:sz="0" w:space="0" w:color="auto"/>
        <w:right w:val="none" w:sz="0" w:space="0" w:color="auto"/>
      </w:divBdr>
    </w:div>
    <w:div w:id="1626962789">
      <w:bodyDiv w:val="1"/>
      <w:marLeft w:val="0"/>
      <w:marRight w:val="0"/>
      <w:marTop w:val="0"/>
      <w:marBottom w:val="0"/>
      <w:divBdr>
        <w:top w:val="none" w:sz="0" w:space="0" w:color="auto"/>
        <w:left w:val="none" w:sz="0" w:space="0" w:color="auto"/>
        <w:bottom w:val="none" w:sz="0" w:space="0" w:color="auto"/>
        <w:right w:val="none" w:sz="0" w:space="0" w:color="auto"/>
      </w:divBdr>
    </w:div>
    <w:div w:id="1627155929">
      <w:bodyDiv w:val="1"/>
      <w:marLeft w:val="0"/>
      <w:marRight w:val="0"/>
      <w:marTop w:val="0"/>
      <w:marBottom w:val="0"/>
      <w:divBdr>
        <w:top w:val="none" w:sz="0" w:space="0" w:color="auto"/>
        <w:left w:val="none" w:sz="0" w:space="0" w:color="auto"/>
        <w:bottom w:val="none" w:sz="0" w:space="0" w:color="auto"/>
        <w:right w:val="none" w:sz="0" w:space="0" w:color="auto"/>
      </w:divBdr>
    </w:div>
    <w:div w:id="1628048974">
      <w:bodyDiv w:val="1"/>
      <w:marLeft w:val="0"/>
      <w:marRight w:val="0"/>
      <w:marTop w:val="0"/>
      <w:marBottom w:val="0"/>
      <w:divBdr>
        <w:top w:val="none" w:sz="0" w:space="0" w:color="auto"/>
        <w:left w:val="none" w:sz="0" w:space="0" w:color="auto"/>
        <w:bottom w:val="none" w:sz="0" w:space="0" w:color="auto"/>
        <w:right w:val="none" w:sz="0" w:space="0" w:color="auto"/>
      </w:divBdr>
    </w:div>
    <w:div w:id="1628704915">
      <w:bodyDiv w:val="1"/>
      <w:marLeft w:val="0"/>
      <w:marRight w:val="0"/>
      <w:marTop w:val="0"/>
      <w:marBottom w:val="0"/>
      <w:divBdr>
        <w:top w:val="none" w:sz="0" w:space="0" w:color="auto"/>
        <w:left w:val="none" w:sz="0" w:space="0" w:color="auto"/>
        <w:bottom w:val="none" w:sz="0" w:space="0" w:color="auto"/>
        <w:right w:val="none" w:sz="0" w:space="0" w:color="auto"/>
      </w:divBdr>
      <w:divsChild>
        <w:div w:id="1884321474">
          <w:marLeft w:val="0"/>
          <w:marRight w:val="0"/>
          <w:marTop w:val="0"/>
          <w:marBottom w:val="0"/>
          <w:divBdr>
            <w:top w:val="none" w:sz="0" w:space="0" w:color="auto"/>
            <w:left w:val="none" w:sz="0" w:space="0" w:color="auto"/>
            <w:bottom w:val="none" w:sz="0" w:space="0" w:color="auto"/>
            <w:right w:val="none" w:sz="0" w:space="0" w:color="auto"/>
          </w:divBdr>
        </w:div>
      </w:divsChild>
    </w:div>
    <w:div w:id="1631549878">
      <w:bodyDiv w:val="1"/>
      <w:marLeft w:val="0"/>
      <w:marRight w:val="0"/>
      <w:marTop w:val="0"/>
      <w:marBottom w:val="0"/>
      <w:divBdr>
        <w:top w:val="none" w:sz="0" w:space="0" w:color="auto"/>
        <w:left w:val="none" w:sz="0" w:space="0" w:color="auto"/>
        <w:bottom w:val="none" w:sz="0" w:space="0" w:color="auto"/>
        <w:right w:val="none" w:sz="0" w:space="0" w:color="auto"/>
      </w:divBdr>
    </w:div>
    <w:div w:id="1636132764">
      <w:bodyDiv w:val="1"/>
      <w:marLeft w:val="0"/>
      <w:marRight w:val="0"/>
      <w:marTop w:val="0"/>
      <w:marBottom w:val="0"/>
      <w:divBdr>
        <w:top w:val="none" w:sz="0" w:space="0" w:color="auto"/>
        <w:left w:val="none" w:sz="0" w:space="0" w:color="auto"/>
        <w:bottom w:val="none" w:sz="0" w:space="0" w:color="auto"/>
        <w:right w:val="none" w:sz="0" w:space="0" w:color="auto"/>
      </w:divBdr>
    </w:div>
    <w:div w:id="1637486493">
      <w:bodyDiv w:val="1"/>
      <w:marLeft w:val="0"/>
      <w:marRight w:val="0"/>
      <w:marTop w:val="0"/>
      <w:marBottom w:val="0"/>
      <w:divBdr>
        <w:top w:val="none" w:sz="0" w:space="0" w:color="auto"/>
        <w:left w:val="none" w:sz="0" w:space="0" w:color="auto"/>
        <w:bottom w:val="none" w:sz="0" w:space="0" w:color="auto"/>
        <w:right w:val="none" w:sz="0" w:space="0" w:color="auto"/>
      </w:divBdr>
    </w:div>
    <w:div w:id="1639846765">
      <w:bodyDiv w:val="1"/>
      <w:marLeft w:val="0"/>
      <w:marRight w:val="0"/>
      <w:marTop w:val="0"/>
      <w:marBottom w:val="0"/>
      <w:divBdr>
        <w:top w:val="none" w:sz="0" w:space="0" w:color="auto"/>
        <w:left w:val="none" w:sz="0" w:space="0" w:color="auto"/>
        <w:bottom w:val="none" w:sz="0" w:space="0" w:color="auto"/>
        <w:right w:val="none" w:sz="0" w:space="0" w:color="auto"/>
      </w:divBdr>
    </w:div>
    <w:div w:id="1642423804">
      <w:bodyDiv w:val="1"/>
      <w:marLeft w:val="0"/>
      <w:marRight w:val="0"/>
      <w:marTop w:val="0"/>
      <w:marBottom w:val="0"/>
      <w:divBdr>
        <w:top w:val="none" w:sz="0" w:space="0" w:color="auto"/>
        <w:left w:val="none" w:sz="0" w:space="0" w:color="auto"/>
        <w:bottom w:val="none" w:sz="0" w:space="0" w:color="auto"/>
        <w:right w:val="none" w:sz="0" w:space="0" w:color="auto"/>
      </w:divBdr>
    </w:div>
    <w:div w:id="1648628332">
      <w:bodyDiv w:val="1"/>
      <w:marLeft w:val="0"/>
      <w:marRight w:val="0"/>
      <w:marTop w:val="0"/>
      <w:marBottom w:val="0"/>
      <w:divBdr>
        <w:top w:val="none" w:sz="0" w:space="0" w:color="auto"/>
        <w:left w:val="none" w:sz="0" w:space="0" w:color="auto"/>
        <w:bottom w:val="none" w:sz="0" w:space="0" w:color="auto"/>
        <w:right w:val="none" w:sz="0" w:space="0" w:color="auto"/>
      </w:divBdr>
    </w:div>
    <w:div w:id="1649701220">
      <w:bodyDiv w:val="1"/>
      <w:marLeft w:val="0"/>
      <w:marRight w:val="0"/>
      <w:marTop w:val="0"/>
      <w:marBottom w:val="0"/>
      <w:divBdr>
        <w:top w:val="none" w:sz="0" w:space="0" w:color="auto"/>
        <w:left w:val="none" w:sz="0" w:space="0" w:color="auto"/>
        <w:bottom w:val="none" w:sz="0" w:space="0" w:color="auto"/>
        <w:right w:val="none" w:sz="0" w:space="0" w:color="auto"/>
      </w:divBdr>
    </w:div>
    <w:div w:id="1650594210">
      <w:bodyDiv w:val="1"/>
      <w:marLeft w:val="0"/>
      <w:marRight w:val="0"/>
      <w:marTop w:val="0"/>
      <w:marBottom w:val="0"/>
      <w:divBdr>
        <w:top w:val="none" w:sz="0" w:space="0" w:color="auto"/>
        <w:left w:val="none" w:sz="0" w:space="0" w:color="auto"/>
        <w:bottom w:val="none" w:sz="0" w:space="0" w:color="auto"/>
        <w:right w:val="none" w:sz="0" w:space="0" w:color="auto"/>
      </w:divBdr>
    </w:div>
    <w:div w:id="1650935475">
      <w:bodyDiv w:val="1"/>
      <w:marLeft w:val="0"/>
      <w:marRight w:val="0"/>
      <w:marTop w:val="0"/>
      <w:marBottom w:val="0"/>
      <w:divBdr>
        <w:top w:val="none" w:sz="0" w:space="0" w:color="auto"/>
        <w:left w:val="none" w:sz="0" w:space="0" w:color="auto"/>
        <w:bottom w:val="none" w:sz="0" w:space="0" w:color="auto"/>
        <w:right w:val="none" w:sz="0" w:space="0" w:color="auto"/>
      </w:divBdr>
    </w:div>
    <w:div w:id="1651056667">
      <w:bodyDiv w:val="1"/>
      <w:marLeft w:val="0"/>
      <w:marRight w:val="0"/>
      <w:marTop w:val="0"/>
      <w:marBottom w:val="0"/>
      <w:divBdr>
        <w:top w:val="none" w:sz="0" w:space="0" w:color="auto"/>
        <w:left w:val="none" w:sz="0" w:space="0" w:color="auto"/>
        <w:bottom w:val="none" w:sz="0" w:space="0" w:color="auto"/>
        <w:right w:val="none" w:sz="0" w:space="0" w:color="auto"/>
      </w:divBdr>
    </w:div>
    <w:div w:id="1654720231">
      <w:bodyDiv w:val="1"/>
      <w:marLeft w:val="0"/>
      <w:marRight w:val="0"/>
      <w:marTop w:val="0"/>
      <w:marBottom w:val="0"/>
      <w:divBdr>
        <w:top w:val="none" w:sz="0" w:space="0" w:color="auto"/>
        <w:left w:val="none" w:sz="0" w:space="0" w:color="auto"/>
        <w:bottom w:val="none" w:sz="0" w:space="0" w:color="auto"/>
        <w:right w:val="none" w:sz="0" w:space="0" w:color="auto"/>
      </w:divBdr>
    </w:div>
    <w:div w:id="1655917454">
      <w:bodyDiv w:val="1"/>
      <w:marLeft w:val="0"/>
      <w:marRight w:val="0"/>
      <w:marTop w:val="0"/>
      <w:marBottom w:val="0"/>
      <w:divBdr>
        <w:top w:val="none" w:sz="0" w:space="0" w:color="auto"/>
        <w:left w:val="none" w:sz="0" w:space="0" w:color="auto"/>
        <w:bottom w:val="none" w:sz="0" w:space="0" w:color="auto"/>
        <w:right w:val="none" w:sz="0" w:space="0" w:color="auto"/>
      </w:divBdr>
    </w:div>
    <w:div w:id="1658879270">
      <w:bodyDiv w:val="1"/>
      <w:marLeft w:val="0"/>
      <w:marRight w:val="0"/>
      <w:marTop w:val="0"/>
      <w:marBottom w:val="0"/>
      <w:divBdr>
        <w:top w:val="none" w:sz="0" w:space="0" w:color="auto"/>
        <w:left w:val="none" w:sz="0" w:space="0" w:color="auto"/>
        <w:bottom w:val="none" w:sz="0" w:space="0" w:color="auto"/>
        <w:right w:val="none" w:sz="0" w:space="0" w:color="auto"/>
      </w:divBdr>
    </w:div>
    <w:div w:id="1659923139">
      <w:bodyDiv w:val="1"/>
      <w:marLeft w:val="0"/>
      <w:marRight w:val="0"/>
      <w:marTop w:val="0"/>
      <w:marBottom w:val="0"/>
      <w:divBdr>
        <w:top w:val="none" w:sz="0" w:space="0" w:color="auto"/>
        <w:left w:val="none" w:sz="0" w:space="0" w:color="auto"/>
        <w:bottom w:val="none" w:sz="0" w:space="0" w:color="auto"/>
        <w:right w:val="none" w:sz="0" w:space="0" w:color="auto"/>
      </w:divBdr>
    </w:div>
    <w:div w:id="1663584064">
      <w:bodyDiv w:val="1"/>
      <w:marLeft w:val="0"/>
      <w:marRight w:val="0"/>
      <w:marTop w:val="0"/>
      <w:marBottom w:val="0"/>
      <w:divBdr>
        <w:top w:val="none" w:sz="0" w:space="0" w:color="auto"/>
        <w:left w:val="none" w:sz="0" w:space="0" w:color="auto"/>
        <w:bottom w:val="none" w:sz="0" w:space="0" w:color="auto"/>
        <w:right w:val="none" w:sz="0" w:space="0" w:color="auto"/>
      </w:divBdr>
    </w:div>
    <w:div w:id="1665429660">
      <w:bodyDiv w:val="1"/>
      <w:marLeft w:val="0"/>
      <w:marRight w:val="0"/>
      <w:marTop w:val="0"/>
      <w:marBottom w:val="0"/>
      <w:divBdr>
        <w:top w:val="none" w:sz="0" w:space="0" w:color="auto"/>
        <w:left w:val="none" w:sz="0" w:space="0" w:color="auto"/>
        <w:bottom w:val="none" w:sz="0" w:space="0" w:color="auto"/>
        <w:right w:val="none" w:sz="0" w:space="0" w:color="auto"/>
      </w:divBdr>
    </w:div>
    <w:div w:id="1665432688">
      <w:bodyDiv w:val="1"/>
      <w:marLeft w:val="0"/>
      <w:marRight w:val="0"/>
      <w:marTop w:val="0"/>
      <w:marBottom w:val="0"/>
      <w:divBdr>
        <w:top w:val="none" w:sz="0" w:space="0" w:color="auto"/>
        <w:left w:val="none" w:sz="0" w:space="0" w:color="auto"/>
        <w:bottom w:val="none" w:sz="0" w:space="0" w:color="auto"/>
        <w:right w:val="none" w:sz="0" w:space="0" w:color="auto"/>
      </w:divBdr>
    </w:div>
    <w:div w:id="1668824860">
      <w:bodyDiv w:val="1"/>
      <w:marLeft w:val="0"/>
      <w:marRight w:val="0"/>
      <w:marTop w:val="0"/>
      <w:marBottom w:val="0"/>
      <w:divBdr>
        <w:top w:val="none" w:sz="0" w:space="0" w:color="auto"/>
        <w:left w:val="none" w:sz="0" w:space="0" w:color="auto"/>
        <w:bottom w:val="none" w:sz="0" w:space="0" w:color="auto"/>
        <w:right w:val="none" w:sz="0" w:space="0" w:color="auto"/>
      </w:divBdr>
    </w:div>
    <w:div w:id="1669601318">
      <w:bodyDiv w:val="1"/>
      <w:marLeft w:val="0"/>
      <w:marRight w:val="0"/>
      <w:marTop w:val="0"/>
      <w:marBottom w:val="0"/>
      <w:divBdr>
        <w:top w:val="none" w:sz="0" w:space="0" w:color="auto"/>
        <w:left w:val="none" w:sz="0" w:space="0" w:color="auto"/>
        <w:bottom w:val="none" w:sz="0" w:space="0" w:color="auto"/>
        <w:right w:val="none" w:sz="0" w:space="0" w:color="auto"/>
      </w:divBdr>
    </w:div>
    <w:div w:id="1670448077">
      <w:bodyDiv w:val="1"/>
      <w:marLeft w:val="0"/>
      <w:marRight w:val="0"/>
      <w:marTop w:val="0"/>
      <w:marBottom w:val="0"/>
      <w:divBdr>
        <w:top w:val="none" w:sz="0" w:space="0" w:color="auto"/>
        <w:left w:val="none" w:sz="0" w:space="0" w:color="auto"/>
        <w:bottom w:val="none" w:sz="0" w:space="0" w:color="auto"/>
        <w:right w:val="none" w:sz="0" w:space="0" w:color="auto"/>
      </w:divBdr>
    </w:div>
    <w:div w:id="1670517165">
      <w:bodyDiv w:val="1"/>
      <w:marLeft w:val="0"/>
      <w:marRight w:val="0"/>
      <w:marTop w:val="0"/>
      <w:marBottom w:val="0"/>
      <w:divBdr>
        <w:top w:val="none" w:sz="0" w:space="0" w:color="auto"/>
        <w:left w:val="none" w:sz="0" w:space="0" w:color="auto"/>
        <w:bottom w:val="none" w:sz="0" w:space="0" w:color="auto"/>
        <w:right w:val="none" w:sz="0" w:space="0" w:color="auto"/>
      </w:divBdr>
    </w:div>
    <w:div w:id="1672099501">
      <w:bodyDiv w:val="1"/>
      <w:marLeft w:val="0"/>
      <w:marRight w:val="0"/>
      <w:marTop w:val="0"/>
      <w:marBottom w:val="0"/>
      <w:divBdr>
        <w:top w:val="none" w:sz="0" w:space="0" w:color="auto"/>
        <w:left w:val="none" w:sz="0" w:space="0" w:color="auto"/>
        <w:bottom w:val="none" w:sz="0" w:space="0" w:color="auto"/>
        <w:right w:val="none" w:sz="0" w:space="0" w:color="auto"/>
      </w:divBdr>
    </w:div>
    <w:div w:id="1674261576">
      <w:bodyDiv w:val="1"/>
      <w:marLeft w:val="0"/>
      <w:marRight w:val="0"/>
      <w:marTop w:val="0"/>
      <w:marBottom w:val="0"/>
      <w:divBdr>
        <w:top w:val="none" w:sz="0" w:space="0" w:color="auto"/>
        <w:left w:val="none" w:sz="0" w:space="0" w:color="auto"/>
        <w:bottom w:val="none" w:sz="0" w:space="0" w:color="auto"/>
        <w:right w:val="none" w:sz="0" w:space="0" w:color="auto"/>
      </w:divBdr>
    </w:div>
    <w:div w:id="1675721781">
      <w:bodyDiv w:val="1"/>
      <w:marLeft w:val="0"/>
      <w:marRight w:val="0"/>
      <w:marTop w:val="0"/>
      <w:marBottom w:val="0"/>
      <w:divBdr>
        <w:top w:val="none" w:sz="0" w:space="0" w:color="auto"/>
        <w:left w:val="none" w:sz="0" w:space="0" w:color="auto"/>
        <w:bottom w:val="none" w:sz="0" w:space="0" w:color="auto"/>
        <w:right w:val="none" w:sz="0" w:space="0" w:color="auto"/>
      </w:divBdr>
    </w:div>
    <w:div w:id="1677415563">
      <w:bodyDiv w:val="1"/>
      <w:marLeft w:val="0"/>
      <w:marRight w:val="0"/>
      <w:marTop w:val="0"/>
      <w:marBottom w:val="0"/>
      <w:divBdr>
        <w:top w:val="none" w:sz="0" w:space="0" w:color="auto"/>
        <w:left w:val="none" w:sz="0" w:space="0" w:color="auto"/>
        <w:bottom w:val="none" w:sz="0" w:space="0" w:color="auto"/>
        <w:right w:val="none" w:sz="0" w:space="0" w:color="auto"/>
      </w:divBdr>
    </w:div>
    <w:div w:id="1682664420">
      <w:bodyDiv w:val="1"/>
      <w:marLeft w:val="0"/>
      <w:marRight w:val="0"/>
      <w:marTop w:val="0"/>
      <w:marBottom w:val="0"/>
      <w:divBdr>
        <w:top w:val="none" w:sz="0" w:space="0" w:color="auto"/>
        <w:left w:val="none" w:sz="0" w:space="0" w:color="auto"/>
        <w:bottom w:val="none" w:sz="0" w:space="0" w:color="auto"/>
        <w:right w:val="none" w:sz="0" w:space="0" w:color="auto"/>
      </w:divBdr>
    </w:div>
    <w:div w:id="1686907186">
      <w:bodyDiv w:val="1"/>
      <w:marLeft w:val="0"/>
      <w:marRight w:val="0"/>
      <w:marTop w:val="0"/>
      <w:marBottom w:val="0"/>
      <w:divBdr>
        <w:top w:val="none" w:sz="0" w:space="0" w:color="auto"/>
        <w:left w:val="none" w:sz="0" w:space="0" w:color="auto"/>
        <w:bottom w:val="none" w:sz="0" w:space="0" w:color="auto"/>
        <w:right w:val="none" w:sz="0" w:space="0" w:color="auto"/>
      </w:divBdr>
    </w:div>
    <w:div w:id="1686981779">
      <w:bodyDiv w:val="1"/>
      <w:marLeft w:val="0"/>
      <w:marRight w:val="0"/>
      <w:marTop w:val="0"/>
      <w:marBottom w:val="0"/>
      <w:divBdr>
        <w:top w:val="none" w:sz="0" w:space="0" w:color="auto"/>
        <w:left w:val="none" w:sz="0" w:space="0" w:color="auto"/>
        <w:bottom w:val="none" w:sz="0" w:space="0" w:color="auto"/>
        <w:right w:val="none" w:sz="0" w:space="0" w:color="auto"/>
      </w:divBdr>
    </w:div>
    <w:div w:id="1695613090">
      <w:bodyDiv w:val="1"/>
      <w:marLeft w:val="0"/>
      <w:marRight w:val="0"/>
      <w:marTop w:val="0"/>
      <w:marBottom w:val="0"/>
      <w:divBdr>
        <w:top w:val="none" w:sz="0" w:space="0" w:color="auto"/>
        <w:left w:val="none" w:sz="0" w:space="0" w:color="auto"/>
        <w:bottom w:val="none" w:sz="0" w:space="0" w:color="auto"/>
        <w:right w:val="none" w:sz="0" w:space="0" w:color="auto"/>
      </w:divBdr>
    </w:div>
    <w:div w:id="1700546465">
      <w:bodyDiv w:val="1"/>
      <w:marLeft w:val="0"/>
      <w:marRight w:val="0"/>
      <w:marTop w:val="0"/>
      <w:marBottom w:val="0"/>
      <w:divBdr>
        <w:top w:val="none" w:sz="0" w:space="0" w:color="auto"/>
        <w:left w:val="none" w:sz="0" w:space="0" w:color="auto"/>
        <w:bottom w:val="none" w:sz="0" w:space="0" w:color="auto"/>
        <w:right w:val="none" w:sz="0" w:space="0" w:color="auto"/>
      </w:divBdr>
    </w:div>
    <w:div w:id="1705323524">
      <w:bodyDiv w:val="1"/>
      <w:marLeft w:val="0"/>
      <w:marRight w:val="0"/>
      <w:marTop w:val="0"/>
      <w:marBottom w:val="0"/>
      <w:divBdr>
        <w:top w:val="none" w:sz="0" w:space="0" w:color="auto"/>
        <w:left w:val="none" w:sz="0" w:space="0" w:color="auto"/>
        <w:bottom w:val="none" w:sz="0" w:space="0" w:color="auto"/>
        <w:right w:val="none" w:sz="0" w:space="0" w:color="auto"/>
      </w:divBdr>
    </w:div>
    <w:div w:id="1705786033">
      <w:bodyDiv w:val="1"/>
      <w:marLeft w:val="0"/>
      <w:marRight w:val="0"/>
      <w:marTop w:val="0"/>
      <w:marBottom w:val="0"/>
      <w:divBdr>
        <w:top w:val="none" w:sz="0" w:space="0" w:color="auto"/>
        <w:left w:val="none" w:sz="0" w:space="0" w:color="auto"/>
        <w:bottom w:val="none" w:sz="0" w:space="0" w:color="auto"/>
        <w:right w:val="none" w:sz="0" w:space="0" w:color="auto"/>
      </w:divBdr>
    </w:div>
    <w:div w:id="1706324509">
      <w:bodyDiv w:val="1"/>
      <w:marLeft w:val="0"/>
      <w:marRight w:val="0"/>
      <w:marTop w:val="0"/>
      <w:marBottom w:val="0"/>
      <w:divBdr>
        <w:top w:val="none" w:sz="0" w:space="0" w:color="auto"/>
        <w:left w:val="none" w:sz="0" w:space="0" w:color="auto"/>
        <w:bottom w:val="none" w:sz="0" w:space="0" w:color="auto"/>
        <w:right w:val="none" w:sz="0" w:space="0" w:color="auto"/>
      </w:divBdr>
    </w:div>
    <w:div w:id="1709644322">
      <w:bodyDiv w:val="1"/>
      <w:marLeft w:val="0"/>
      <w:marRight w:val="0"/>
      <w:marTop w:val="0"/>
      <w:marBottom w:val="0"/>
      <w:divBdr>
        <w:top w:val="none" w:sz="0" w:space="0" w:color="auto"/>
        <w:left w:val="none" w:sz="0" w:space="0" w:color="auto"/>
        <w:bottom w:val="none" w:sz="0" w:space="0" w:color="auto"/>
        <w:right w:val="none" w:sz="0" w:space="0" w:color="auto"/>
      </w:divBdr>
    </w:div>
    <w:div w:id="1709717353">
      <w:bodyDiv w:val="1"/>
      <w:marLeft w:val="0"/>
      <w:marRight w:val="0"/>
      <w:marTop w:val="0"/>
      <w:marBottom w:val="0"/>
      <w:divBdr>
        <w:top w:val="none" w:sz="0" w:space="0" w:color="auto"/>
        <w:left w:val="none" w:sz="0" w:space="0" w:color="auto"/>
        <w:bottom w:val="none" w:sz="0" w:space="0" w:color="auto"/>
        <w:right w:val="none" w:sz="0" w:space="0" w:color="auto"/>
      </w:divBdr>
    </w:div>
    <w:div w:id="1711033728">
      <w:bodyDiv w:val="1"/>
      <w:marLeft w:val="0"/>
      <w:marRight w:val="0"/>
      <w:marTop w:val="0"/>
      <w:marBottom w:val="0"/>
      <w:divBdr>
        <w:top w:val="none" w:sz="0" w:space="0" w:color="auto"/>
        <w:left w:val="none" w:sz="0" w:space="0" w:color="auto"/>
        <w:bottom w:val="none" w:sz="0" w:space="0" w:color="auto"/>
        <w:right w:val="none" w:sz="0" w:space="0" w:color="auto"/>
      </w:divBdr>
    </w:div>
    <w:div w:id="1712656520">
      <w:bodyDiv w:val="1"/>
      <w:marLeft w:val="0"/>
      <w:marRight w:val="0"/>
      <w:marTop w:val="0"/>
      <w:marBottom w:val="0"/>
      <w:divBdr>
        <w:top w:val="none" w:sz="0" w:space="0" w:color="auto"/>
        <w:left w:val="none" w:sz="0" w:space="0" w:color="auto"/>
        <w:bottom w:val="none" w:sz="0" w:space="0" w:color="auto"/>
        <w:right w:val="none" w:sz="0" w:space="0" w:color="auto"/>
      </w:divBdr>
    </w:div>
    <w:div w:id="1720519396">
      <w:bodyDiv w:val="1"/>
      <w:marLeft w:val="0"/>
      <w:marRight w:val="0"/>
      <w:marTop w:val="0"/>
      <w:marBottom w:val="0"/>
      <w:divBdr>
        <w:top w:val="none" w:sz="0" w:space="0" w:color="auto"/>
        <w:left w:val="none" w:sz="0" w:space="0" w:color="auto"/>
        <w:bottom w:val="none" w:sz="0" w:space="0" w:color="auto"/>
        <w:right w:val="none" w:sz="0" w:space="0" w:color="auto"/>
      </w:divBdr>
    </w:div>
    <w:div w:id="1725910219">
      <w:bodyDiv w:val="1"/>
      <w:marLeft w:val="0"/>
      <w:marRight w:val="0"/>
      <w:marTop w:val="0"/>
      <w:marBottom w:val="0"/>
      <w:divBdr>
        <w:top w:val="none" w:sz="0" w:space="0" w:color="auto"/>
        <w:left w:val="none" w:sz="0" w:space="0" w:color="auto"/>
        <w:bottom w:val="none" w:sz="0" w:space="0" w:color="auto"/>
        <w:right w:val="none" w:sz="0" w:space="0" w:color="auto"/>
      </w:divBdr>
    </w:div>
    <w:div w:id="1728796917">
      <w:bodyDiv w:val="1"/>
      <w:marLeft w:val="0"/>
      <w:marRight w:val="0"/>
      <w:marTop w:val="0"/>
      <w:marBottom w:val="0"/>
      <w:divBdr>
        <w:top w:val="none" w:sz="0" w:space="0" w:color="auto"/>
        <w:left w:val="none" w:sz="0" w:space="0" w:color="auto"/>
        <w:bottom w:val="none" w:sz="0" w:space="0" w:color="auto"/>
        <w:right w:val="none" w:sz="0" w:space="0" w:color="auto"/>
      </w:divBdr>
    </w:div>
    <w:div w:id="1732725671">
      <w:bodyDiv w:val="1"/>
      <w:marLeft w:val="0"/>
      <w:marRight w:val="0"/>
      <w:marTop w:val="0"/>
      <w:marBottom w:val="0"/>
      <w:divBdr>
        <w:top w:val="none" w:sz="0" w:space="0" w:color="auto"/>
        <w:left w:val="none" w:sz="0" w:space="0" w:color="auto"/>
        <w:bottom w:val="none" w:sz="0" w:space="0" w:color="auto"/>
        <w:right w:val="none" w:sz="0" w:space="0" w:color="auto"/>
      </w:divBdr>
    </w:div>
    <w:div w:id="1733196368">
      <w:bodyDiv w:val="1"/>
      <w:marLeft w:val="0"/>
      <w:marRight w:val="0"/>
      <w:marTop w:val="0"/>
      <w:marBottom w:val="0"/>
      <w:divBdr>
        <w:top w:val="none" w:sz="0" w:space="0" w:color="auto"/>
        <w:left w:val="none" w:sz="0" w:space="0" w:color="auto"/>
        <w:bottom w:val="none" w:sz="0" w:space="0" w:color="auto"/>
        <w:right w:val="none" w:sz="0" w:space="0" w:color="auto"/>
      </w:divBdr>
    </w:div>
    <w:div w:id="1737170443">
      <w:bodyDiv w:val="1"/>
      <w:marLeft w:val="0"/>
      <w:marRight w:val="0"/>
      <w:marTop w:val="0"/>
      <w:marBottom w:val="0"/>
      <w:divBdr>
        <w:top w:val="none" w:sz="0" w:space="0" w:color="auto"/>
        <w:left w:val="none" w:sz="0" w:space="0" w:color="auto"/>
        <w:bottom w:val="none" w:sz="0" w:space="0" w:color="auto"/>
        <w:right w:val="none" w:sz="0" w:space="0" w:color="auto"/>
      </w:divBdr>
    </w:div>
    <w:div w:id="1737624386">
      <w:bodyDiv w:val="1"/>
      <w:marLeft w:val="0"/>
      <w:marRight w:val="0"/>
      <w:marTop w:val="0"/>
      <w:marBottom w:val="0"/>
      <w:divBdr>
        <w:top w:val="none" w:sz="0" w:space="0" w:color="auto"/>
        <w:left w:val="none" w:sz="0" w:space="0" w:color="auto"/>
        <w:bottom w:val="none" w:sz="0" w:space="0" w:color="auto"/>
        <w:right w:val="none" w:sz="0" w:space="0" w:color="auto"/>
      </w:divBdr>
    </w:div>
    <w:div w:id="1737849950">
      <w:bodyDiv w:val="1"/>
      <w:marLeft w:val="0"/>
      <w:marRight w:val="0"/>
      <w:marTop w:val="0"/>
      <w:marBottom w:val="0"/>
      <w:divBdr>
        <w:top w:val="none" w:sz="0" w:space="0" w:color="auto"/>
        <w:left w:val="none" w:sz="0" w:space="0" w:color="auto"/>
        <w:bottom w:val="none" w:sz="0" w:space="0" w:color="auto"/>
        <w:right w:val="none" w:sz="0" w:space="0" w:color="auto"/>
      </w:divBdr>
    </w:div>
    <w:div w:id="1739549519">
      <w:bodyDiv w:val="1"/>
      <w:marLeft w:val="0"/>
      <w:marRight w:val="0"/>
      <w:marTop w:val="0"/>
      <w:marBottom w:val="0"/>
      <w:divBdr>
        <w:top w:val="none" w:sz="0" w:space="0" w:color="auto"/>
        <w:left w:val="none" w:sz="0" w:space="0" w:color="auto"/>
        <w:bottom w:val="none" w:sz="0" w:space="0" w:color="auto"/>
        <w:right w:val="none" w:sz="0" w:space="0" w:color="auto"/>
      </w:divBdr>
    </w:div>
    <w:div w:id="1744330695">
      <w:bodyDiv w:val="1"/>
      <w:marLeft w:val="0"/>
      <w:marRight w:val="0"/>
      <w:marTop w:val="0"/>
      <w:marBottom w:val="0"/>
      <w:divBdr>
        <w:top w:val="none" w:sz="0" w:space="0" w:color="auto"/>
        <w:left w:val="none" w:sz="0" w:space="0" w:color="auto"/>
        <w:bottom w:val="none" w:sz="0" w:space="0" w:color="auto"/>
        <w:right w:val="none" w:sz="0" w:space="0" w:color="auto"/>
      </w:divBdr>
    </w:div>
    <w:div w:id="1744372565">
      <w:bodyDiv w:val="1"/>
      <w:marLeft w:val="0"/>
      <w:marRight w:val="0"/>
      <w:marTop w:val="0"/>
      <w:marBottom w:val="0"/>
      <w:divBdr>
        <w:top w:val="none" w:sz="0" w:space="0" w:color="auto"/>
        <w:left w:val="none" w:sz="0" w:space="0" w:color="auto"/>
        <w:bottom w:val="none" w:sz="0" w:space="0" w:color="auto"/>
        <w:right w:val="none" w:sz="0" w:space="0" w:color="auto"/>
      </w:divBdr>
    </w:div>
    <w:div w:id="1744914423">
      <w:bodyDiv w:val="1"/>
      <w:marLeft w:val="0"/>
      <w:marRight w:val="0"/>
      <w:marTop w:val="0"/>
      <w:marBottom w:val="0"/>
      <w:divBdr>
        <w:top w:val="none" w:sz="0" w:space="0" w:color="auto"/>
        <w:left w:val="none" w:sz="0" w:space="0" w:color="auto"/>
        <w:bottom w:val="none" w:sz="0" w:space="0" w:color="auto"/>
        <w:right w:val="none" w:sz="0" w:space="0" w:color="auto"/>
      </w:divBdr>
    </w:div>
    <w:div w:id="1748385672">
      <w:bodyDiv w:val="1"/>
      <w:marLeft w:val="0"/>
      <w:marRight w:val="0"/>
      <w:marTop w:val="0"/>
      <w:marBottom w:val="0"/>
      <w:divBdr>
        <w:top w:val="none" w:sz="0" w:space="0" w:color="auto"/>
        <w:left w:val="none" w:sz="0" w:space="0" w:color="auto"/>
        <w:bottom w:val="none" w:sz="0" w:space="0" w:color="auto"/>
        <w:right w:val="none" w:sz="0" w:space="0" w:color="auto"/>
      </w:divBdr>
    </w:div>
    <w:div w:id="1752502614">
      <w:bodyDiv w:val="1"/>
      <w:marLeft w:val="0"/>
      <w:marRight w:val="0"/>
      <w:marTop w:val="0"/>
      <w:marBottom w:val="0"/>
      <w:divBdr>
        <w:top w:val="none" w:sz="0" w:space="0" w:color="auto"/>
        <w:left w:val="none" w:sz="0" w:space="0" w:color="auto"/>
        <w:bottom w:val="none" w:sz="0" w:space="0" w:color="auto"/>
        <w:right w:val="none" w:sz="0" w:space="0" w:color="auto"/>
      </w:divBdr>
    </w:div>
    <w:div w:id="1752700408">
      <w:bodyDiv w:val="1"/>
      <w:marLeft w:val="0"/>
      <w:marRight w:val="0"/>
      <w:marTop w:val="0"/>
      <w:marBottom w:val="0"/>
      <w:divBdr>
        <w:top w:val="none" w:sz="0" w:space="0" w:color="auto"/>
        <w:left w:val="none" w:sz="0" w:space="0" w:color="auto"/>
        <w:bottom w:val="none" w:sz="0" w:space="0" w:color="auto"/>
        <w:right w:val="none" w:sz="0" w:space="0" w:color="auto"/>
      </w:divBdr>
    </w:div>
    <w:div w:id="1755399732">
      <w:bodyDiv w:val="1"/>
      <w:marLeft w:val="0"/>
      <w:marRight w:val="0"/>
      <w:marTop w:val="0"/>
      <w:marBottom w:val="0"/>
      <w:divBdr>
        <w:top w:val="none" w:sz="0" w:space="0" w:color="auto"/>
        <w:left w:val="none" w:sz="0" w:space="0" w:color="auto"/>
        <w:bottom w:val="none" w:sz="0" w:space="0" w:color="auto"/>
        <w:right w:val="none" w:sz="0" w:space="0" w:color="auto"/>
      </w:divBdr>
    </w:div>
    <w:div w:id="1756825099">
      <w:bodyDiv w:val="1"/>
      <w:marLeft w:val="0"/>
      <w:marRight w:val="0"/>
      <w:marTop w:val="0"/>
      <w:marBottom w:val="0"/>
      <w:divBdr>
        <w:top w:val="none" w:sz="0" w:space="0" w:color="auto"/>
        <w:left w:val="none" w:sz="0" w:space="0" w:color="auto"/>
        <w:bottom w:val="none" w:sz="0" w:space="0" w:color="auto"/>
        <w:right w:val="none" w:sz="0" w:space="0" w:color="auto"/>
      </w:divBdr>
    </w:div>
    <w:div w:id="1763915779">
      <w:bodyDiv w:val="1"/>
      <w:marLeft w:val="0"/>
      <w:marRight w:val="0"/>
      <w:marTop w:val="0"/>
      <w:marBottom w:val="0"/>
      <w:divBdr>
        <w:top w:val="none" w:sz="0" w:space="0" w:color="auto"/>
        <w:left w:val="none" w:sz="0" w:space="0" w:color="auto"/>
        <w:bottom w:val="none" w:sz="0" w:space="0" w:color="auto"/>
        <w:right w:val="none" w:sz="0" w:space="0" w:color="auto"/>
      </w:divBdr>
    </w:div>
    <w:div w:id="1763917799">
      <w:bodyDiv w:val="1"/>
      <w:marLeft w:val="0"/>
      <w:marRight w:val="0"/>
      <w:marTop w:val="0"/>
      <w:marBottom w:val="0"/>
      <w:divBdr>
        <w:top w:val="none" w:sz="0" w:space="0" w:color="auto"/>
        <w:left w:val="none" w:sz="0" w:space="0" w:color="auto"/>
        <w:bottom w:val="none" w:sz="0" w:space="0" w:color="auto"/>
        <w:right w:val="none" w:sz="0" w:space="0" w:color="auto"/>
      </w:divBdr>
    </w:div>
    <w:div w:id="1768038769">
      <w:bodyDiv w:val="1"/>
      <w:marLeft w:val="0"/>
      <w:marRight w:val="0"/>
      <w:marTop w:val="0"/>
      <w:marBottom w:val="0"/>
      <w:divBdr>
        <w:top w:val="none" w:sz="0" w:space="0" w:color="auto"/>
        <w:left w:val="none" w:sz="0" w:space="0" w:color="auto"/>
        <w:bottom w:val="none" w:sz="0" w:space="0" w:color="auto"/>
        <w:right w:val="none" w:sz="0" w:space="0" w:color="auto"/>
      </w:divBdr>
    </w:div>
    <w:div w:id="1768650563">
      <w:bodyDiv w:val="1"/>
      <w:marLeft w:val="0"/>
      <w:marRight w:val="0"/>
      <w:marTop w:val="0"/>
      <w:marBottom w:val="0"/>
      <w:divBdr>
        <w:top w:val="none" w:sz="0" w:space="0" w:color="auto"/>
        <w:left w:val="none" w:sz="0" w:space="0" w:color="auto"/>
        <w:bottom w:val="none" w:sz="0" w:space="0" w:color="auto"/>
        <w:right w:val="none" w:sz="0" w:space="0" w:color="auto"/>
      </w:divBdr>
    </w:div>
    <w:div w:id="1769884781">
      <w:bodyDiv w:val="1"/>
      <w:marLeft w:val="0"/>
      <w:marRight w:val="0"/>
      <w:marTop w:val="0"/>
      <w:marBottom w:val="0"/>
      <w:divBdr>
        <w:top w:val="none" w:sz="0" w:space="0" w:color="auto"/>
        <w:left w:val="none" w:sz="0" w:space="0" w:color="auto"/>
        <w:bottom w:val="none" w:sz="0" w:space="0" w:color="auto"/>
        <w:right w:val="none" w:sz="0" w:space="0" w:color="auto"/>
      </w:divBdr>
    </w:div>
    <w:div w:id="1770738047">
      <w:bodyDiv w:val="1"/>
      <w:marLeft w:val="0"/>
      <w:marRight w:val="0"/>
      <w:marTop w:val="0"/>
      <w:marBottom w:val="0"/>
      <w:divBdr>
        <w:top w:val="none" w:sz="0" w:space="0" w:color="auto"/>
        <w:left w:val="none" w:sz="0" w:space="0" w:color="auto"/>
        <w:bottom w:val="none" w:sz="0" w:space="0" w:color="auto"/>
        <w:right w:val="none" w:sz="0" w:space="0" w:color="auto"/>
      </w:divBdr>
    </w:div>
    <w:div w:id="1773546096">
      <w:bodyDiv w:val="1"/>
      <w:marLeft w:val="0"/>
      <w:marRight w:val="0"/>
      <w:marTop w:val="0"/>
      <w:marBottom w:val="0"/>
      <w:divBdr>
        <w:top w:val="none" w:sz="0" w:space="0" w:color="auto"/>
        <w:left w:val="none" w:sz="0" w:space="0" w:color="auto"/>
        <w:bottom w:val="none" w:sz="0" w:space="0" w:color="auto"/>
        <w:right w:val="none" w:sz="0" w:space="0" w:color="auto"/>
      </w:divBdr>
    </w:div>
    <w:div w:id="1777872011">
      <w:bodyDiv w:val="1"/>
      <w:marLeft w:val="0"/>
      <w:marRight w:val="0"/>
      <w:marTop w:val="0"/>
      <w:marBottom w:val="0"/>
      <w:divBdr>
        <w:top w:val="none" w:sz="0" w:space="0" w:color="auto"/>
        <w:left w:val="none" w:sz="0" w:space="0" w:color="auto"/>
        <w:bottom w:val="none" w:sz="0" w:space="0" w:color="auto"/>
        <w:right w:val="none" w:sz="0" w:space="0" w:color="auto"/>
      </w:divBdr>
    </w:div>
    <w:div w:id="1778671854">
      <w:bodyDiv w:val="1"/>
      <w:marLeft w:val="0"/>
      <w:marRight w:val="0"/>
      <w:marTop w:val="0"/>
      <w:marBottom w:val="0"/>
      <w:divBdr>
        <w:top w:val="none" w:sz="0" w:space="0" w:color="auto"/>
        <w:left w:val="none" w:sz="0" w:space="0" w:color="auto"/>
        <w:bottom w:val="none" w:sz="0" w:space="0" w:color="auto"/>
        <w:right w:val="none" w:sz="0" w:space="0" w:color="auto"/>
      </w:divBdr>
    </w:div>
    <w:div w:id="1786650501">
      <w:bodyDiv w:val="1"/>
      <w:marLeft w:val="0"/>
      <w:marRight w:val="0"/>
      <w:marTop w:val="0"/>
      <w:marBottom w:val="0"/>
      <w:divBdr>
        <w:top w:val="none" w:sz="0" w:space="0" w:color="auto"/>
        <w:left w:val="none" w:sz="0" w:space="0" w:color="auto"/>
        <w:bottom w:val="none" w:sz="0" w:space="0" w:color="auto"/>
        <w:right w:val="none" w:sz="0" w:space="0" w:color="auto"/>
      </w:divBdr>
    </w:div>
    <w:div w:id="1790397408">
      <w:bodyDiv w:val="1"/>
      <w:marLeft w:val="0"/>
      <w:marRight w:val="0"/>
      <w:marTop w:val="0"/>
      <w:marBottom w:val="0"/>
      <w:divBdr>
        <w:top w:val="none" w:sz="0" w:space="0" w:color="auto"/>
        <w:left w:val="none" w:sz="0" w:space="0" w:color="auto"/>
        <w:bottom w:val="none" w:sz="0" w:space="0" w:color="auto"/>
        <w:right w:val="none" w:sz="0" w:space="0" w:color="auto"/>
      </w:divBdr>
    </w:div>
    <w:div w:id="1795370288">
      <w:bodyDiv w:val="1"/>
      <w:marLeft w:val="0"/>
      <w:marRight w:val="0"/>
      <w:marTop w:val="0"/>
      <w:marBottom w:val="0"/>
      <w:divBdr>
        <w:top w:val="none" w:sz="0" w:space="0" w:color="auto"/>
        <w:left w:val="none" w:sz="0" w:space="0" w:color="auto"/>
        <w:bottom w:val="none" w:sz="0" w:space="0" w:color="auto"/>
        <w:right w:val="none" w:sz="0" w:space="0" w:color="auto"/>
      </w:divBdr>
    </w:div>
    <w:div w:id="1797408448">
      <w:bodyDiv w:val="1"/>
      <w:marLeft w:val="0"/>
      <w:marRight w:val="0"/>
      <w:marTop w:val="0"/>
      <w:marBottom w:val="0"/>
      <w:divBdr>
        <w:top w:val="none" w:sz="0" w:space="0" w:color="auto"/>
        <w:left w:val="none" w:sz="0" w:space="0" w:color="auto"/>
        <w:bottom w:val="none" w:sz="0" w:space="0" w:color="auto"/>
        <w:right w:val="none" w:sz="0" w:space="0" w:color="auto"/>
      </w:divBdr>
    </w:div>
    <w:div w:id="1802575864">
      <w:bodyDiv w:val="1"/>
      <w:marLeft w:val="0"/>
      <w:marRight w:val="0"/>
      <w:marTop w:val="0"/>
      <w:marBottom w:val="0"/>
      <w:divBdr>
        <w:top w:val="none" w:sz="0" w:space="0" w:color="auto"/>
        <w:left w:val="none" w:sz="0" w:space="0" w:color="auto"/>
        <w:bottom w:val="none" w:sz="0" w:space="0" w:color="auto"/>
        <w:right w:val="none" w:sz="0" w:space="0" w:color="auto"/>
      </w:divBdr>
    </w:div>
    <w:div w:id="1804692656">
      <w:bodyDiv w:val="1"/>
      <w:marLeft w:val="0"/>
      <w:marRight w:val="0"/>
      <w:marTop w:val="0"/>
      <w:marBottom w:val="0"/>
      <w:divBdr>
        <w:top w:val="none" w:sz="0" w:space="0" w:color="auto"/>
        <w:left w:val="none" w:sz="0" w:space="0" w:color="auto"/>
        <w:bottom w:val="none" w:sz="0" w:space="0" w:color="auto"/>
        <w:right w:val="none" w:sz="0" w:space="0" w:color="auto"/>
      </w:divBdr>
    </w:div>
    <w:div w:id="1805810291">
      <w:bodyDiv w:val="1"/>
      <w:marLeft w:val="0"/>
      <w:marRight w:val="0"/>
      <w:marTop w:val="0"/>
      <w:marBottom w:val="0"/>
      <w:divBdr>
        <w:top w:val="none" w:sz="0" w:space="0" w:color="auto"/>
        <w:left w:val="none" w:sz="0" w:space="0" w:color="auto"/>
        <w:bottom w:val="none" w:sz="0" w:space="0" w:color="auto"/>
        <w:right w:val="none" w:sz="0" w:space="0" w:color="auto"/>
      </w:divBdr>
    </w:div>
    <w:div w:id="1807577872">
      <w:bodyDiv w:val="1"/>
      <w:marLeft w:val="0"/>
      <w:marRight w:val="0"/>
      <w:marTop w:val="0"/>
      <w:marBottom w:val="0"/>
      <w:divBdr>
        <w:top w:val="none" w:sz="0" w:space="0" w:color="auto"/>
        <w:left w:val="none" w:sz="0" w:space="0" w:color="auto"/>
        <w:bottom w:val="none" w:sz="0" w:space="0" w:color="auto"/>
        <w:right w:val="none" w:sz="0" w:space="0" w:color="auto"/>
      </w:divBdr>
    </w:div>
    <w:div w:id="1808933124">
      <w:bodyDiv w:val="1"/>
      <w:marLeft w:val="0"/>
      <w:marRight w:val="0"/>
      <w:marTop w:val="0"/>
      <w:marBottom w:val="0"/>
      <w:divBdr>
        <w:top w:val="none" w:sz="0" w:space="0" w:color="auto"/>
        <w:left w:val="none" w:sz="0" w:space="0" w:color="auto"/>
        <w:bottom w:val="none" w:sz="0" w:space="0" w:color="auto"/>
        <w:right w:val="none" w:sz="0" w:space="0" w:color="auto"/>
      </w:divBdr>
    </w:div>
    <w:div w:id="1810901129">
      <w:bodyDiv w:val="1"/>
      <w:marLeft w:val="0"/>
      <w:marRight w:val="0"/>
      <w:marTop w:val="0"/>
      <w:marBottom w:val="0"/>
      <w:divBdr>
        <w:top w:val="none" w:sz="0" w:space="0" w:color="auto"/>
        <w:left w:val="none" w:sz="0" w:space="0" w:color="auto"/>
        <w:bottom w:val="none" w:sz="0" w:space="0" w:color="auto"/>
        <w:right w:val="none" w:sz="0" w:space="0" w:color="auto"/>
      </w:divBdr>
    </w:div>
    <w:div w:id="1813012955">
      <w:bodyDiv w:val="1"/>
      <w:marLeft w:val="0"/>
      <w:marRight w:val="0"/>
      <w:marTop w:val="0"/>
      <w:marBottom w:val="0"/>
      <w:divBdr>
        <w:top w:val="none" w:sz="0" w:space="0" w:color="auto"/>
        <w:left w:val="none" w:sz="0" w:space="0" w:color="auto"/>
        <w:bottom w:val="none" w:sz="0" w:space="0" w:color="auto"/>
        <w:right w:val="none" w:sz="0" w:space="0" w:color="auto"/>
      </w:divBdr>
    </w:div>
    <w:div w:id="1815178563">
      <w:bodyDiv w:val="1"/>
      <w:marLeft w:val="0"/>
      <w:marRight w:val="0"/>
      <w:marTop w:val="0"/>
      <w:marBottom w:val="0"/>
      <w:divBdr>
        <w:top w:val="none" w:sz="0" w:space="0" w:color="auto"/>
        <w:left w:val="none" w:sz="0" w:space="0" w:color="auto"/>
        <w:bottom w:val="none" w:sz="0" w:space="0" w:color="auto"/>
        <w:right w:val="none" w:sz="0" w:space="0" w:color="auto"/>
      </w:divBdr>
    </w:div>
    <w:div w:id="1821338303">
      <w:bodyDiv w:val="1"/>
      <w:marLeft w:val="0"/>
      <w:marRight w:val="0"/>
      <w:marTop w:val="0"/>
      <w:marBottom w:val="0"/>
      <w:divBdr>
        <w:top w:val="none" w:sz="0" w:space="0" w:color="auto"/>
        <w:left w:val="none" w:sz="0" w:space="0" w:color="auto"/>
        <w:bottom w:val="none" w:sz="0" w:space="0" w:color="auto"/>
        <w:right w:val="none" w:sz="0" w:space="0" w:color="auto"/>
      </w:divBdr>
    </w:div>
    <w:div w:id="1821925664">
      <w:bodyDiv w:val="1"/>
      <w:marLeft w:val="0"/>
      <w:marRight w:val="0"/>
      <w:marTop w:val="0"/>
      <w:marBottom w:val="0"/>
      <w:divBdr>
        <w:top w:val="none" w:sz="0" w:space="0" w:color="auto"/>
        <w:left w:val="none" w:sz="0" w:space="0" w:color="auto"/>
        <w:bottom w:val="none" w:sz="0" w:space="0" w:color="auto"/>
        <w:right w:val="none" w:sz="0" w:space="0" w:color="auto"/>
      </w:divBdr>
    </w:div>
    <w:div w:id="1822892408">
      <w:bodyDiv w:val="1"/>
      <w:marLeft w:val="0"/>
      <w:marRight w:val="0"/>
      <w:marTop w:val="0"/>
      <w:marBottom w:val="0"/>
      <w:divBdr>
        <w:top w:val="none" w:sz="0" w:space="0" w:color="auto"/>
        <w:left w:val="none" w:sz="0" w:space="0" w:color="auto"/>
        <w:bottom w:val="none" w:sz="0" w:space="0" w:color="auto"/>
        <w:right w:val="none" w:sz="0" w:space="0" w:color="auto"/>
      </w:divBdr>
    </w:div>
    <w:div w:id="1828282401">
      <w:bodyDiv w:val="1"/>
      <w:marLeft w:val="0"/>
      <w:marRight w:val="0"/>
      <w:marTop w:val="0"/>
      <w:marBottom w:val="0"/>
      <w:divBdr>
        <w:top w:val="none" w:sz="0" w:space="0" w:color="auto"/>
        <w:left w:val="none" w:sz="0" w:space="0" w:color="auto"/>
        <w:bottom w:val="none" w:sz="0" w:space="0" w:color="auto"/>
        <w:right w:val="none" w:sz="0" w:space="0" w:color="auto"/>
      </w:divBdr>
    </w:div>
    <w:div w:id="1834221666">
      <w:bodyDiv w:val="1"/>
      <w:marLeft w:val="0"/>
      <w:marRight w:val="0"/>
      <w:marTop w:val="0"/>
      <w:marBottom w:val="0"/>
      <w:divBdr>
        <w:top w:val="none" w:sz="0" w:space="0" w:color="auto"/>
        <w:left w:val="none" w:sz="0" w:space="0" w:color="auto"/>
        <w:bottom w:val="none" w:sz="0" w:space="0" w:color="auto"/>
        <w:right w:val="none" w:sz="0" w:space="0" w:color="auto"/>
      </w:divBdr>
    </w:div>
    <w:div w:id="1835146253">
      <w:bodyDiv w:val="1"/>
      <w:marLeft w:val="0"/>
      <w:marRight w:val="0"/>
      <w:marTop w:val="0"/>
      <w:marBottom w:val="0"/>
      <w:divBdr>
        <w:top w:val="none" w:sz="0" w:space="0" w:color="auto"/>
        <w:left w:val="none" w:sz="0" w:space="0" w:color="auto"/>
        <w:bottom w:val="none" w:sz="0" w:space="0" w:color="auto"/>
        <w:right w:val="none" w:sz="0" w:space="0" w:color="auto"/>
      </w:divBdr>
    </w:div>
    <w:div w:id="1835295276">
      <w:bodyDiv w:val="1"/>
      <w:marLeft w:val="0"/>
      <w:marRight w:val="0"/>
      <w:marTop w:val="0"/>
      <w:marBottom w:val="0"/>
      <w:divBdr>
        <w:top w:val="none" w:sz="0" w:space="0" w:color="auto"/>
        <w:left w:val="none" w:sz="0" w:space="0" w:color="auto"/>
        <w:bottom w:val="none" w:sz="0" w:space="0" w:color="auto"/>
        <w:right w:val="none" w:sz="0" w:space="0" w:color="auto"/>
      </w:divBdr>
    </w:div>
    <w:div w:id="1837186876">
      <w:bodyDiv w:val="1"/>
      <w:marLeft w:val="0"/>
      <w:marRight w:val="0"/>
      <w:marTop w:val="0"/>
      <w:marBottom w:val="0"/>
      <w:divBdr>
        <w:top w:val="none" w:sz="0" w:space="0" w:color="auto"/>
        <w:left w:val="none" w:sz="0" w:space="0" w:color="auto"/>
        <w:bottom w:val="none" w:sz="0" w:space="0" w:color="auto"/>
        <w:right w:val="none" w:sz="0" w:space="0" w:color="auto"/>
      </w:divBdr>
    </w:div>
    <w:div w:id="1837921772">
      <w:bodyDiv w:val="1"/>
      <w:marLeft w:val="0"/>
      <w:marRight w:val="0"/>
      <w:marTop w:val="0"/>
      <w:marBottom w:val="0"/>
      <w:divBdr>
        <w:top w:val="none" w:sz="0" w:space="0" w:color="auto"/>
        <w:left w:val="none" w:sz="0" w:space="0" w:color="auto"/>
        <w:bottom w:val="none" w:sz="0" w:space="0" w:color="auto"/>
        <w:right w:val="none" w:sz="0" w:space="0" w:color="auto"/>
      </w:divBdr>
    </w:div>
    <w:div w:id="1838184871">
      <w:bodyDiv w:val="1"/>
      <w:marLeft w:val="0"/>
      <w:marRight w:val="0"/>
      <w:marTop w:val="0"/>
      <w:marBottom w:val="0"/>
      <w:divBdr>
        <w:top w:val="none" w:sz="0" w:space="0" w:color="auto"/>
        <w:left w:val="none" w:sz="0" w:space="0" w:color="auto"/>
        <w:bottom w:val="none" w:sz="0" w:space="0" w:color="auto"/>
        <w:right w:val="none" w:sz="0" w:space="0" w:color="auto"/>
      </w:divBdr>
    </w:div>
    <w:div w:id="1839810807">
      <w:bodyDiv w:val="1"/>
      <w:marLeft w:val="0"/>
      <w:marRight w:val="0"/>
      <w:marTop w:val="0"/>
      <w:marBottom w:val="0"/>
      <w:divBdr>
        <w:top w:val="none" w:sz="0" w:space="0" w:color="auto"/>
        <w:left w:val="none" w:sz="0" w:space="0" w:color="auto"/>
        <w:bottom w:val="none" w:sz="0" w:space="0" w:color="auto"/>
        <w:right w:val="none" w:sz="0" w:space="0" w:color="auto"/>
      </w:divBdr>
    </w:div>
    <w:div w:id="1840272506">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1849368">
      <w:bodyDiv w:val="1"/>
      <w:marLeft w:val="0"/>
      <w:marRight w:val="0"/>
      <w:marTop w:val="0"/>
      <w:marBottom w:val="0"/>
      <w:divBdr>
        <w:top w:val="none" w:sz="0" w:space="0" w:color="auto"/>
        <w:left w:val="none" w:sz="0" w:space="0" w:color="auto"/>
        <w:bottom w:val="none" w:sz="0" w:space="0" w:color="auto"/>
        <w:right w:val="none" w:sz="0" w:space="0" w:color="auto"/>
      </w:divBdr>
    </w:div>
    <w:div w:id="1845972736">
      <w:bodyDiv w:val="1"/>
      <w:marLeft w:val="0"/>
      <w:marRight w:val="0"/>
      <w:marTop w:val="0"/>
      <w:marBottom w:val="0"/>
      <w:divBdr>
        <w:top w:val="none" w:sz="0" w:space="0" w:color="auto"/>
        <w:left w:val="none" w:sz="0" w:space="0" w:color="auto"/>
        <w:bottom w:val="none" w:sz="0" w:space="0" w:color="auto"/>
        <w:right w:val="none" w:sz="0" w:space="0" w:color="auto"/>
      </w:divBdr>
    </w:div>
    <w:div w:id="1854537783">
      <w:bodyDiv w:val="1"/>
      <w:marLeft w:val="0"/>
      <w:marRight w:val="0"/>
      <w:marTop w:val="0"/>
      <w:marBottom w:val="0"/>
      <w:divBdr>
        <w:top w:val="none" w:sz="0" w:space="0" w:color="auto"/>
        <w:left w:val="none" w:sz="0" w:space="0" w:color="auto"/>
        <w:bottom w:val="none" w:sz="0" w:space="0" w:color="auto"/>
        <w:right w:val="none" w:sz="0" w:space="0" w:color="auto"/>
      </w:divBdr>
    </w:div>
    <w:div w:id="1862621148">
      <w:bodyDiv w:val="1"/>
      <w:marLeft w:val="0"/>
      <w:marRight w:val="0"/>
      <w:marTop w:val="0"/>
      <w:marBottom w:val="0"/>
      <w:divBdr>
        <w:top w:val="none" w:sz="0" w:space="0" w:color="auto"/>
        <w:left w:val="none" w:sz="0" w:space="0" w:color="auto"/>
        <w:bottom w:val="none" w:sz="0" w:space="0" w:color="auto"/>
        <w:right w:val="none" w:sz="0" w:space="0" w:color="auto"/>
      </w:divBdr>
    </w:div>
    <w:div w:id="1862622378">
      <w:bodyDiv w:val="1"/>
      <w:marLeft w:val="0"/>
      <w:marRight w:val="0"/>
      <w:marTop w:val="0"/>
      <w:marBottom w:val="0"/>
      <w:divBdr>
        <w:top w:val="none" w:sz="0" w:space="0" w:color="auto"/>
        <w:left w:val="none" w:sz="0" w:space="0" w:color="auto"/>
        <w:bottom w:val="none" w:sz="0" w:space="0" w:color="auto"/>
        <w:right w:val="none" w:sz="0" w:space="0" w:color="auto"/>
      </w:divBdr>
    </w:div>
    <w:div w:id="1863472224">
      <w:bodyDiv w:val="1"/>
      <w:marLeft w:val="0"/>
      <w:marRight w:val="0"/>
      <w:marTop w:val="0"/>
      <w:marBottom w:val="0"/>
      <w:divBdr>
        <w:top w:val="none" w:sz="0" w:space="0" w:color="auto"/>
        <w:left w:val="none" w:sz="0" w:space="0" w:color="auto"/>
        <w:bottom w:val="none" w:sz="0" w:space="0" w:color="auto"/>
        <w:right w:val="none" w:sz="0" w:space="0" w:color="auto"/>
      </w:divBdr>
    </w:div>
    <w:div w:id="1864443055">
      <w:bodyDiv w:val="1"/>
      <w:marLeft w:val="0"/>
      <w:marRight w:val="0"/>
      <w:marTop w:val="0"/>
      <w:marBottom w:val="0"/>
      <w:divBdr>
        <w:top w:val="none" w:sz="0" w:space="0" w:color="auto"/>
        <w:left w:val="none" w:sz="0" w:space="0" w:color="auto"/>
        <w:bottom w:val="none" w:sz="0" w:space="0" w:color="auto"/>
        <w:right w:val="none" w:sz="0" w:space="0" w:color="auto"/>
      </w:divBdr>
    </w:div>
    <w:div w:id="1868911285">
      <w:bodyDiv w:val="1"/>
      <w:marLeft w:val="0"/>
      <w:marRight w:val="0"/>
      <w:marTop w:val="0"/>
      <w:marBottom w:val="0"/>
      <w:divBdr>
        <w:top w:val="none" w:sz="0" w:space="0" w:color="auto"/>
        <w:left w:val="none" w:sz="0" w:space="0" w:color="auto"/>
        <w:bottom w:val="none" w:sz="0" w:space="0" w:color="auto"/>
        <w:right w:val="none" w:sz="0" w:space="0" w:color="auto"/>
      </w:divBdr>
    </w:div>
    <w:div w:id="1869221063">
      <w:bodyDiv w:val="1"/>
      <w:marLeft w:val="0"/>
      <w:marRight w:val="0"/>
      <w:marTop w:val="0"/>
      <w:marBottom w:val="0"/>
      <w:divBdr>
        <w:top w:val="none" w:sz="0" w:space="0" w:color="auto"/>
        <w:left w:val="none" w:sz="0" w:space="0" w:color="auto"/>
        <w:bottom w:val="none" w:sz="0" w:space="0" w:color="auto"/>
        <w:right w:val="none" w:sz="0" w:space="0" w:color="auto"/>
      </w:divBdr>
    </w:div>
    <w:div w:id="1870143280">
      <w:bodyDiv w:val="1"/>
      <w:marLeft w:val="0"/>
      <w:marRight w:val="0"/>
      <w:marTop w:val="0"/>
      <w:marBottom w:val="0"/>
      <w:divBdr>
        <w:top w:val="none" w:sz="0" w:space="0" w:color="auto"/>
        <w:left w:val="none" w:sz="0" w:space="0" w:color="auto"/>
        <w:bottom w:val="none" w:sz="0" w:space="0" w:color="auto"/>
        <w:right w:val="none" w:sz="0" w:space="0" w:color="auto"/>
      </w:divBdr>
    </w:div>
    <w:div w:id="1870795906">
      <w:bodyDiv w:val="1"/>
      <w:marLeft w:val="0"/>
      <w:marRight w:val="0"/>
      <w:marTop w:val="0"/>
      <w:marBottom w:val="0"/>
      <w:divBdr>
        <w:top w:val="none" w:sz="0" w:space="0" w:color="auto"/>
        <w:left w:val="none" w:sz="0" w:space="0" w:color="auto"/>
        <w:bottom w:val="none" w:sz="0" w:space="0" w:color="auto"/>
        <w:right w:val="none" w:sz="0" w:space="0" w:color="auto"/>
      </w:divBdr>
    </w:div>
    <w:div w:id="1874226603">
      <w:bodyDiv w:val="1"/>
      <w:marLeft w:val="0"/>
      <w:marRight w:val="0"/>
      <w:marTop w:val="0"/>
      <w:marBottom w:val="0"/>
      <w:divBdr>
        <w:top w:val="none" w:sz="0" w:space="0" w:color="auto"/>
        <w:left w:val="none" w:sz="0" w:space="0" w:color="auto"/>
        <w:bottom w:val="none" w:sz="0" w:space="0" w:color="auto"/>
        <w:right w:val="none" w:sz="0" w:space="0" w:color="auto"/>
      </w:divBdr>
    </w:div>
    <w:div w:id="1878927375">
      <w:bodyDiv w:val="1"/>
      <w:marLeft w:val="0"/>
      <w:marRight w:val="0"/>
      <w:marTop w:val="0"/>
      <w:marBottom w:val="0"/>
      <w:divBdr>
        <w:top w:val="none" w:sz="0" w:space="0" w:color="auto"/>
        <w:left w:val="none" w:sz="0" w:space="0" w:color="auto"/>
        <w:bottom w:val="none" w:sz="0" w:space="0" w:color="auto"/>
        <w:right w:val="none" w:sz="0" w:space="0" w:color="auto"/>
      </w:divBdr>
    </w:div>
    <w:div w:id="1879272444">
      <w:bodyDiv w:val="1"/>
      <w:marLeft w:val="0"/>
      <w:marRight w:val="0"/>
      <w:marTop w:val="0"/>
      <w:marBottom w:val="0"/>
      <w:divBdr>
        <w:top w:val="none" w:sz="0" w:space="0" w:color="auto"/>
        <w:left w:val="none" w:sz="0" w:space="0" w:color="auto"/>
        <w:bottom w:val="none" w:sz="0" w:space="0" w:color="auto"/>
        <w:right w:val="none" w:sz="0" w:space="0" w:color="auto"/>
      </w:divBdr>
    </w:div>
    <w:div w:id="1879664923">
      <w:bodyDiv w:val="1"/>
      <w:marLeft w:val="0"/>
      <w:marRight w:val="0"/>
      <w:marTop w:val="0"/>
      <w:marBottom w:val="0"/>
      <w:divBdr>
        <w:top w:val="none" w:sz="0" w:space="0" w:color="auto"/>
        <w:left w:val="none" w:sz="0" w:space="0" w:color="auto"/>
        <w:bottom w:val="none" w:sz="0" w:space="0" w:color="auto"/>
        <w:right w:val="none" w:sz="0" w:space="0" w:color="auto"/>
      </w:divBdr>
    </w:div>
    <w:div w:id="1883639832">
      <w:bodyDiv w:val="1"/>
      <w:marLeft w:val="0"/>
      <w:marRight w:val="0"/>
      <w:marTop w:val="0"/>
      <w:marBottom w:val="0"/>
      <w:divBdr>
        <w:top w:val="none" w:sz="0" w:space="0" w:color="auto"/>
        <w:left w:val="none" w:sz="0" w:space="0" w:color="auto"/>
        <w:bottom w:val="none" w:sz="0" w:space="0" w:color="auto"/>
        <w:right w:val="none" w:sz="0" w:space="0" w:color="auto"/>
      </w:divBdr>
    </w:div>
    <w:div w:id="1888102334">
      <w:bodyDiv w:val="1"/>
      <w:marLeft w:val="0"/>
      <w:marRight w:val="0"/>
      <w:marTop w:val="0"/>
      <w:marBottom w:val="0"/>
      <w:divBdr>
        <w:top w:val="none" w:sz="0" w:space="0" w:color="auto"/>
        <w:left w:val="none" w:sz="0" w:space="0" w:color="auto"/>
        <w:bottom w:val="none" w:sz="0" w:space="0" w:color="auto"/>
        <w:right w:val="none" w:sz="0" w:space="0" w:color="auto"/>
      </w:divBdr>
    </w:div>
    <w:div w:id="1890415335">
      <w:bodyDiv w:val="1"/>
      <w:marLeft w:val="0"/>
      <w:marRight w:val="0"/>
      <w:marTop w:val="0"/>
      <w:marBottom w:val="0"/>
      <w:divBdr>
        <w:top w:val="none" w:sz="0" w:space="0" w:color="auto"/>
        <w:left w:val="none" w:sz="0" w:space="0" w:color="auto"/>
        <w:bottom w:val="none" w:sz="0" w:space="0" w:color="auto"/>
        <w:right w:val="none" w:sz="0" w:space="0" w:color="auto"/>
      </w:divBdr>
    </w:div>
    <w:div w:id="1892570290">
      <w:bodyDiv w:val="1"/>
      <w:marLeft w:val="0"/>
      <w:marRight w:val="0"/>
      <w:marTop w:val="0"/>
      <w:marBottom w:val="0"/>
      <w:divBdr>
        <w:top w:val="none" w:sz="0" w:space="0" w:color="auto"/>
        <w:left w:val="none" w:sz="0" w:space="0" w:color="auto"/>
        <w:bottom w:val="none" w:sz="0" w:space="0" w:color="auto"/>
        <w:right w:val="none" w:sz="0" w:space="0" w:color="auto"/>
      </w:divBdr>
    </w:div>
    <w:div w:id="1893034186">
      <w:bodyDiv w:val="1"/>
      <w:marLeft w:val="0"/>
      <w:marRight w:val="0"/>
      <w:marTop w:val="0"/>
      <w:marBottom w:val="0"/>
      <w:divBdr>
        <w:top w:val="none" w:sz="0" w:space="0" w:color="auto"/>
        <w:left w:val="none" w:sz="0" w:space="0" w:color="auto"/>
        <w:bottom w:val="none" w:sz="0" w:space="0" w:color="auto"/>
        <w:right w:val="none" w:sz="0" w:space="0" w:color="auto"/>
      </w:divBdr>
    </w:div>
    <w:div w:id="1893729919">
      <w:bodyDiv w:val="1"/>
      <w:marLeft w:val="0"/>
      <w:marRight w:val="0"/>
      <w:marTop w:val="0"/>
      <w:marBottom w:val="0"/>
      <w:divBdr>
        <w:top w:val="none" w:sz="0" w:space="0" w:color="auto"/>
        <w:left w:val="none" w:sz="0" w:space="0" w:color="auto"/>
        <w:bottom w:val="none" w:sz="0" w:space="0" w:color="auto"/>
        <w:right w:val="none" w:sz="0" w:space="0" w:color="auto"/>
      </w:divBdr>
    </w:div>
    <w:div w:id="1893731088">
      <w:bodyDiv w:val="1"/>
      <w:marLeft w:val="0"/>
      <w:marRight w:val="0"/>
      <w:marTop w:val="0"/>
      <w:marBottom w:val="0"/>
      <w:divBdr>
        <w:top w:val="none" w:sz="0" w:space="0" w:color="auto"/>
        <w:left w:val="none" w:sz="0" w:space="0" w:color="auto"/>
        <w:bottom w:val="none" w:sz="0" w:space="0" w:color="auto"/>
        <w:right w:val="none" w:sz="0" w:space="0" w:color="auto"/>
      </w:divBdr>
    </w:div>
    <w:div w:id="1894539376">
      <w:bodyDiv w:val="1"/>
      <w:marLeft w:val="0"/>
      <w:marRight w:val="0"/>
      <w:marTop w:val="0"/>
      <w:marBottom w:val="0"/>
      <w:divBdr>
        <w:top w:val="none" w:sz="0" w:space="0" w:color="auto"/>
        <w:left w:val="none" w:sz="0" w:space="0" w:color="auto"/>
        <w:bottom w:val="none" w:sz="0" w:space="0" w:color="auto"/>
        <w:right w:val="none" w:sz="0" w:space="0" w:color="auto"/>
      </w:divBdr>
    </w:div>
    <w:div w:id="1900897236">
      <w:bodyDiv w:val="1"/>
      <w:marLeft w:val="0"/>
      <w:marRight w:val="0"/>
      <w:marTop w:val="0"/>
      <w:marBottom w:val="0"/>
      <w:divBdr>
        <w:top w:val="none" w:sz="0" w:space="0" w:color="auto"/>
        <w:left w:val="none" w:sz="0" w:space="0" w:color="auto"/>
        <w:bottom w:val="none" w:sz="0" w:space="0" w:color="auto"/>
        <w:right w:val="none" w:sz="0" w:space="0" w:color="auto"/>
      </w:divBdr>
    </w:div>
    <w:div w:id="1907957023">
      <w:bodyDiv w:val="1"/>
      <w:marLeft w:val="0"/>
      <w:marRight w:val="0"/>
      <w:marTop w:val="0"/>
      <w:marBottom w:val="0"/>
      <w:divBdr>
        <w:top w:val="none" w:sz="0" w:space="0" w:color="auto"/>
        <w:left w:val="none" w:sz="0" w:space="0" w:color="auto"/>
        <w:bottom w:val="none" w:sz="0" w:space="0" w:color="auto"/>
        <w:right w:val="none" w:sz="0" w:space="0" w:color="auto"/>
      </w:divBdr>
    </w:div>
    <w:div w:id="1910798760">
      <w:bodyDiv w:val="1"/>
      <w:marLeft w:val="0"/>
      <w:marRight w:val="0"/>
      <w:marTop w:val="0"/>
      <w:marBottom w:val="0"/>
      <w:divBdr>
        <w:top w:val="none" w:sz="0" w:space="0" w:color="auto"/>
        <w:left w:val="none" w:sz="0" w:space="0" w:color="auto"/>
        <w:bottom w:val="none" w:sz="0" w:space="0" w:color="auto"/>
        <w:right w:val="none" w:sz="0" w:space="0" w:color="auto"/>
      </w:divBdr>
    </w:div>
    <w:div w:id="1914389896">
      <w:bodyDiv w:val="1"/>
      <w:marLeft w:val="0"/>
      <w:marRight w:val="0"/>
      <w:marTop w:val="0"/>
      <w:marBottom w:val="0"/>
      <w:divBdr>
        <w:top w:val="none" w:sz="0" w:space="0" w:color="auto"/>
        <w:left w:val="none" w:sz="0" w:space="0" w:color="auto"/>
        <w:bottom w:val="none" w:sz="0" w:space="0" w:color="auto"/>
        <w:right w:val="none" w:sz="0" w:space="0" w:color="auto"/>
      </w:divBdr>
    </w:div>
    <w:div w:id="1915166599">
      <w:bodyDiv w:val="1"/>
      <w:marLeft w:val="0"/>
      <w:marRight w:val="0"/>
      <w:marTop w:val="0"/>
      <w:marBottom w:val="0"/>
      <w:divBdr>
        <w:top w:val="none" w:sz="0" w:space="0" w:color="auto"/>
        <w:left w:val="none" w:sz="0" w:space="0" w:color="auto"/>
        <w:bottom w:val="none" w:sz="0" w:space="0" w:color="auto"/>
        <w:right w:val="none" w:sz="0" w:space="0" w:color="auto"/>
      </w:divBdr>
    </w:div>
    <w:div w:id="1917324776">
      <w:bodyDiv w:val="1"/>
      <w:marLeft w:val="0"/>
      <w:marRight w:val="0"/>
      <w:marTop w:val="0"/>
      <w:marBottom w:val="0"/>
      <w:divBdr>
        <w:top w:val="none" w:sz="0" w:space="0" w:color="auto"/>
        <w:left w:val="none" w:sz="0" w:space="0" w:color="auto"/>
        <w:bottom w:val="none" w:sz="0" w:space="0" w:color="auto"/>
        <w:right w:val="none" w:sz="0" w:space="0" w:color="auto"/>
      </w:divBdr>
    </w:div>
    <w:div w:id="1921137908">
      <w:bodyDiv w:val="1"/>
      <w:marLeft w:val="0"/>
      <w:marRight w:val="0"/>
      <w:marTop w:val="0"/>
      <w:marBottom w:val="0"/>
      <w:divBdr>
        <w:top w:val="none" w:sz="0" w:space="0" w:color="auto"/>
        <w:left w:val="none" w:sz="0" w:space="0" w:color="auto"/>
        <w:bottom w:val="none" w:sz="0" w:space="0" w:color="auto"/>
        <w:right w:val="none" w:sz="0" w:space="0" w:color="auto"/>
      </w:divBdr>
    </w:div>
    <w:div w:id="1921985363">
      <w:bodyDiv w:val="1"/>
      <w:marLeft w:val="0"/>
      <w:marRight w:val="0"/>
      <w:marTop w:val="0"/>
      <w:marBottom w:val="0"/>
      <w:divBdr>
        <w:top w:val="none" w:sz="0" w:space="0" w:color="auto"/>
        <w:left w:val="none" w:sz="0" w:space="0" w:color="auto"/>
        <w:bottom w:val="none" w:sz="0" w:space="0" w:color="auto"/>
        <w:right w:val="none" w:sz="0" w:space="0" w:color="auto"/>
      </w:divBdr>
    </w:div>
    <w:div w:id="1923686105">
      <w:bodyDiv w:val="1"/>
      <w:marLeft w:val="0"/>
      <w:marRight w:val="0"/>
      <w:marTop w:val="0"/>
      <w:marBottom w:val="0"/>
      <w:divBdr>
        <w:top w:val="none" w:sz="0" w:space="0" w:color="auto"/>
        <w:left w:val="none" w:sz="0" w:space="0" w:color="auto"/>
        <w:bottom w:val="none" w:sz="0" w:space="0" w:color="auto"/>
        <w:right w:val="none" w:sz="0" w:space="0" w:color="auto"/>
      </w:divBdr>
    </w:div>
    <w:div w:id="1925259634">
      <w:bodyDiv w:val="1"/>
      <w:marLeft w:val="0"/>
      <w:marRight w:val="0"/>
      <w:marTop w:val="0"/>
      <w:marBottom w:val="0"/>
      <w:divBdr>
        <w:top w:val="none" w:sz="0" w:space="0" w:color="auto"/>
        <w:left w:val="none" w:sz="0" w:space="0" w:color="auto"/>
        <w:bottom w:val="none" w:sz="0" w:space="0" w:color="auto"/>
        <w:right w:val="none" w:sz="0" w:space="0" w:color="auto"/>
      </w:divBdr>
    </w:div>
    <w:div w:id="1925844198">
      <w:bodyDiv w:val="1"/>
      <w:marLeft w:val="0"/>
      <w:marRight w:val="0"/>
      <w:marTop w:val="0"/>
      <w:marBottom w:val="0"/>
      <w:divBdr>
        <w:top w:val="none" w:sz="0" w:space="0" w:color="auto"/>
        <w:left w:val="none" w:sz="0" w:space="0" w:color="auto"/>
        <w:bottom w:val="none" w:sz="0" w:space="0" w:color="auto"/>
        <w:right w:val="none" w:sz="0" w:space="0" w:color="auto"/>
      </w:divBdr>
    </w:div>
    <w:div w:id="1926645967">
      <w:bodyDiv w:val="1"/>
      <w:marLeft w:val="0"/>
      <w:marRight w:val="0"/>
      <w:marTop w:val="0"/>
      <w:marBottom w:val="0"/>
      <w:divBdr>
        <w:top w:val="none" w:sz="0" w:space="0" w:color="auto"/>
        <w:left w:val="none" w:sz="0" w:space="0" w:color="auto"/>
        <w:bottom w:val="none" w:sz="0" w:space="0" w:color="auto"/>
        <w:right w:val="none" w:sz="0" w:space="0" w:color="auto"/>
      </w:divBdr>
    </w:div>
    <w:div w:id="1928494293">
      <w:bodyDiv w:val="1"/>
      <w:marLeft w:val="0"/>
      <w:marRight w:val="0"/>
      <w:marTop w:val="0"/>
      <w:marBottom w:val="0"/>
      <w:divBdr>
        <w:top w:val="none" w:sz="0" w:space="0" w:color="auto"/>
        <w:left w:val="none" w:sz="0" w:space="0" w:color="auto"/>
        <w:bottom w:val="none" w:sz="0" w:space="0" w:color="auto"/>
        <w:right w:val="none" w:sz="0" w:space="0" w:color="auto"/>
      </w:divBdr>
    </w:div>
    <w:div w:id="1930312397">
      <w:bodyDiv w:val="1"/>
      <w:marLeft w:val="0"/>
      <w:marRight w:val="0"/>
      <w:marTop w:val="0"/>
      <w:marBottom w:val="0"/>
      <w:divBdr>
        <w:top w:val="none" w:sz="0" w:space="0" w:color="auto"/>
        <w:left w:val="none" w:sz="0" w:space="0" w:color="auto"/>
        <w:bottom w:val="none" w:sz="0" w:space="0" w:color="auto"/>
        <w:right w:val="none" w:sz="0" w:space="0" w:color="auto"/>
      </w:divBdr>
    </w:div>
    <w:div w:id="1937013507">
      <w:bodyDiv w:val="1"/>
      <w:marLeft w:val="0"/>
      <w:marRight w:val="0"/>
      <w:marTop w:val="0"/>
      <w:marBottom w:val="0"/>
      <w:divBdr>
        <w:top w:val="none" w:sz="0" w:space="0" w:color="auto"/>
        <w:left w:val="none" w:sz="0" w:space="0" w:color="auto"/>
        <w:bottom w:val="none" w:sz="0" w:space="0" w:color="auto"/>
        <w:right w:val="none" w:sz="0" w:space="0" w:color="auto"/>
      </w:divBdr>
    </w:div>
    <w:div w:id="1940789275">
      <w:bodyDiv w:val="1"/>
      <w:marLeft w:val="0"/>
      <w:marRight w:val="0"/>
      <w:marTop w:val="0"/>
      <w:marBottom w:val="0"/>
      <w:divBdr>
        <w:top w:val="none" w:sz="0" w:space="0" w:color="auto"/>
        <w:left w:val="none" w:sz="0" w:space="0" w:color="auto"/>
        <w:bottom w:val="none" w:sz="0" w:space="0" w:color="auto"/>
        <w:right w:val="none" w:sz="0" w:space="0" w:color="auto"/>
      </w:divBdr>
      <w:divsChild>
        <w:div w:id="1142502708">
          <w:marLeft w:val="0"/>
          <w:marRight w:val="0"/>
          <w:marTop w:val="0"/>
          <w:marBottom w:val="0"/>
          <w:divBdr>
            <w:top w:val="none" w:sz="0" w:space="0" w:color="auto"/>
            <w:left w:val="none" w:sz="0" w:space="0" w:color="auto"/>
            <w:bottom w:val="none" w:sz="0" w:space="0" w:color="auto"/>
            <w:right w:val="none" w:sz="0" w:space="0" w:color="auto"/>
          </w:divBdr>
          <w:divsChild>
            <w:div w:id="1804151439">
              <w:marLeft w:val="0"/>
              <w:marRight w:val="0"/>
              <w:marTop w:val="0"/>
              <w:marBottom w:val="0"/>
              <w:divBdr>
                <w:top w:val="none" w:sz="0" w:space="0" w:color="auto"/>
                <w:left w:val="none" w:sz="0" w:space="0" w:color="auto"/>
                <w:bottom w:val="none" w:sz="0" w:space="0" w:color="auto"/>
                <w:right w:val="none" w:sz="0" w:space="0" w:color="auto"/>
              </w:divBdr>
            </w:div>
          </w:divsChild>
        </w:div>
        <w:div w:id="2091847991">
          <w:marLeft w:val="0"/>
          <w:marRight w:val="0"/>
          <w:marTop w:val="0"/>
          <w:marBottom w:val="0"/>
          <w:divBdr>
            <w:top w:val="none" w:sz="0" w:space="0" w:color="auto"/>
            <w:left w:val="none" w:sz="0" w:space="0" w:color="auto"/>
            <w:bottom w:val="none" w:sz="0" w:space="0" w:color="auto"/>
            <w:right w:val="none" w:sz="0" w:space="0" w:color="auto"/>
          </w:divBdr>
          <w:divsChild>
            <w:div w:id="453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922">
      <w:bodyDiv w:val="1"/>
      <w:marLeft w:val="0"/>
      <w:marRight w:val="0"/>
      <w:marTop w:val="0"/>
      <w:marBottom w:val="0"/>
      <w:divBdr>
        <w:top w:val="none" w:sz="0" w:space="0" w:color="auto"/>
        <w:left w:val="none" w:sz="0" w:space="0" w:color="auto"/>
        <w:bottom w:val="none" w:sz="0" w:space="0" w:color="auto"/>
        <w:right w:val="none" w:sz="0" w:space="0" w:color="auto"/>
      </w:divBdr>
    </w:div>
    <w:div w:id="1944459122">
      <w:bodyDiv w:val="1"/>
      <w:marLeft w:val="0"/>
      <w:marRight w:val="0"/>
      <w:marTop w:val="0"/>
      <w:marBottom w:val="0"/>
      <w:divBdr>
        <w:top w:val="none" w:sz="0" w:space="0" w:color="auto"/>
        <w:left w:val="none" w:sz="0" w:space="0" w:color="auto"/>
        <w:bottom w:val="none" w:sz="0" w:space="0" w:color="auto"/>
        <w:right w:val="none" w:sz="0" w:space="0" w:color="auto"/>
      </w:divBdr>
    </w:div>
    <w:div w:id="1944923024">
      <w:bodyDiv w:val="1"/>
      <w:marLeft w:val="0"/>
      <w:marRight w:val="0"/>
      <w:marTop w:val="0"/>
      <w:marBottom w:val="0"/>
      <w:divBdr>
        <w:top w:val="none" w:sz="0" w:space="0" w:color="auto"/>
        <w:left w:val="none" w:sz="0" w:space="0" w:color="auto"/>
        <w:bottom w:val="none" w:sz="0" w:space="0" w:color="auto"/>
        <w:right w:val="none" w:sz="0" w:space="0" w:color="auto"/>
      </w:divBdr>
    </w:div>
    <w:div w:id="1947231958">
      <w:bodyDiv w:val="1"/>
      <w:marLeft w:val="0"/>
      <w:marRight w:val="0"/>
      <w:marTop w:val="0"/>
      <w:marBottom w:val="0"/>
      <w:divBdr>
        <w:top w:val="none" w:sz="0" w:space="0" w:color="auto"/>
        <w:left w:val="none" w:sz="0" w:space="0" w:color="auto"/>
        <w:bottom w:val="none" w:sz="0" w:space="0" w:color="auto"/>
        <w:right w:val="none" w:sz="0" w:space="0" w:color="auto"/>
      </w:divBdr>
    </w:div>
    <w:div w:id="1954357576">
      <w:bodyDiv w:val="1"/>
      <w:marLeft w:val="0"/>
      <w:marRight w:val="0"/>
      <w:marTop w:val="0"/>
      <w:marBottom w:val="0"/>
      <w:divBdr>
        <w:top w:val="none" w:sz="0" w:space="0" w:color="auto"/>
        <w:left w:val="none" w:sz="0" w:space="0" w:color="auto"/>
        <w:bottom w:val="none" w:sz="0" w:space="0" w:color="auto"/>
        <w:right w:val="none" w:sz="0" w:space="0" w:color="auto"/>
      </w:divBdr>
    </w:div>
    <w:div w:id="1954437330">
      <w:bodyDiv w:val="1"/>
      <w:marLeft w:val="0"/>
      <w:marRight w:val="0"/>
      <w:marTop w:val="0"/>
      <w:marBottom w:val="0"/>
      <w:divBdr>
        <w:top w:val="none" w:sz="0" w:space="0" w:color="auto"/>
        <w:left w:val="none" w:sz="0" w:space="0" w:color="auto"/>
        <w:bottom w:val="none" w:sz="0" w:space="0" w:color="auto"/>
        <w:right w:val="none" w:sz="0" w:space="0" w:color="auto"/>
      </w:divBdr>
    </w:div>
    <w:div w:id="1956401387">
      <w:bodyDiv w:val="1"/>
      <w:marLeft w:val="0"/>
      <w:marRight w:val="0"/>
      <w:marTop w:val="0"/>
      <w:marBottom w:val="0"/>
      <w:divBdr>
        <w:top w:val="none" w:sz="0" w:space="0" w:color="auto"/>
        <w:left w:val="none" w:sz="0" w:space="0" w:color="auto"/>
        <w:bottom w:val="none" w:sz="0" w:space="0" w:color="auto"/>
        <w:right w:val="none" w:sz="0" w:space="0" w:color="auto"/>
      </w:divBdr>
    </w:div>
    <w:div w:id="1957758226">
      <w:bodyDiv w:val="1"/>
      <w:marLeft w:val="0"/>
      <w:marRight w:val="0"/>
      <w:marTop w:val="0"/>
      <w:marBottom w:val="0"/>
      <w:divBdr>
        <w:top w:val="none" w:sz="0" w:space="0" w:color="auto"/>
        <w:left w:val="none" w:sz="0" w:space="0" w:color="auto"/>
        <w:bottom w:val="none" w:sz="0" w:space="0" w:color="auto"/>
        <w:right w:val="none" w:sz="0" w:space="0" w:color="auto"/>
      </w:divBdr>
    </w:div>
    <w:div w:id="1970282175">
      <w:bodyDiv w:val="1"/>
      <w:marLeft w:val="0"/>
      <w:marRight w:val="0"/>
      <w:marTop w:val="0"/>
      <w:marBottom w:val="0"/>
      <w:divBdr>
        <w:top w:val="none" w:sz="0" w:space="0" w:color="auto"/>
        <w:left w:val="none" w:sz="0" w:space="0" w:color="auto"/>
        <w:bottom w:val="none" w:sz="0" w:space="0" w:color="auto"/>
        <w:right w:val="none" w:sz="0" w:space="0" w:color="auto"/>
      </w:divBdr>
    </w:div>
    <w:div w:id="1971012453">
      <w:bodyDiv w:val="1"/>
      <w:marLeft w:val="0"/>
      <w:marRight w:val="0"/>
      <w:marTop w:val="0"/>
      <w:marBottom w:val="0"/>
      <w:divBdr>
        <w:top w:val="none" w:sz="0" w:space="0" w:color="auto"/>
        <w:left w:val="none" w:sz="0" w:space="0" w:color="auto"/>
        <w:bottom w:val="none" w:sz="0" w:space="0" w:color="auto"/>
        <w:right w:val="none" w:sz="0" w:space="0" w:color="auto"/>
      </w:divBdr>
    </w:div>
    <w:div w:id="1971281877">
      <w:bodyDiv w:val="1"/>
      <w:marLeft w:val="0"/>
      <w:marRight w:val="0"/>
      <w:marTop w:val="0"/>
      <w:marBottom w:val="0"/>
      <w:divBdr>
        <w:top w:val="none" w:sz="0" w:space="0" w:color="auto"/>
        <w:left w:val="none" w:sz="0" w:space="0" w:color="auto"/>
        <w:bottom w:val="none" w:sz="0" w:space="0" w:color="auto"/>
        <w:right w:val="none" w:sz="0" w:space="0" w:color="auto"/>
      </w:divBdr>
    </w:div>
    <w:div w:id="1971813265">
      <w:bodyDiv w:val="1"/>
      <w:marLeft w:val="0"/>
      <w:marRight w:val="0"/>
      <w:marTop w:val="0"/>
      <w:marBottom w:val="0"/>
      <w:divBdr>
        <w:top w:val="none" w:sz="0" w:space="0" w:color="auto"/>
        <w:left w:val="none" w:sz="0" w:space="0" w:color="auto"/>
        <w:bottom w:val="none" w:sz="0" w:space="0" w:color="auto"/>
        <w:right w:val="none" w:sz="0" w:space="0" w:color="auto"/>
      </w:divBdr>
    </w:div>
    <w:div w:id="1972862852">
      <w:bodyDiv w:val="1"/>
      <w:marLeft w:val="0"/>
      <w:marRight w:val="0"/>
      <w:marTop w:val="0"/>
      <w:marBottom w:val="0"/>
      <w:divBdr>
        <w:top w:val="none" w:sz="0" w:space="0" w:color="auto"/>
        <w:left w:val="none" w:sz="0" w:space="0" w:color="auto"/>
        <w:bottom w:val="none" w:sz="0" w:space="0" w:color="auto"/>
        <w:right w:val="none" w:sz="0" w:space="0" w:color="auto"/>
      </w:divBdr>
    </w:div>
    <w:div w:id="1975211737">
      <w:bodyDiv w:val="1"/>
      <w:marLeft w:val="0"/>
      <w:marRight w:val="0"/>
      <w:marTop w:val="0"/>
      <w:marBottom w:val="0"/>
      <w:divBdr>
        <w:top w:val="none" w:sz="0" w:space="0" w:color="auto"/>
        <w:left w:val="none" w:sz="0" w:space="0" w:color="auto"/>
        <w:bottom w:val="none" w:sz="0" w:space="0" w:color="auto"/>
        <w:right w:val="none" w:sz="0" w:space="0" w:color="auto"/>
      </w:divBdr>
    </w:div>
    <w:div w:id="1978532106">
      <w:bodyDiv w:val="1"/>
      <w:marLeft w:val="0"/>
      <w:marRight w:val="0"/>
      <w:marTop w:val="0"/>
      <w:marBottom w:val="0"/>
      <w:divBdr>
        <w:top w:val="none" w:sz="0" w:space="0" w:color="auto"/>
        <w:left w:val="none" w:sz="0" w:space="0" w:color="auto"/>
        <w:bottom w:val="none" w:sz="0" w:space="0" w:color="auto"/>
        <w:right w:val="none" w:sz="0" w:space="0" w:color="auto"/>
      </w:divBdr>
    </w:div>
    <w:div w:id="1978728520">
      <w:bodyDiv w:val="1"/>
      <w:marLeft w:val="0"/>
      <w:marRight w:val="0"/>
      <w:marTop w:val="0"/>
      <w:marBottom w:val="0"/>
      <w:divBdr>
        <w:top w:val="none" w:sz="0" w:space="0" w:color="auto"/>
        <w:left w:val="none" w:sz="0" w:space="0" w:color="auto"/>
        <w:bottom w:val="none" w:sz="0" w:space="0" w:color="auto"/>
        <w:right w:val="none" w:sz="0" w:space="0" w:color="auto"/>
      </w:divBdr>
    </w:div>
    <w:div w:id="1980724513">
      <w:bodyDiv w:val="1"/>
      <w:marLeft w:val="0"/>
      <w:marRight w:val="0"/>
      <w:marTop w:val="0"/>
      <w:marBottom w:val="0"/>
      <w:divBdr>
        <w:top w:val="none" w:sz="0" w:space="0" w:color="auto"/>
        <w:left w:val="none" w:sz="0" w:space="0" w:color="auto"/>
        <w:bottom w:val="none" w:sz="0" w:space="0" w:color="auto"/>
        <w:right w:val="none" w:sz="0" w:space="0" w:color="auto"/>
      </w:divBdr>
    </w:div>
    <w:div w:id="1987275749">
      <w:bodyDiv w:val="1"/>
      <w:marLeft w:val="0"/>
      <w:marRight w:val="0"/>
      <w:marTop w:val="0"/>
      <w:marBottom w:val="0"/>
      <w:divBdr>
        <w:top w:val="none" w:sz="0" w:space="0" w:color="auto"/>
        <w:left w:val="none" w:sz="0" w:space="0" w:color="auto"/>
        <w:bottom w:val="none" w:sz="0" w:space="0" w:color="auto"/>
        <w:right w:val="none" w:sz="0" w:space="0" w:color="auto"/>
      </w:divBdr>
    </w:div>
    <w:div w:id="1988513015">
      <w:bodyDiv w:val="1"/>
      <w:marLeft w:val="0"/>
      <w:marRight w:val="0"/>
      <w:marTop w:val="0"/>
      <w:marBottom w:val="0"/>
      <w:divBdr>
        <w:top w:val="none" w:sz="0" w:space="0" w:color="auto"/>
        <w:left w:val="none" w:sz="0" w:space="0" w:color="auto"/>
        <w:bottom w:val="none" w:sz="0" w:space="0" w:color="auto"/>
        <w:right w:val="none" w:sz="0" w:space="0" w:color="auto"/>
      </w:divBdr>
    </w:div>
    <w:div w:id="2001807979">
      <w:bodyDiv w:val="1"/>
      <w:marLeft w:val="0"/>
      <w:marRight w:val="0"/>
      <w:marTop w:val="0"/>
      <w:marBottom w:val="0"/>
      <w:divBdr>
        <w:top w:val="none" w:sz="0" w:space="0" w:color="auto"/>
        <w:left w:val="none" w:sz="0" w:space="0" w:color="auto"/>
        <w:bottom w:val="none" w:sz="0" w:space="0" w:color="auto"/>
        <w:right w:val="none" w:sz="0" w:space="0" w:color="auto"/>
      </w:divBdr>
    </w:div>
    <w:div w:id="2008750325">
      <w:bodyDiv w:val="1"/>
      <w:marLeft w:val="0"/>
      <w:marRight w:val="0"/>
      <w:marTop w:val="0"/>
      <w:marBottom w:val="0"/>
      <w:divBdr>
        <w:top w:val="none" w:sz="0" w:space="0" w:color="auto"/>
        <w:left w:val="none" w:sz="0" w:space="0" w:color="auto"/>
        <w:bottom w:val="none" w:sz="0" w:space="0" w:color="auto"/>
        <w:right w:val="none" w:sz="0" w:space="0" w:color="auto"/>
      </w:divBdr>
    </w:div>
    <w:div w:id="2010209909">
      <w:bodyDiv w:val="1"/>
      <w:marLeft w:val="0"/>
      <w:marRight w:val="0"/>
      <w:marTop w:val="0"/>
      <w:marBottom w:val="0"/>
      <w:divBdr>
        <w:top w:val="none" w:sz="0" w:space="0" w:color="auto"/>
        <w:left w:val="none" w:sz="0" w:space="0" w:color="auto"/>
        <w:bottom w:val="none" w:sz="0" w:space="0" w:color="auto"/>
        <w:right w:val="none" w:sz="0" w:space="0" w:color="auto"/>
      </w:divBdr>
    </w:div>
    <w:div w:id="2011103404">
      <w:bodyDiv w:val="1"/>
      <w:marLeft w:val="0"/>
      <w:marRight w:val="0"/>
      <w:marTop w:val="0"/>
      <w:marBottom w:val="0"/>
      <w:divBdr>
        <w:top w:val="none" w:sz="0" w:space="0" w:color="auto"/>
        <w:left w:val="none" w:sz="0" w:space="0" w:color="auto"/>
        <w:bottom w:val="none" w:sz="0" w:space="0" w:color="auto"/>
        <w:right w:val="none" w:sz="0" w:space="0" w:color="auto"/>
      </w:divBdr>
    </w:div>
    <w:div w:id="2012678594">
      <w:bodyDiv w:val="1"/>
      <w:marLeft w:val="0"/>
      <w:marRight w:val="0"/>
      <w:marTop w:val="0"/>
      <w:marBottom w:val="0"/>
      <w:divBdr>
        <w:top w:val="none" w:sz="0" w:space="0" w:color="auto"/>
        <w:left w:val="none" w:sz="0" w:space="0" w:color="auto"/>
        <w:bottom w:val="none" w:sz="0" w:space="0" w:color="auto"/>
        <w:right w:val="none" w:sz="0" w:space="0" w:color="auto"/>
      </w:divBdr>
    </w:div>
    <w:div w:id="2019959730">
      <w:bodyDiv w:val="1"/>
      <w:marLeft w:val="0"/>
      <w:marRight w:val="0"/>
      <w:marTop w:val="0"/>
      <w:marBottom w:val="0"/>
      <w:divBdr>
        <w:top w:val="none" w:sz="0" w:space="0" w:color="auto"/>
        <w:left w:val="none" w:sz="0" w:space="0" w:color="auto"/>
        <w:bottom w:val="none" w:sz="0" w:space="0" w:color="auto"/>
        <w:right w:val="none" w:sz="0" w:space="0" w:color="auto"/>
      </w:divBdr>
    </w:div>
    <w:div w:id="2020889347">
      <w:bodyDiv w:val="1"/>
      <w:marLeft w:val="0"/>
      <w:marRight w:val="0"/>
      <w:marTop w:val="0"/>
      <w:marBottom w:val="0"/>
      <w:divBdr>
        <w:top w:val="none" w:sz="0" w:space="0" w:color="auto"/>
        <w:left w:val="none" w:sz="0" w:space="0" w:color="auto"/>
        <w:bottom w:val="none" w:sz="0" w:space="0" w:color="auto"/>
        <w:right w:val="none" w:sz="0" w:space="0" w:color="auto"/>
      </w:divBdr>
    </w:div>
    <w:div w:id="2022512489">
      <w:bodyDiv w:val="1"/>
      <w:marLeft w:val="0"/>
      <w:marRight w:val="0"/>
      <w:marTop w:val="0"/>
      <w:marBottom w:val="0"/>
      <w:divBdr>
        <w:top w:val="none" w:sz="0" w:space="0" w:color="auto"/>
        <w:left w:val="none" w:sz="0" w:space="0" w:color="auto"/>
        <w:bottom w:val="none" w:sz="0" w:space="0" w:color="auto"/>
        <w:right w:val="none" w:sz="0" w:space="0" w:color="auto"/>
      </w:divBdr>
    </w:div>
    <w:div w:id="2022853467">
      <w:bodyDiv w:val="1"/>
      <w:marLeft w:val="0"/>
      <w:marRight w:val="0"/>
      <w:marTop w:val="0"/>
      <w:marBottom w:val="0"/>
      <w:divBdr>
        <w:top w:val="none" w:sz="0" w:space="0" w:color="auto"/>
        <w:left w:val="none" w:sz="0" w:space="0" w:color="auto"/>
        <w:bottom w:val="none" w:sz="0" w:space="0" w:color="auto"/>
        <w:right w:val="none" w:sz="0" w:space="0" w:color="auto"/>
      </w:divBdr>
    </w:div>
    <w:div w:id="2026125970">
      <w:bodyDiv w:val="1"/>
      <w:marLeft w:val="0"/>
      <w:marRight w:val="0"/>
      <w:marTop w:val="0"/>
      <w:marBottom w:val="0"/>
      <w:divBdr>
        <w:top w:val="none" w:sz="0" w:space="0" w:color="auto"/>
        <w:left w:val="none" w:sz="0" w:space="0" w:color="auto"/>
        <w:bottom w:val="none" w:sz="0" w:space="0" w:color="auto"/>
        <w:right w:val="none" w:sz="0" w:space="0" w:color="auto"/>
      </w:divBdr>
    </w:div>
    <w:div w:id="2028208745">
      <w:bodyDiv w:val="1"/>
      <w:marLeft w:val="0"/>
      <w:marRight w:val="0"/>
      <w:marTop w:val="0"/>
      <w:marBottom w:val="0"/>
      <w:divBdr>
        <w:top w:val="none" w:sz="0" w:space="0" w:color="auto"/>
        <w:left w:val="none" w:sz="0" w:space="0" w:color="auto"/>
        <w:bottom w:val="none" w:sz="0" w:space="0" w:color="auto"/>
        <w:right w:val="none" w:sz="0" w:space="0" w:color="auto"/>
      </w:divBdr>
    </w:div>
    <w:div w:id="2028747667">
      <w:bodyDiv w:val="1"/>
      <w:marLeft w:val="0"/>
      <w:marRight w:val="0"/>
      <w:marTop w:val="0"/>
      <w:marBottom w:val="0"/>
      <w:divBdr>
        <w:top w:val="none" w:sz="0" w:space="0" w:color="auto"/>
        <w:left w:val="none" w:sz="0" w:space="0" w:color="auto"/>
        <w:bottom w:val="none" w:sz="0" w:space="0" w:color="auto"/>
        <w:right w:val="none" w:sz="0" w:space="0" w:color="auto"/>
      </w:divBdr>
    </w:div>
    <w:div w:id="2033801954">
      <w:bodyDiv w:val="1"/>
      <w:marLeft w:val="0"/>
      <w:marRight w:val="0"/>
      <w:marTop w:val="0"/>
      <w:marBottom w:val="0"/>
      <w:divBdr>
        <w:top w:val="none" w:sz="0" w:space="0" w:color="auto"/>
        <w:left w:val="none" w:sz="0" w:space="0" w:color="auto"/>
        <w:bottom w:val="none" w:sz="0" w:space="0" w:color="auto"/>
        <w:right w:val="none" w:sz="0" w:space="0" w:color="auto"/>
      </w:divBdr>
    </w:div>
    <w:div w:id="2037341235">
      <w:bodyDiv w:val="1"/>
      <w:marLeft w:val="0"/>
      <w:marRight w:val="0"/>
      <w:marTop w:val="0"/>
      <w:marBottom w:val="0"/>
      <w:divBdr>
        <w:top w:val="none" w:sz="0" w:space="0" w:color="auto"/>
        <w:left w:val="none" w:sz="0" w:space="0" w:color="auto"/>
        <w:bottom w:val="none" w:sz="0" w:space="0" w:color="auto"/>
        <w:right w:val="none" w:sz="0" w:space="0" w:color="auto"/>
      </w:divBdr>
    </w:div>
    <w:div w:id="2037655545">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045247776">
      <w:bodyDiv w:val="1"/>
      <w:marLeft w:val="0"/>
      <w:marRight w:val="0"/>
      <w:marTop w:val="0"/>
      <w:marBottom w:val="0"/>
      <w:divBdr>
        <w:top w:val="none" w:sz="0" w:space="0" w:color="auto"/>
        <w:left w:val="none" w:sz="0" w:space="0" w:color="auto"/>
        <w:bottom w:val="none" w:sz="0" w:space="0" w:color="auto"/>
        <w:right w:val="none" w:sz="0" w:space="0" w:color="auto"/>
      </w:divBdr>
    </w:div>
    <w:div w:id="2045598154">
      <w:bodyDiv w:val="1"/>
      <w:marLeft w:val="0"/>
      <w:marRight w:val="0"/>
      <w:marTop w:val="0"/>
      <w:marBottom w:val="0"/>
      <w:divBdr>
        <w:top w:val="none" w:sz="0" w:space="0" w:color="auto"/>
        <w:left w:val="none" w:sz="0" w:space="0" w:color="auto"/>
        <w:bottom w:val="none" w:sz="0" w:space="0" w:color="auto"/>
        <w:right w:val="none" w:sz="0" w:space="0" w:color="auto"/>
      </w:divBdr>
    </w:div>
    <w:div w:id="2046560011">
      <w:bodyDiv w:val="1"/>
      <w:marLeft w:val="0"/>
      <w:marRight w:val="0"/>
      <w:marTop w:val="0"/>
      <w:marBottom w:val="0"/>
      <w:divBdr>
        <w:top w:val="none" w:sz="0" w:space="0" w:color="auto"/>
        <w:left w:val="none" w:sz="0" w:space="0" w:color="auto"/>
        <w:bottom w:val="none" w:sz="0" w:space="0" w:color="auto"/>
        <w:right w:val="none" w:sz="0" w:space="0" w:color="auto"/>
      </w:divBdr>
    </w:div>
    <w:div w:id="2049261985">
      <w:bodyDiv w:val="1"/>
      <w:marLeft w:val="0"/>
      <w:marRight w:val="0"/>
      <w:marTop w:val="0"/>
      <w:marBottom w:val="0"/>
      <w:divBdr>
        <w:top w:val="none" w:sz="0" w:space="0" w:color="auto"/>
        <w:left w:val="none" w:sz="0" w:space="0" w:color="auto"/>
        <w:bottom w:val="none" w:sz="0" w:space="0" w:color="auto"/>
        <w:right w:val="none" w:sz="0" w:space="0" w:color="auto"/>
      </w:divBdr>
    </w:div>
    <w:div w:id="2054422713">
      <w:bodyDiv w:val="1"/>
      <w:marLeft w:val="0"/>
      <w:marRight w:val="0"/>
      <w:marTop w:val="0"/>
      <w:marBottom w:val="0"/>
      <w:divBdr>
        <w:top w:val="none" w:sz="0" w:space="0" w:color="auto"/>
        <w:left w:val="none" w:sz="0" w:space="0" w:color="auto"/>
        <w:bottom w:val="none" w:sz="0" w:space="0" w:color="auto"/>
        <w:right w:val="none" w:sz="0" w:space="0" w:color="auto"/>
      </w:divBdr>
    </w:div>
    <w:div w:id="2054497531">
      <w:bodyDiv w:val="1"/>
      <w:marLeft w:val="0"/>
      <w:marRight w:val="0"/>
      <w:marTop w:val="0"/>
      <w:marBottom w:val="0"/>
      <w:divBdr>
        <w:top w:val="none" w:sz="0" w:space="0" w:color="auto"/>
        <w:left w:val="none" w:sz="0" w:space="0" w:color="auto"/>
        <w:bottom w:val="none" w:sz="0" w:space="0" w:color="auto"/>
        <w:right w:val="none" w:sz="0" w:space="0" w:color="auto"/>
      </w:divBdr>
    </w:div>
    <w:div w:id="2056732937">
      <w:bodyDiv w:val="1"/>
      <w:marLeft w:val="0"/>
      <w:marRight w:val="0"/>
      <w:marTop w:val="0"/>
      <w:marBottom w:val="0"/>
      <w:divBdr>
        <w:top w:val="none" w:sz="0" w:space="0" w:color="auto"/>
        <w:left w:val="none" w:sz="0" w:space="0" w:color="auto"/>
        <w:bottom w:val="none" w:sz="0" w:space="0" w:color="auto"/>
        <w:right w:val="none" w:sz="0" w:space="0" w:color="auto"/>
      </w:divBdr>
    </w:div>
    <w:div w:id="2060469903">
      <w:bodyDiv w:val="1"/>
      <w:marLeft w:val="0"/>
      <w:marRight w:val="0"/>
      <w:marTop w:val="0"/>
      <w:marBottom w:val="0"/>
      <w:divBdr>
        <w:top w:val="none" w:sz="0" w:space="0" w:color="auto"/>
        <w:left w:val="none" w:sz="0" w:space="0" w:color="auto"/>
        <w:bottom w:val="none" w:sz="0" w:space="0" w:color="auto"/>
        <w:right w:val="none" w:sz="0" w:space="0" w:color="auto"/>
      </w:divBdr>
    </w:div>
    <w:div w:id="2062364419">
      <w:bodyDiv w:val="1"/>
      <w:marLeft w:val="0"/>
      <w:marRight w:val="0"/>
      <w:marTop w:val="0"/>
      <w:marBottom w:val="0"/>
      <w:divBdr>
        <w:top w:val="none" w:sz="0" w:space="0" w:color="auto"/>
        <w:left w:val="none" w:sz="0" w:space="0" w:color="auto"/>
        <w:bottom w:val="none" w:sz="0" w:space="0" w:color="auto"/>
        <w:right w:val="none" w:sz="0" w:space="0" w:color="auto"/>
      </w:divBdr>
    </w:div>
    <w:div w:id="2064597861">
      <w:bodyDiv w:val="1"/>
      <w:marLeft w:val="0"/>
      <w:marRight w:val="0"/>
      <w:marTop w:val="0"/>
      <w:marBottom w:val="0"/>
      <w:divBdr>
        <w:top w:val="none" w:sz="0" w:space="0" w:color="auto"/>
        <w:left w:val="none" w:sz="0" w:space="0" w:color="auto"/>
        <w:bottom w:val="none" w:sz="0" w:space="0" w:color="auto"/>
        <w:right w:val="none" w:sz="0" w:space="0" w:color="auto"/>
      </w:divBdr>
    </w:div>
    <w:div w:id="2066251340">
      <w:bodyDiv w:val="1"/>
      <w:marLeft w:val="0"/>
      <w:marRight w:val="0"/>
      <w:marTop w:val="0"/>
      <w:marBottom w:val="0"/>
      <w:divBdr>
        <w:top w:val="none" w:sz="0" w:space="0" w:color="auto"/>
        <w:left w:val="none" w:sz="0" w:space="0" w:color="auto"/>
        <w:bottom w:val="none" w:sz="0" w:space="0" w:color="auto"/>
        <w:right w:val="none" w:sz="0" w:space="0" w:color="auto"/>
      </w:divBdr>
    </w:div>
    <w:div w:id="2067297125">
      <w:bodyDiv w:val="1"/>
      <w:marLeft w:val="0"/>
      <w:marRight w:val="0"/>
      <w:marTop w:val="0"/>
      <w:marBottom w:val="0"/>
      <w:divBdr>
        <w:top w:val="none" w:sz="0" w:space="0" w:color="auto"/>
        <w:left w:val="none" w:sz="0" w:space="0" w:color="auto"/>
        <w:bottom w:val="none" w:sz="0" w:space="0" w:color="auto"/>
        <w:right w:val="none" w:sz="0" w:space="0" w:color="auto"/>
      </w:divBdr>
    </w:div>
    <w:div w:id="2067949805">
      <w:bodyDiv w:val="1"/>
      <w:marLeft w:val="0"/>
      <w:marRight w:val="0"/>
      <w:marTop w:val="0"/>
      <w:marBottom w:val="0"/>
      <w:divBdr>
        <w:top w:val="none" w:sz="0" w:space="0" w:color="auto"/>
        <w:left w:val="none" w:sz="0" w:space="0" w:color="auto"/>
        <w:bottom w:val="none" w:sz="0" w:space="0" w:color="auto"/>
        <w:right w:val="none" w:sz="0" w:space="0" w:color="auto"/>
      </w:divBdr>
    </w:div>
    <w:div w:id="2075659182">
      <w:bodyDiv w:val="1"/>
      <w:marLeft w:val="0"/>
      <w:marRight w:val="0"/>
      <w:marTop w:val="0"/>
      <w:marBottom w:val="0"/>
      <w:divBdr>
        <w:top w:val="none" w:sz="0" w:space="0" w:color="auto"/>
        <w:left w:val="none" w:sz="0" w:space="0" w:color="auto"/>
        <w:bottom w:val="none" w:sz="0" w:space="0" w:color="auto"/>
        <w:right w:val="none" w:sz="0" w:space="0" w:color="auto"/>
      </w:divBdr>
    </w:div>
    <w:div w:id="2077167257">
      <w:bodyDiv w:val="1"/>
      <w:marLeft w:val="0"/>
      <w:marRight w:val="0"/>
      <w:marTop w:val="0"/>
      <w:marBottom w:val="0"/>
      <w:divBdr>
        <w:top w:val="none" w:sz="0" w:space="0" w:color="auto"/>
        <w:left w:val="none" w:sz="0" w:space="0" w:color="auto"/>
        <w:bottom w:val="none" w:sz="0" w:space="0" w:color="auto"/>
        <w:right w:val="none" w:sz="0" w:space="0" w:color="auto"/>
      </w:divBdr>
    </w:div>
    <w:div w:id="2088185448">
      <w:bodyDiv w:val="1"/>
      <w:marLeft w:val="0"/>
      <w:marRight w:val="0"/>
      <w:marTop w:val="0"/>
      <w:marBottom w:val="0"/>
      <w:divBdr>
        <w:top w:val="none" w:sz="0" w:space="0" w:color="auto"/>
        <w:left w:val="none" w:sz="0" w:space="0" w:color="auto"/>
        <w:bottom w:val="none" w:sz="0" w:space="0" w:color="auto"/>
        <w:right w:val="none" w:sz="0" w:space="0" w:color="auto"/>
      </w:divBdr>
    </w:div>
    <w:div w:id="2088573948">
      <w:bodyDiv w:val="1"/>
      <w:marLeft w:val="0"/>
      <w:marRight w:val="0"/>
      <w:marTop w:val="0"/>
      <w:marBottom w:val="0"/>
      <w:divBdr>
        <w:top w:val="none" w:sz="0" w:space="0" w:color="auto"/>
        <w:left w:val="none" w:sz="0" w:space="0" w:color="auto"/>
        <w:bottom w:val="none" w:sz="0" w:space="0" w:color="auto"/>
        <w:right w:val="none" w:sz="0" w:space="0" w:color="auto"/>
      </w:divBdr>
      <w:divsChild>
        <w:div w:id="1211721438">
          <w:marLeft w:val="0"/>
          <w:marRight w:val="0"/>
          <w:marTop w:val="0"/>
          <w:marBottom w:val="0"/>
          <w:divBdr>
            <w:top w:val="none" w:sz="0" w:space="0" w:color="auto"/>
            <w:left w:val="none" w:sz="0" w:space="0" w:color="auto"/>
            <w:bottom w:val="none" w:sz="0" w:space="0" w:color="auto"/>
            <w:right w:val="none" w:sz="0" w:space="0" w:color="auto"/>
          </w:divBdr>
        </w:div>
      </w:divsChild>
    </w:div>
    <w:div w:id="2088645748">
      <w:bodyDiv w:val="1"/>
      <w:marLeft w:val="0"/>
      <w:marRight w:val="0"/>
      <w:marTop w:val="0"/>
      <w:marBottom w:val="0"/>
      <w:divBdr>
        <w:top w:val="none" w:sz="0" w:space="0" w:color="auto"/>
        <w:left w:val="none" w:sz="0" w:space="0" w:color="auto"/>
        <w:bottom w:val="none" w:sz="0" w:space="0" w:color="auto"/>
        <w:right w:val="none" w:sz="0" w:space="0" w:color="auto"/>
      </w:divBdr>
    </w:div>
    <w:div w:id="2091080042">
      <w:bodyDiv w:val="1"/>
      <w:marLeft w:val="0"/>
      <w:marRight w:val="0"/>
      <w:marTop w:val="0"/>
      <w:marBottom w:val="0"/>
      <w:divBdr>
        <w:top w:val="none" w:sz="0" w:space="0" w:color="auto"/>
        <w:left w:val="none" w:sz="0" w:space="0" w:color="auto"/>
        <w:bottom w:val="none" w:sz="0" w:space="0" w:color="auto"/>
        <w:right w:val="none" w:sz="0" w:space="0" w:color="auto"/>
      </w:divBdr>
    </w:div>
    <w:div w:id="2092727101">
      <w:bodyDiv w:val="1"/>
      <w:marLeft w:val="0"/>
      <w:marRight w:val="0"/>
      <w:marTop w:val="0"/>
      <w:marBottom w:val="0"/>
      <w:divBdr>
        <w:top w:val="none" w:sz="0" w:space="0" w:color="auto"/>
        <w:left w:val="none" w:sz="0" w:space="0" w:color="auto"/>
        <w:bottom w:val="none" w:sz="0" w:space="0" w:color="auto"/>
        <w:right w:val="none" w:sz="0" w:space="0" w:color="auto"/>
      </w:divBdr>
    </w:div>
    <w:div w:id="2101758930">
      <w:bodyDiv w:val="1"/>
      <w:marLeft w:val="0"/>
      <w:marRight w:val="0"/>
      <w:marTop w:val="0"/>
      <w:marBottom w:val="0"/>
      <w:divBdr>
        <w:top w:val="none" w:sz="0" w:space="0" w:color="auto"/>
        <w:left w:val="none" w:sz="0" w:space="0" w:color="auto"/>
        <w:bottom w:val="none" w:sz="0" w:space="0" w:color="auto"/>
        <w:right w:val="none" w:sz="0" w:space="0" w:color="auto"/>
      </w:divBdr>
    </w:div>
    <w:div w:id="2105488048">
      <w:bodyDiv w:val="1"/>
      <w:marLeft w:val="0"/>
      <w:marRight w:val="0"/>
      <w:marTop w:val="0"/>
      <w:marBottom w:val="0"/>
      <w:divBdr>
        <w:top w:val="none" w:sz="0" w:space="0" w:color="auto"/>
        <w:left w:val="none" w:sz="0" w:space="0" w:color="auto"/>
        <w:bottom w:val="none" w:sz="0" w:space="0" w:color="auto"/>
        <w:right w:val="none" w:sz="0" w:space="0" w:color="auto"/>
      </w:divBdr>
    </w:div>
    <w:div w:id="2114738840">
      <w:bodyDiv w:val="1"/>
      <w:marLeft w:val="0"/>
      <w:marRight w:val="0"/>
      <w:marTop w:val="0"/>
      <w:marBottom w:val="0"/>
      <w:divBdr>
        <w:top w:val="none" w:sz="0" w:space="0" w:color="auto"/>
        <w:left w:val="none" w:sz="0" w:space="0" w:color="auto"/>
        <w:bottom w:val="none" w:sz="0" w:space="0" w:color="auto"/>
        <w:right w:val="none" w:sz="0" w:space="0" w:color="auto"/>
      </w:divBdr>
    </w:div>
    <w:div w:id="2116709937">
      <w:bodyDiv w:val="1"/>
      <w:marLeft w:val="0"/>
      <w:marRight w:val="0"/>
      <w:marTop w:val="0"/>
      <w:marBottom w:val="0"/>
      <w:divBdr>
        <w:top w:val="none" w:sz="0" w:space="0" w:color="auto"/>
        <w:left w:val="none" w:sz="0" w:space="0" w:color="auto"/>
        <w:bottom w:val="none" w:sz="0" w:space="0" w:color="auto"/>
        <w:right w:val="none" w:sz="0" w:space="0" w:color="auto"/>
      </w:divBdr>
    </w:div>
    <w:div w:id="2120055948">
      <w:bodyDiv w:val="1"/>
      <w:marLeft w:val="0"/>
      <w:marRight w:val="0"/>
      <w:marTop w:val="0"/>
      <w:marBottom w:val="0"/>
      <w:divBdr>
        <w:top w:val="none" w:sz="0" w:space="0" w:color="auto"/>
        <w:left w:val="none" w:sz="0" w:space="0" w:color="auto"/>
        <w:bottom w:val="none" w:sz="0" w:space="0" w:color="auto"/>
        <w:right w:val="none" w:sz="0" w:space="0" w:color="auto"/>
      </w:divBdr>
    </w:div>
    <w:div w:id="2120643999">
      <w:bodyDiv w:val="1"/>
      <w:marLeft w:val="0"/>
      <w:marRight w:val="0"/>
      <w:marTop w:val="0"/>
      <w:marBottom w:val="0"/>
      <w:divBdr>
        <w:top w:val="none" w:sz="0" w:space="0" w:color="auto"/>
        <w:left w:val="none" w:sz="0" w:space="0" w:color="auto"/>
        <w:bottom w:val="none" w:sz="0" w:space="0" w:color="auto"/>
        <w:right w:val="none" w:sz="0" w:space="0" w:color="auto"/>
      </w:divBdr>
    </w:div>
    <w:div w:id="2125691342">
      <w:bodyDiv w:val="1"/>
      <w:marLeft w:val="0"/>
      <w:marRight w:val="0"/>
      <w:marTop w:val="0"/>
      <w:marBottom w:val="0"/>
      <w:divBdr>
        <w:top w:val="none" w:sz="0" w:space="0" w:color="auto"/>
        <w:left w:val="none" w:sz="0" w:space="0" w:color="auto"/>
        <w:bottom w:val="none" w:sz="0" w:space="0" w:color="auto"/>
        <w:right w:val="none" w:sz="0" w:space="0" w:color="auto"/>
      </w:divBdr>
    </w:div>
    <w:div w:id="2126924548">
      <w:bodyDiv w:val="1"/>
      <w:marLeft w:val="0"/>
      <w:marRight w:val="0"/>
      <w:marTop w:val="0"/>
      <w:marBottom w:val="0"/>
      <w:divBdr>
        <w:top w:val="none" w:sz="0" w:space="0" w:color="auto"/>
        <w:left w:val="none" w:sz="0" w:space="0" w:color="auto"/>
        <w:bottom w:val="none" w:sz="0" w:space="0" w:color="auto"/>
        <w:right w:val="none" w:sz="0" w:space="0" w:color="auto"/>
      </w:divBdr>
    </w:div>
    <w:div w:id="2127458541">
      <w:bodyDiv w:val="1"/>
      <w:marLeft w:val="0"/>
      <w:marRight w:val="0"/>
      <w:marTop w:val="0"/>
      <w:marBottom w:val="0"/>
      <w:divBdr>
        <w:top w:val="none" w:sz="0" w:space="0" w:color="auto"/>
        <w:left w:val="none" w:sz="0" w:space="0" w:color="auto"/>
        <w:bottom w:val="none" w:sz="0" w:space="0" w:color="auto"/>
        <w:right w:val="none" w:sz="0" w:space="0" w:color="auto"/>
      </w:divBdr>
    </w:div>
    <w:div w:id="2133546765">
      <w:bodyDiv w:val="1"/>
      <w:marLeft w:val="0"/>
      <w:marRight w:val="0"/>
      <w:marTop w:val="0"/>
      <w:marBottom w:val="0"/>
      <w:divBdr>
        <w:top w:val="none" w:sz="0" w:space="0" w:color="auto"/>
        <w:left w:val="none" w:sz="0" w:space="0" w:color="auto"/>
        <w:bottom w:val="none" w:sz="0" w:space="0" w:color="auto"/>
        <w:right w:val="none" w:sz="0" w:space="0" w:color="auto"/>
      </w:divBdr>
    </w:div>
    <w:div w:id="2134444267">
      <w:bodyDiv w:val="1"/>
      <w:marLeft w:val="0"/>
      <w:marRight w:val="0"/>
      <w:marTop w:val="0"/>
      <w:marBottom w:val="0"/>
      <w:divBdr>
        <w:top w:val="none" w:sz="0" w:space="0" w:color="auto"/>
        <w:left w:val="none" w:sz="0" w:space="0" w:color="auto"/>
        <w:bottom w:val="none" w:sz="0" w:space="0" w:color="auto"/>
        <w:right w:val="none" w:sz="0" w:space="0" w:color="auto"/>
      </w:divBdr>
    </w:div>
    <w:div w:id="2138450544">
      <w:bodyDiv w:val="1"/>
      <w:marLeft w:val="0"/>
      <w:marRight w:val="0"/>
      <w:marTop w:val="0"/>
      <w:marBottom w:val="0"/>
      <w:divBdr>
        <w:top w:val="none" w:sz="0" w:space="0" w:color="auto"/>
        <w:left w:val="none" w:sz="0" w:space="0" w:color="auto"/>
        <w:bottom w:val="none" w:sz="0" w:space="0" w:color="auto"/>
        <w:right w:val="none" w:sz="0" w:space="0" w:color="auto"/>
      </w:divBdr>
    </w:div>
    <w:div w:id="2140874743">
      <w:bodyDiv w:val="1"/>
      <w:marLeft w:val="0"/>
      <w:marRight w:val="0"/>
      <w:marTop w:val="0"/>
      <w:marBottom w:val="0"/>
      <w:divBdr>
        <w:top w:val="none" w:sz="0" w:space="0" w:color="auto"/>
        <w:left w:val="none" w:sz="0" w:space="0" w:color="auto"/>
        <w:bottom w:val="none" w:sz="0" w:space="0" w:color="auto"/>
        <w:right w:val="none" w:sz="0" w:space="0" w:color="auto"/>
      </w:divBdr>
    </w:div>
    <w:div w:id="2141609983">
      <w:bodyDiv w:val="1"/>
      <w:marLeft w:val="0"/>
      <w:marRight w:val="0"/>
      <w:marTop w:val="0"/>
      <w:marBottom w:val="0"/>
      <w:divBdr>
        <w:top w:val="none" w:sz="0" w:space="0" w:color="auto"/>
        <w:left w:val="none" w:sz="0" w:space="0" w:color="auto"/>
        <w:bottom w:val="none" w:sz="0" w:space="0" w:color="auto"/>
        <w:right w:val="none" w:sz="0" w:space="0" w:color="auto"/>
      </w:divBdr>
    </w:div>
    <w:div w:id="2142380632">
      <w:bodyDiv w:val="1"/>
      <w:marLeft w:val="0"/>
      <w:marRight w:val="0"/>
      <w:marTop w:val="0"/>
      <w:marBottom w:val="0"/>
      <w:divBdr>
        <w:top w:val="none" w:sz="0" w:space="0" w:color="auto"/>
        <w:left w:val="none" w:sz="0" w:space="0" w:color="auto"/>
        <w:bottom w:val="none" w:sz="0" w:space="0" w:color="auto"/>
        <w:right w:val="none" w:sz="0" w:space="0" w:color="auto"/>
      </w:divBdr>
    </w:div>
    <w:div w:id="2144227941">
      <w:bodyDiv w:val="1"/>
      <w:marLeft w:val="0"/>
      <w:marRight w:val="0"/>
      <w:marTop w:val="0"/>
      <w:marBottom w:val="0"/>
      <w:divBdr>
        <w:top w:val="none" w:sz="0" w:space="0" w:color="auto"/>
        <w:left w:val="none" w:sz="0" w:space="0" w:color="auto"/>
        <w:bottom w:val="none" w:sz="0" w:space="0" w:color="auto"/>
        <w:right w:val="none" w:sz="0" w:space="0" w:color="auto"/>
      </w:divBdr>
    </w:div>
    <w:div w:id="2144619851">
      <w:bodyDiv w:val="1"/>
      <w:marLeft w:val="0"/>
      <w:marRight w:val="0"/>
      <w:marTop w:val="0"/>
      <w:marBottom w:val="0"/>
      <w:divBdr>
        <w:top w:val="none" w:sz="0" w:space="0" w:color="auto"/>
        <w:left w:val="none" w:sz="0" w:space="0" w:color="auto"/>
        <w:bottom w:val="none" w:sz="0" w:space="0" w:color="auto"/>
        <w:right w:val="none" w:sz="0" w:space="0" w:color="auto"/>
      </w:divBdr>
    </w:div>
    <w:div w:id="2145924817">
      <w:bodyDiv w:val="1"/>
      <w:marLeft w:val="0"/>
      <w:marRight w:val="0"/>
      <w:marTop w:val="0"/>
      <w:marBottom w:val="0"/>
      <w:divBdr>
        <w:top w:val="none" w:sz="0" w:space="0" w:color="auto"/>
        <w:left w:val="none" w:sz="0" w:space="0" w:color="auto"/>
        <w:bottom w:val="none" w:sz="0" w:space="0" w:color="auto"/>
        <w:right w:val="none" w:sz="0" w:space="0" w:color="auto"/>
      </w:divBdr>
    </w:div>
    <w:div w:id="2146770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4127F94A21D1A4DB519421285941FE9" ma:contentTypeVersion="2" ma:contentTypeDescription="Crie um novo documento." ma:contentTypeScope="" ma:versionID="57424cd0ed5925fb41b21f69238208ef">
  <xsd:schema xmlns:xsd="http://www.w3.org/2001/XMLSchema" xmlns:xs="http://www.w3.org/2001/XMLSchema" xmlns:p="http://schemas.microsoft.com/office/2006/metadata/properties" xmlns:ns2="e2f6adba-fe33-41f3-882e-aa128dfbcb50" targetNamespace="http://schemas.microsoft.com/office/2006/metadata/properties" ma:root="true" ma:fieldsID="70c0ad43cdcb845ea223d4fc767415f1" ns2:_="">
    <xsd:import namespace="e2f6adba-fe33-41f3-882e-aa128dfbcb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adba-fe33-41f3-882e-aa128dfbc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9513E-95DE-49FA-AA9E-A263133B300F}">
  <ds:schemaRefs>
    <ds:schemaRef ds:uri="http://schemas.openxmlformats.org/officeDocument/2006/bibliography"/>
  </ds:schemaRefs>
</ds:datastoreItem>
</file>

<file path=customXml/itemProps2.xml><?xml version="1.0" encoding="utf-8"?>
<ds:datastoreItem xmlns:ds="http://schemas.openxmlformats.org/officeDocument/2006/customXml" ds:itemID="{E57315D6-AE76-4E2F-8EB6-957DB66228D9}">
  <ds:schemaRefs>
    <ds:schemaRef ds:uri="http://schemas.microsoft.com/sharepoint/v3/contenttype/forms"/>
  </ds:schemaRefs>
</ds:datastoreItem>
</file>

<file path=customXml/itemProps3.xml><?xml version="1.0" encoding="utf-8"?>
<ds:datastoreItem xmlns:ds="http://schemas.openxmlformats.org/officeDocument/2006/customXml" ds:itemID="{F00E4DA4-32C8-45CB-958E-52E64C6657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027053-8B67-49C8-92C4-76ABAA9B4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adba-fe33-41f3-882e-aa128dfbc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24059</Words>
  <Characters>129924</Characters>
  <Application>Microsoft Office Word</Application>
  <DocSecurity>0</DocSecurity>
  <Lines>1082</Lines>
  <Paragraphs>307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VALEC - ENGENHARIA, CONSTRUÇÕES E FERROVIAS S</vt:lpstr>
      <vt:lpstr>VALEC - ENGENHARIA, CONSTRUÇÕES E FERROVIAS S</vt:lpstr>
    </vt:vector>
  </TitlesOfParts>
  <Company/>
  <LinksUpToDate>false</LinksUpToDate>
  <CharactersWithSpaces>153676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VALEC - ENGENHARIA, CONSTRUÇÕES E FERROVIAS S</dc:title>
  <dc:subject/>
  <dc:creator>Benjamim da Silva Teixeira</dc:creator>
  <cp:keywords/>
  <dc:description/>
  <cp:lastModifiedBy>Bruna Gabriela Rodrigues de Freitas</cp:lastModifiedBy>
  <cp:revision>3</cp:revision>
  <cp:lastPrinted>2022-11-28T14:31:00Z</cp:lastPrinted>
  <dcterms:created xsi:type="dcterms:W3CDTF">2023-01-31T17:37:00Z</dcterms:created>
  <dcterms:modified xsi:type="dcterms:W3CDTF">2023-01-31T17:43:00Z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0x01010054127F94A21D1A4DB519421285941FE9</vt:lpwstr>
  </property>
</Properties>
</file>